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3163E" w14:textId="086ADDFD" w:rsidR="00E20A6A" w:rsidRPr="00E20A6A" w:rsidRDefault="00E20A6A" w:rsidP="00E20A6A">
      <w:pPr>
        <w:pStyle w:val="a3"/>
        <w:spacing w:before="200" w:beforeAutospacing="0" w:after="0" w:afterAutospacing="0" w:line="216" w:lineRule="auto"/>
        <w:rPr>
          <w:b/>
          <w:sz w:val="21"/>
          <w:szCs w:val="21"/>
        </w:rPr>
      </w:pPr>
      <w:r w:rsidRPr="00E20A6A">
        <w:rPr>
          <w:rFonts w:asciiTheme="minorHAnsi" w:eastAsiaTheme="minorEastAsia" w:hAnsi="等线" w:cstheme="minorBidi" w:hint="eastAsia"/>
          <w:b/>
          <w:color w:val="000000" w:themeColor="text1"/>
          <w:kern w:val="24"/>
          <w:sz w:val="21"/>
          <w:szCs w:val="21"/>
        </w:rPr>
        <w:t>0. 准备需要计算的材料的结构等。</w:t>
      </w:r>
    </w:p>
    <w:p w14:paraId="4679267C" w14:textId="77777777" w:rsidR="00E20A6A" w:rsidRPr="00E20A6A" w:rsidRDefault="00E20A6A" w:rsidP="00E20A6A">
      <w:pPr>
        <w:spacing w:line="216" w:lineRule="auto"/>
        <w:rPr>
          <w:szCs w:val="21"/>
        </w:rPr>
      </w:pPr>
      <w:r w:rsidRPr="00E20A6A">
        <w:rPr>
          <w:rFonts w:hAnsi="等线" w:hint="eastAsia"/>
          <w:color w:val="000000" w:themeColor="text1"/>
          <w:kern w:val="24"/>
          <w:szCs w:val="21"/>
        </w:rPr>
        <w:t>A.建一个新目录，取名0-initial，在里面准备好做结构弛豫所需要的INCAR，KPOINTS，POSCAR，POTCAR等VASP所需的输入文件</w:t>
      </w:r>
    </w:p>
    <w:p w14:paraId="30C63458" w14:textId="77777777" w:rsidR="00E20A6A" w:rsidRPr="00E20A6A" w:rsidRDefault="00E20A6A" w:rsidP="00E20A6A">
      <w:pPr>
        <w:spacing w:line="216" w:lineRule="auto"/>
        <w:rPr>
          <w:szCs w:val="21"/>
        </w:rPr>
      </w:pPr>
      <w:r w:rsidRPr="00E20A6A">
        <w:rPr>
          <w:rFonts w:hAnsi="等线" w:hint="eastAsia"/>
          <w:color w:val="000000" w:themeColor="text1"/>
          <w:kern w:val="24"/>
          <w:szCs w:val="21"/>
        </w:rPr>
        <w:t>B.在0-initial目录下建立1-CHG和2-band两个目录</w:t>
      </w:r>
    </w:p>
    <w:p w14:paraId="3ED2F0E1" w14:textId="5FEFAA73" w:rsidR="00E20A6A" w:rsidRPr="00CE1DDA" w:rsidRDefault="00E20A6A" w:rsidP="00CE1DDA">
      <w:pPr>
        <w:spacing w:line="216" w:lineRule="auto"/>
        <w:rPr>
          <w:rFonts w:hAnsi="等线"/>
          <w:color w:val="000000" w:themeColor="text1"/>
          <w:kern w:val="24"/>
          <w:szCs w:val="21"/>
        </w:rPr>
      </w:pPr>
      <w:r w:rsidRPr="00E20A6A">
        <w:rPr>
          <w:rFonts w:hAnsi="等线" w:hint="eastAsia"/>
          <w:color w:val="000000" w:themeColor="text1"/>
          <w:kern w:val="24"/>
          <w:szCs w:val="21"/>
        </w:rPr>
        <w:t>C.在1-CHG中准备好做总能计算的INCAR</w:t>
      </w:r>
      <w:r w:rsidR="00CE1DDA">
        <w:rPr>
          <w:rFonts w:hAnsi="等线"/>
          <w:color w:val="000000" w:themeColor="text1"/>
          <w:kern w:val="24"/>
          <w:szCs w:val="21"/>
        </w:rPr>
        <w:t xml:space="preserve"> (</w:t>
      </w:r>
      <w:r w:rsidR="00CE1DDA">
        <w:rPr>
          <w:rFonts w:hAnsi="等线" w:hint="eastAsia"/>
          <w:color w:val="000000" w:themeColor="text1"/>
          <w:kern w:val="24"/>
          <w:szCs w:val="21"/>
        </w:rPr>
        <w:t>注意</w:t>
      </w:r>
      <w:r w:rsidR="00CE1DDA">
        <w:rPr>
          <w:rFonts w:hAnsi="等线"/>
          <w:color w:val="000000" w:themeColor="text1"/>
          <w:kern w:val="24"/>
          <w:szCs w:val="21"/>
        </w:rPr>
        <w:t>加上ICORELEVEL = 1</w:t>
      </w:r>
      <w:r w:rsidR="00CE1DDA">
        <w:rPr>
          <w:rFonts w:hAnsi="等线" w:hint="eastAsia"/>
          <w:color w:val="000000" w:themeColor="text1"/>
          <w:kern w:val="24"/>
          <w:szCs w:val="21"/>
        </w:rPr>
        <w:t>，</w:t>
      </w:r>
      <w:r w:rsidR="00CE1DDA">
        <w:rPr>
          <w:rFonts w:hAnsi="等线"/>
          <w:color w:val="000000" w:themeColor="text1"/>
          <w:kern w:val="24"/>
          <w:szCs w:val="21"/>
        </w:rPr>
        <w:t>LVTOT = T</w:t>
      </w:r>
      <w:r w:rsidR="00CE1DDA">
        <w:rPr>
          <w:rFonts w:hAnsi="等线" w:hint="eastAsia"/>
          <w:color w:val="000000" w:themeColor="text1"/>
          <w:kern w:val="24"/>
          <w:szCs w:val="21"/>
        </w:rPr>
        <w:t>，</w:t>
      </w:r>
      <w:r w:rsidR="00CE1DDA" w:rsidRPr="00CE1DDA">
        <w:rPr>
          <w:rFonts w:hAnsi="等线"/>
          <w:color w:val="000000" w:themeColor="text1"/>
          <w:kern w:val="24"/>
          <w:szCs w:val="21"/>
        </w:rPr>
        <w:t>LVHAR = T</w:t>
      </w:r>
      <w:r w:rsidR="00E07EDC">
        <w:rPr>
          <w:rFonts w:hAnsi="等线" w:hint="eastAsia"/>
          <w:color w:val="000000" w:themeColor="text1"/>
          <w:kern w:val="24"/>
          <w:szCs w:val="21"/>
        </w:rPr>
        <w:t>，</w:t>
      </w:r>
      <w:r w:rsidR="00E07EDC">
        <w:rPr>
          <w:rFonts w:hAnsi="等线"/>
          <w:color w:val="000000" w:themeColor="text1"/>
          <w:kern w:val="24"/>
          <w:szCs w:val="21"/>
        </w:rPr>
        <w:t>方便获得芯能级</w:t>
      </w:r>
      <w:r w:rsidR="00E07EDC">
        <w:rPr>
          <w:rFonts w:hAnsi="等线" w:hint="eastAsia"/>
          <w:color w:val="000000" w:themeColor="text1"/>
          <w:kern w:val="24"/>
          <w:szCs w:val="21"/>
        </w:rPr>
        <w:t>、真空</w:t>
      </w:r>
      <w:r w:rsidR="00E07EDC">
        <w:rPr>
          <w:rFonts w:hAnsi="等线"/>
          <w:color w:val="000000" w:themeColor="text1"/>
          <w:kern w:val="24"/>
          <w:szCs w:val="21"/>
        </w:rPr>
        <w:t>能级</w:t>
      </w:r>
      <w:r w:rsidR="00CE1DDA">
        <w:rPr>
          <w:rFonts w:hAnsi="等线"/>
          <w:color w:val="000000" w:themeColor="text1"/>
          <w:kern w:val="24"/>
          <w:szCs w:val="21"/>
        </w:rPr>
        <w:t>)</w:t>
      </w:r>
      <w:r w:rsidRPr="00E20A6A">
        <w:rPr>
          <w:rFonts w:hAnsi="等线" w:hint="eastAsia"/>
          <w:color w:val="000000" w:themeColor="text1"/>
          <w:kern w:val="24"/>
          <w:szCs w:val="21"/>
        </w:rPr>
        <w:t>，并且链接上一层目录的CONTCAR为POSCAR （ln –s ../CONTCAR POSCAR），以及链接上一层目录的POTCAR，KPOINTS，kernel等</w:t>
      </w:r>
    </w:p>
    <w:p w14:paraId="3D6FCA92" w14:textId="77777777" w:rsidR="00E20A6A" w:rsidRPr="00E20A6A" w:rsidRDefault="00E20A6A" w:rsidP="00E20A6A">
      <w:pPr>
        <w:spacing w:line="216" w:lineRule="auto"/>
        <w:rPr>
          <w:szCs w:val="21"/>
        </w:rPr>
      </w:pPr>
      <w:r w:rsidRPr="00E20A6A">
        <w:rPr>
          <w:rFonts w:hAnsi="等线" w:hint="eastAsia"/>
          <w:color w:val="000000" w:themeColor="text1"/>
          <w:kern w:val="24"/>
          <w:szCs w:val="21"/>
        </w:rPr>
        <w:t>D.在2-band中准备好做能带计算的INCAR以及KPOINTS，同样链接上一层目录的CONTCAR为POSCAR，以及上一层目录的POTCAR，kernel等</w:t>
      </w:r>
    </w:p>
    <w:p w14:paraId="04BB0CEC" w14:textId="77777777" w:rsidR="00E20A6A" w:rsidRPr="00E20A6A" w:rsidRDefault="00E20A6A" w:rsidP="00E20A6A">
      <w:pPr>
        <w:pStyle w:val="a3"/>
        <w:spacing w:before="200" w:beforeAutospacing="0" w:after="0" w:afterAutospacing="0" w:line="216" w:lineRule="auto"/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</w:pPr>
      <w:r w:rsidRPr="00E20A6A">
        <w:rPr>
          <w:rFonts w:asciiTheme="minorHAnsi" w:eastAsiaTheme="minorEastAsia" w:hAnsi="等线" w:cstheme="minorBidi" w:hint="eastAsia"/>
          <w:b/>
          <w:color w:val="000000" w:themeColor="text1"/>
          <w:kern w:val="24"/>
          <w:sz w:val="21"/>
          <w:szCs w:val="21"/>
        </w:rPr>
        <w:t xml:space="preserve">1. </w:t>
      </w:r>
      <w:r w:rsidRPr="00E20A6A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形变势</w:t>
      </w:r>
      <w:r w:rsidRPr="00E20A6A">
        <w:rPr>
          <w:rFonts w:asciiTheme="minorHAnsi" w:eastAsiaTheme="minorEastAsia" w:hAnsi="等线" w:cstheme="minorBidi" w:hint="eastAsia"/>
          <w:b/>
          <w:color w:val="000000" w:themeColor="text1"/>
          <w:kern w:val="24"/>
          <w:sz w:val="21"/>
          <w:szCs w:val="21"/>
        </w:rPr>
        <w:t>和</w:t>
      </w:r>
      <w:r w:rsidRPr="00E20A6A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弹性模量</w:t>
      </w:r>
      <w:r w:rsidRPr="00E20A6A">
        <w:rPr>
          <w:rFonts w:asciiTheme="minorHAnsi" w:eastAsiaTheme="minorEastAsia" w:hAnsi="等线" w:cstheme="minorBidi" w:hint="eastAsia"/>
          <w:b/>
          <w:color w:val="000000" w:themeColor="text1"/>
          <w:kern w:val="24"/>
          <w:sz w:val="21"/>
          <w:szCs w:val="21"/>
        </w:rPr>
        <w:t>相关</w:t>
      </w:r>
      <w:r w:rsidRPr="00E20A6A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计算</w:t>
      </w:r>
    </w:p>
    <w:p w14:paraId="16EB70F6" w14:textId="2C21362C" w:rsidR="00E20A6A" w:rsidRPr="00E20A6A" w:rsidRDefault="00E20A6A" w:rsidP="00E20A6A">
      <w:pPr>
        <w:pStyle w:val="a3"/>
        <w:spacing w:before="200" w:beforeAutospacing="0" w:after="0" w:afterAutospacing="0" w:line="216" w:lineRule="auto"/>
        <w:rPr>
          <w:sz w:val="21"/>
          <w:szCs w:val="21"/>
        </w:rPr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A</w:t>
      </w:r>
      <w:r>
        <w:rPr>
          <w:rFonts w:asciiTheme="minorHAnsi" w:eastAsiaTheme="minorEastAsia" w:hAnsi="等线" w:cstheme="minorBidi"/>
          <w:color w:val="000000" w:themeColor="text1"/>
          <w:kern w:val="24"/>
          <w:sz w:val="21"/>
          <w:szCs w:val="21"/>
        </w:rPr>
        <w:t xml:space="preserve">. </w:t>
      </w:r>
      <w:r w:rsidR="00E56400" w:rsidRPr="00E20A6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使用</w:t>
      </w:r>
      <w:r w:rsidR="00E56400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clone</w:t>
      </w:r>
      <w:r w:rsidR="00E56400" w:rsidRPr="00E20A6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脚本</w:t>
      </w:r>
      <w:r w:rsidR="00E56400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获得</w:t>
      </w:r>
      <w:r w:rsidR="00E56400">
        <w:rPr>
          <w:rFonts w:asciiTheme="minorHAnsi" w:eastAsiaTheme="minorEastAsia" w:hAnsi="等线" w:cstheme="minorBidi"/>
          <w:color w:val="000000" w:themeColor="text1"/>
          <w:kern w:val="24"/>
          <w:sz w:val="21"/>
          <w:szCs w:val="21"/>
        </w:rPr>
        <w:t>单轴拉伸或压缩的</w:t>
      </w:r>
      <w:r w:rsidR="00E56400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结构</w:t>
      </w:r>
      <w:r w:rsidR="003B034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。</w:t>
      </w:r>
    </w:p>
    <w:p w14:paraId="61593BD2" w14:textId="77777777" w:rsidR="00E20A6A" w:rsidRPr="00E20A6A" w:rsidRDefault="00E20A6A" w:rsidP="00E20A6A">
      <w:pPr>
        <w:spacing w:line="216" w:lineRule="auto"/>
        <w:rPr>
          <w:szCs w:val="21"/>
        </w:rPr>
      </w:pPr>
      <w:r w:rsidRPr="00E20A6A">
        <w:rPr>
          <w:rFonts w:hAnsi="等线" w:hint="eastAsia"/>
          <w:color w:val="000000" w:themeColor="text1"/>
          <w:kern w:val="24"/>
          <w:szCs w:val="21"/>
        </w:rPr>
        <w:t>clone 0-initial direction step N</w:t>
      </w:r>
    </w:p>
    <w:p w14:paraId="3758D8CE" w14:textId="77777777" w:rsidR="00E20A6A" w:rsidRPr="00E20A6A" w:rsidRDefault="00E20A6A" w:rsidP="00E20A6A">
      <w:pPr>
        <w:spacing w:line="216" w:lineRule="auto"/>
        <w:rPr>
          <w:szCs w:val="21"/>
        </w:rPr>
      </w:pPr>
      <w:r w:rsidRPr="00E20A6A">
        <w:rPr>
          <w:rFonts w:hAnsi="等线" w:hint="eastAsia"/>
          <w:color w:val="000000" w:themeColor="text1"/>
          <w:kern w:val="24"/>
          <w:szCs w:val="21"/>
        </w:rPr>
        <w:t>其中direction为形变的方向（a/b/c），step为形变的步长，N为生成的结构的数量，要求N为奇数</w:t>
      </w:r>
    </w:p>
    <w:p w14:paraId="668237CB" w14:textId="77777777" w:rsidR="00E20A6A" w:rsidRPr="00E20A6A" w:rsidRDefault="00E20A6A" w:rsidP="00E20A6A">
      <w:pPr>
        <w:pStyle w:val="a3"/>
        <w:spacing w:before="200" w:beforeAutospacing="0" w:after="0" w:afterAutospacing="0" w:line="216" w:lineRule="auto"/>
        <w:rPr>
          <w:sz w:val="21"/>
          <w:szCs w:val="21"/>
        </w:rPr>
      </w:pPr>
      <w:r w:rsidRPr="00E20A6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例如：clone 0-initial a 0.025 5</w:t>
      </w:r>
    </w:p>
    <w:p w14:paraId="2CA3423C" w14:textId="77777777" w:rsidR="00E20A6A" w:rsidRDefault="00E20A6A" w:rsidP="00E20A6A">
      <w:pPr>
        <w:pStyle w:val="a3"/>
        <w:spacing w:before="200" w:beforeAutospacing="0" w:after="0" w:afterAutospacing="0" w:line="216" w:lineRule="auto"/>
        <w:rPr>
          <w:rFonts w:asciiTheme="minorHAnsi" w:eastAsiaTheme="minorEastAsia" w:hAnsi="等线" w:cstheme="minorBidi"/>
          <w:color w:val="000000" w:themeColor="text1"/>
          <w:kern w:val="24"/>
          <w:sz w:val="21"/>
          <w:szCs w:val="21"/>
        </w:rPr>
      </w:pPr>
      <w:r w:rsidRPr="00E20A6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会生成5个文件夹1-0.950 2-0.975 3-1.000 4-1.025 5-1.050，里面的结构分别就是形变后的结构</w:t>
      </w:r>
      <w:r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。</w:t>
      </w:r>
    </w:p>
    <w:p w14:paraId="0E30C952" w14:textId="4870C1E5" w:rsidR="00E20A6A" w:rsidRDefault="003B034A" w:rsidP="00E20A6A">
      <w:pPr>
        <w:pStyle w:val="a3"/>
        <w:spacing w:before="200" w:beforeAutospacing="0" w:after="0" w:afterAutospacing="0" w:line="2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B.</w:t>
      </w:r>
      <w:r w:rsidR="00E20A6A">
        <w:rPr>
          <w:rFonts w:hint="eastAsia"/>
          <w:sz w:val="21"/>
          <w:szCs w:val="21"/>
        </w:rPr>
        <w:t>提交</w:t>
      </w:r>
      <w:r w:rsidR="00E20A6A">
        <w:rPr>
          <w:sz w:val="21"/>
          <w:szCs w:val="21"/>
        </w:rPr>
        <w:t>计算</w:t>
      </w:r>
      <w:r w:rsidR="00E20A6A">
        <w:rPr>
          <w:rFonts w:hint="eastAsia"/>
          <w:sz w:val="21"/>
          <w:szCs w:val="21"/>
        </w:rPr>
        <w:t>顺序</w:t>
      </w:r>
      <w:r w:rsidR="00E20A6A">
        <w:rPr>
          <w:sz w:val="21"/>
          <w:szCs w:val="21"/>
        </w:rPr>
        <w:t>完成每个目录下的</w:t>
      </w:r>
      <w:r w:rsidR="00345994">
        <w:rPr>
          <w:rFonts w:hint="eastAsia"/>
          <w:sz w:val="21"/>
          <w:szCs w:val="21"/>
        </w:rPr>
        <w:t>以下</w:t>
      </w:r>
      <w:r w:rsidR="00345994">
        <w:rPr>
          <w:sz w:val="21"/>
          <w:szCs w:val="21"/>
        </w:rPr>
        <w:t>计算：结构</w:t>
      </w:r>
      <w:r w:rsidR="00E20A6A">
        <w:rPr>
          <w:sz w:val="21"/>
          <w:szCs w:val="21"/>
        </w:rPr>
        <w:t>弛豫，</w:t>
      </w:r>
      <w:r w:rsidR="00345994">
        <w:rPr>
          <w:rFonts w:hint="eastAsia"/>
          <w:sz w:val="21"/>
          <w:szCs w:val="21"/>
        </w:rPr>
        <w:t>在</w:t>
      </w:r>
      <w:r w:rsidR="00E20A6A">
        <w:rPr>
          <w:rFonts w:hint="eastAsia"/>
          <w:sz w:val="21"/>
          <w:szCs w:val="21"/>
        </w:rPr>
        <w:t>1</w:t>
      </w:r>
      <w:r w:rsidR="00E20A6A">
        <w:rPr>
          <w:sz w:val="21"/>
          <w:szCs w:val="21"/>
        </w:rPr>
        <w:t>-CHG</w:t>
      </w:r>
      <w:r w:rsidR="00345994">
        <w:rPr>
          <w:rFonts w:hint="eastAsia"/>
          <w:sz w:val="21"/>
          <w:szCs w:val="21"/>
        </w:rPr>
        <w:t>下</w:t>
      </w:r>
      <w:r w:rsidR="00345994">
        <w:rPr>
          <w:sz w:val="21"/>
          <w:szCs w:val="21"/>
        </w:rPr>
        <w:t>完成CHGCAR计算，</w:t>
      </w:r>
      <w:r w:rsidR="00E20A6A">
        <w:rPr>
          <w:rFonts w:hint="eastAsia"/>
          <w:sz w:val="21"/>
          <w:szCs w:val="21"/>
        </w:rPr>
        <w:t>2</w:t>
      </w:r>
      <w:r w:rsidR="00E20A6A">
        <w:rPr>
          <w:sz w:val="21"/>
          <w:szCs w:val="21"/>
        </w:rPr>
        <w:t>-band的</w:t>
      </w:r>
      <w:r w:rsidR="00345994">
        <w:rPr>
          <w:rFonts w:hint="eastAsia"/>
          <w:sz w:val="21"/>
          <w:szCs w:val="21"/>
        </w:rPr>
        <w:t>能带</w:t>
      </w:r>
      <w:r w:rsidR="00E20A6A">
        <w:rPr>
          <w:sz w:val="21"/>
          <w:szCs w:val="21"/>
        </w:rPr>
        <w:t>计算</w:t>
      </w:r>
      <w:r w:rsidR="00E20A6A">
        <w:rPr>
          <w:rFonts w:hint="eastAsia"/>
          <w:sz w:val="21"/>
          <w:szCs w:val="21"/>
        </w:rPr>
        <w:t>。</w:t>
      </w:r>
      <w:r w:rsidR="00E20A6A">
        <w:rPr>
          <w:sz w:val="21"/>
          <w:szCs w:val="21"/>
        </w:rPr>
        <w:t>确保</w:t>
      </w:r>
      <w:r w:rsidR="00345994">
        <w:rPr>
          <w:rFonts w:hint="eastAsia"/>
          <w:sz w:val="21"/>
          <w:szCs w:val="21"/>
        </w:rPr>
        <w:t>每一步</w:t>
      </w:r>
      <w:r w:rsidR="00E20A6A">
        <w:rPr>
          <w:rFonts w:hint="eastAsia"/>
          <w:sz w:val="21"/>
          <w:szCs w:val="21"/>
        </w:rPr>
        <w:t>计算</w:t>
      </w:r>
      <w:r w:rsidR="00E20A6A">
        <w:rPr>
          <w:sz w:val="21"/>
          <w:szCs w:val="21"/>
        </w:rPr>
        <w:t>收敛。</w:t>
      </w:r>
    </w:p>
    <w:p w14:paraId="00A81A3F" w14:textId="77777777" w:rsidR="00E20A6A" w:rsidRPr="00A758BC" w:rsidRDefault="00E20A6A" w:rsidP="00E20A6A">
      <w:pPr>
        <w:pStyle w:val="a3"/>
        <w:spacing w:before="200" w:beforeAutospacing="0" w:after="0" w:afterAutospacing="0" w:line="216" w:lineRule="auto"/>
        <w:rPr>
          <w:b/>
          <w:sz w:val="21"/>
          <w:szCs w:val="21"/>
        </w:rPr>
      </w:pPr>
      <w:r w:rsidRPr="00A758BC">
        <w:rPr>
          <w:rFonts w:asciiTheme="minorHAnsi" w:eastAsiaTheme="minorEastAsia" w:hAnsi="等线" w:cstheme="minorBidi" w:hint="eastAsia"/>
          <w:b/>
          <w:color w:val="000000" w:themeColor="text1"/>
          <w:kern w:val="24"/>
          <w:sz w:val="21"/>
          <w:szCs w:val="21"/>
        </w:rPr>
        <w:t>2.</w:t>
      </w:r>
      <w:r w:rsidRPr="00A758BC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 xml:space="preserve"> </w:t>
      </w:r>
      <w:r w:rsidRPr="00A758BC">
        <w:rPr>
          <w:rFonts w:asciiTheme="minorHAnsi" w:eastAsiaTheme="minorEastAsia" w:hAnsi="等线" w:cstheme="minorBidi" w:hint="eastAsia"/>
          <w:b/>
          <w:color w:val="000000" w:themeColor="text1"/>
          <w:kern w:val="24"/>
          <w:sz w:val="21"/>
          <w:szCs w:val="21"/>
        </w:rPr>
        <w:t>有效质量</w:t>
      </w:r>
      <w:r w:rsidRPr="00A758BC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相关计算</w:t>
      </w:r>
    </w:p>
    <w:p w14:paraId="4C0392FE" w14:textId="77777777" w:rsidR="00E20A6A" w:rsidRDefault="003B034A" w:rsidP="00E20A6A">
      <w:pPr>
        <w:pStyle w:val="a3"/>
        <w:spacing w:before="200" w:beforeAutospacing="0" w:after="0" w:afterAutospacing="0" w:line="216" w:lineRule="auto"/>
        <w:rPr>
          <w:rFonts w:asciiTheme="minorHAnsi" w:eastAsiaTheme="minorEastAsia" w:hAnsi="等线" w:cstheme="minorBidi"/>
          <w:color w:val="000000" w:themeColor="text1"/>
          <w:kern w:val="24"/>
          <w:sz w:val="21"/>
          <w:szCs w:val="21"/>
        </w:rPr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A</w:t>
      </w:r>
      <w:r>
        <w:rPr>
          <w:rFonts w:asciiTheme="minorHAnsi" w:eastAsiaTheme="minorEastAsia" w:hAnsi="等线" w:cstheme="minorBidi"/>
          <w:color w:val="000000" w:themeColor="text1"/>
          <w:kern w:val="24"/>
          <w:sz w:val="21"/>
          <w:szCs w:val="21"/>
        </w:rPr>
        <w:t xml:space="preserve">. </w:t>
      </w:r>
      <w:r w:rsidR="00E20A6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在</w:t>
      </w:r>
      <w:r w:rsidR="00E20A6A" w:rsidRPr="00E20A6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X-1.000</w:t>
      </w:r>
      <w:r w:rsidR="00E20A6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目录</w:t>
      </w:r>
      <w:r w:rsidR="00E20A6A" w:rsidRPr="00E20A6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建立3-Me</w:t>
      </w:r>
      <w:r w:rsidR="00E20A6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目录</w:t>
      </w:r>
      <w:r w:rsidR="00E20A6A" w:rsidRPr="00E20A6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，在其中准备好做</w:t>
      </w:r>
      <w:r w:rsidR="00E20A6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有效质量</w:t>
      </w:r>
      <w:r w:rsidR="00E20A6A" w:rsidRPr="00E20A6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计算的INCAR以及KPOINTS，同样链接上一层目录的CONTCAR为POSCAR，以及POTCAR和kernel等</w:t>
      </w:r>
      <w:r w:rsidR="00E20A6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。</w:t>
      </w:r>
    </w:p>
    <w:p w14:paraId="402AE547" w14:textId="77777777" w:rsidR="00E20A6A" w:rsidRPr="00E20A6A" w:rsidRDefault="003B034A" w:rsidP="00E20A6A">
      <w:pPr>
        <w:pStyle w:val="a3"/>
        <w:spacing w:before="200" w:beforeAutospacing="0" w:after="0" w:afterAutospacing="0" w:line="216" w:lineRule="auto"/>
        <w:rPr>
          <w:sz w:val="21"/>
          <w:szCs w:val="21"/>
        </w:rPr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 xml:space="preserve">B. </w:t>
      </w:r>
      <w:r w:rsidR="00E20A6A">
        <w:rPr>
          <w:rFonts w:asciiTheme="minorHAnsi" w:eastAsiaTheme="minorEastAsia" w:hAnsi="等线" w:cstheme="minorBidi" w:hint="eastAsia"/>
          <w:color w:val="000000" w:themeColor="text1"/>
          <w:kern w:val="24"/>
          <w:sz w:val="21"/>
          <w:szCs w:val="21"/>
        </w:rPr>
        <w:t>提交</w:t>
      </w:r>
      <w:r w:rsidR="00E20A6A">
        <w:rPr>
          <w:rFonts w:asciiTheme="minorHAnsi" w:eastAsiaTheme="minorEastAsia" w:hAnsi="等线" w:cstheme="minorBidi"/>
          <w:color w:val="000000" w:themeColor="text1"/>
          <w:kern w:val="24"/>
          <w:sz w:val="21"/>
          <w:szCs w:val="21"/>
        </w:rPr>
        <w:t>并完成有效质量计算。</w:t>
      </w:r>
    </w:p>
    <w:p w14:paraId="48AAB347" w14:textId="77777777" w:rsidR="00AB6AA0" w:rsidRPr="00A758BC" w:rsidRDefault="00A758BC" w:rsidP="00E20A6A">
      <w:pPr>
        <w:pStyle w:val="a3"/>
        <w:spacing w:before="200" w:beforeAutospacing="0" w:after="0" w:afterAutospacing="0" w:line="216" w:lineRule="auto"/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</w:pPr>
      <w:r w:rsidRPr="00A758BC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3</w:t>
      </w:r>
      <w:r w:rsidR="00E20A6A" w:rsidRPr="00A758BC">
        <w:rPr>
          <w:rFonts w:asciiTheme="minorHAnsi" w:eastAsiaTheme="minorEastAsia" w:hAnsi="等线" w:cstheme="minorBidi" w:hint="eastAsia"/>
          <w:b/>
          <w:color w:val="000000" w:themeColor="text1"/>
          <w:kern w:val="24"/>
          <w:sz w:val="21"/>
          <w:szCs w:val="21"/>
        </w:rPr>
        <w:t>.修改</w:t>
      </w:r>
      <w:r w:rsidR="00E20A6A" w:rsidRPr="00A758BC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MCAR，</w:t>
      </w:r>
      <w:r w:rsidR="00E20A6A" w:rsidRPr="00A758BC">
        <w:rPr>
          <w:rFonts w:asciiTheme="minorHAnsi" w:eastAsiaTheme="minorEastAsia" w:hAnsi="等线" w:cstheme="minorBidi" w:hint="eastAsia"/>
          <w:b/>
          <w:color w:val="000000" w:themeColor="text1"/>
          <w:kern w:val="24"/>
          <w:sz w:val="21"/>
          <w:szCs w:val="21"/>
        </w:rPr>
        <w:t>指定</w:t>
      </w:r>
      <w:r w:rsidR="00E20A6A" w:rsidRPr="00A758BC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需要计算迁移率的K点位置及能带</w:t>
      </w:r>
      <w:r w:rsidR="00E20A6A" w:rsidRPr="00A758BC">
        <w:rPr>
          <w:rFonts w:asciiTheme="minorHAnsi" w:eastAsiaTheme="minorEastAsia" w:hAnsi="等线" w:cstheme="minorBidi" w:hint="eastAsia"/>
          <w:b/>
          <w:color w:val="000000" w:themeColor="text1"/>
          <w:kern w:val="24"/>
          <w:sz w:val="21"/>
          <w:szCs w:val="21"/>
        </w:rPr>
        <w:t>数</w:t>
      </w:r>
      <w:r w:rsidR="00E20A6A" w:rsidRPr="00A758BC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等。使用脚本</w:t>
      </w:r>
      <w:r w:rsidR="00E20A6A" w:rsidRPr="00A758BC">
        <w:rPr>
          <w:rFonts w:asciiTheme="minorHAnsi" w:eastAsiaTheme="minorEastAsia" w:hAnsi="等线" w:cstheme="minorBidi" w:hint="eastAsia"/>
          <w:b/>
          <w:color w:val="000000" w:themeColor="text1"/>
          <w:kern w:val="24"/>
          <w:sz w:val="21"/>
          <w:szCs w:val="21"/>
        </w:rPr>
        <w:t>fit</w:t>
      </w:r>
      <w:r w:rsidR="00E20A6A" w:rsidRPr="00A758BC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mobility</w:t>
      </w:r>
    </w:p>
    <w:p w14:paraId="57AC8681" w14:textId="77777777" w:rsidR="00E20A6A" w:rsidRDefault="00E20A6A" w:rsidP="00E20A6A">
      <w:pPr>
        <w:pStyle w:val="a3"/>
        <w:spacing w:before="200" w:beforeAutospacing="0" w:after="0" w:afterAutospacing="0" w:line="216" w:lineRule="auto"/>
        <w:rPr>
          <w:rFonts w:asciiTheme="minorHAnsi" w:eastAsiaTheme="minorEastAsia" w:hAnsi="等线" w:cstheme="minorBidi"/>
          <w:color w:val="000000" w:themeColor="text1"/>
          <w:kern w:val="24"/>
          <w:sz w:val="21"/>
          <w:szCs w:val="21"/>
        </w:rPr>
      </w:pPr>
    </w:p>
    <w:p w14:paraId="10B0E94B" w14:textId="77777777" w:rsidR="00E20A6A" w:rsidRPr="00E20A6A" w:rsidRDefault="00E20A6A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  <w:r w:rsidRPr="00E20A6A">
        <w:rPr>
          <w:rFonts w:ascii="Times New Roman" w:hAnsi="Times New Roman" w:cs="Times New Roman"/>
          <w:sz w:val="22"/>
          <w:szCs w:val="22"/>
        </w:rPr>
        <w:t>NL = 1        #Layer number</w:t>
      </w:r>
    </w:p>
    <w:p w14:paraId="6DF2A155" w14:textId="77777777" w:rsidR="00E20A6A" w:rsidRPr="00E20A6A" w:rsidRDefault="00E20A6A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  <w:r w:rsidRPr="00E20A6A">
        <w:rPr>
          <w:rFonts w:ascii="Times New Roman" w:hAnsi="Times New Roman" w:cs="Times New Roman"/>
          <w:sz w:val="22"/>
          <w:szCs w:val="22"/>
        </w:rPr>
        <w:t>TEM  = 300     #Temperature, 300 default</w:t>
      </w:r>
    </w:p>
    <w:p w14:paraId="102437D6" w14:textId="77777777" w:rsidR="00E20A6A" w:rsidRPr="00E20A6A" w:rsidRDefault="00E20A6A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</w:p>
    <w:p w14:paraId="587ECD41" w14:textId="77777777" w:rsidR="00E20A6A" w:rsidRPr="00E20A6A" w:rsidRDefault="00E20A6A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  <w:r w:rsidRPr="00E20A6A">
        <w:rPr>
          <w:rFonts w:ascii="Times New Roman" w:hAnsi="Times New Roman" w:cs="Times New Roman"/>
          <w:sz w:val="22"/>
          <w:szCs w:val="22"/>
        </w:rPr>
        <w:t>#FitYoungs and Weff</w:t>
      </w:r>
    </w:p>
    <w:p w14:paraId="13951F84" w14:textId="77777777" w:rsidR="00E20A6A" w:rsidRPr="00E20A6A" w:rsidRDefault="00E20A6A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  <w:r w:rsidRPr="00E20A6A">
        <w:rPr>
          <w:rFonts w:ascii="Times New Roman" w:hAnsi="Times New Roman" w:cs="Times New Roman"/>
          <w:sz w:val="22"/>
          <w:szCs w:val="22"/>
        </w:rPr>
        <w:t>DIR  = c       #</w:t>
      </w:r>
      <w:r w:rsidR="00A758BC">
        <w:rPr>
          <w:rFonts w:ascii="Times New Roman" w:hAnsi="Times New Roman" w:cs="Times New Roman" w:hint="eastAsia"/>
          <w:sz w:val="22"/>
          <w:szCs w:val="22"/>
        </w:rPr>
        <w:t>指定真空层</w:t>
      </w:r>
      <w:r w:rsidR="00A758BC">
        <w:rPr>
          <w:rFonts w:ascii="Times New Roman" w:hAnsi="Times New Roman" w:cs="Times New Roman"/>
          <w:sz w:val="22"/>
          <w:szCs w:val="22"/>
        </w:rPr>
        <w:t>方向</w:t>
      </w:r>
    </w:p>
    <w:p w14:paraId="5AE6C9D1" w14:textId="77777777" w:rsidR="00E20A6A" w:rsidRPr="00E20A6A" w:rsidRDefault="00E20A6A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</w:p>
    <w:p w14:paraId="62D93FF9" w14:textId="77777777" w:rsidR="00E20A6A" w:rsidRPr="00E20A6A" w:rsidRDefault="00E20A6A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  <w:r w:rsidRPr="00E20A6A">
        <w:rPr>
          <w:rFonts w:ascii="Times New Roman" w:hAnsi="Times New Roman" w:cs="Times New Roman"/>
          <w:sz w:val="22"/>
          <w:szCs w:val="22"/>
        </w:rPr>
        <w:lastRenderedPageBreak/>
        <w:t>#FitMe</w:t>
      </w:r>
      <w:r w:rsidR="00A758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378269F" w14:textId="77777777" w:rsidR="00E20A6A" w:rsidRPr="00A758BC" w:rsidRDefault="00A758BC" w:rsidP="00E20A6A">
      <w:pPr>
        <w:pStyle w:val="a3"/>
        <w:spacing w:before="200" w:beforeAutospacing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2"/>
          <w:szCs w:val="22"/>
        </w:rPr>
        <w:t xml:space="preserve">KVBM = 0  </w:t>
      </w:r>
      <w:r w:rsidR="00E20A6A" w:rsidRPr="00E20A6A">
        <w:rPr>
          <w:rFonts w:ascii="Times New Roman" w:hAnsi="Times New Roman" w:cs="Times New Roman"/>
          <w:sz w:val="22"/>
          <w:szCs w:val="22"/>
        </w:rPr>
        <w:t>#</w:t>
      </w:r>
      <w:r w:rsidRPr="00A758BC">
        <w:rPr>
          <w:rFonts w:ascii="Times New Roman" w:hAnsi="Times New Roman" w:cs="Times New Roman" w:hint="eastAsia"/>
          <w:sz w:val="18"/>
          <w:szCs w:val="18"/>
        </w:rPr>
        <w:t>指定</w:t>
      </w:r>
      <w:r w:rsidRPr="00A758BC">
        <w:rPr>
          <w:rFonts w:ascii="Times New Roman" w:hAnsi="Times New Roman" w:cs="Times New Roman"/>
          <w:sz w:val="18"/>
          <w:szCs w:val="18"/>
        </w:rPr>
        <w:t>拟</w:t>
      </w:r>
      <w:r w:rsidRPr="00A758BC">
        <w:rPr>
          <w:rFonts w:ascii="Times New Roman" w:hAnsi="Times New Roman" w:cs="Times New Roman" w:hint="eastAsia"/>
          <w:sz w:val="18"/>
          <w:szCs w:val="18"/>
        </w:rPr>
        <w:t>用于</w:t>
      </w:r>
      <w:r w:rsidRPr="00A758BC">
        <w:rPr>
          <w:rFonts w:ascii="Times New Roman" w:hAnsi="Times New Roman" w:cs="Times New Roman"/>
          <w:sz w:val="18"/>
          <w:szCs w:val="18"/>
        </w:rPr>
        <w:t>合有效质量</w:t>
      </w:r>
      <w:r w:rsidRPr="00A758BC">
        <w:rPr>
          <w:rFonts w:ascii="Times New Roman" w:hAnsi="Times New Roman" w:cs="Times New Roman" w:hint="eastAsia"/>
          <w:sz w:val="18"/>
          <w:szCs w:val="18"/>
        </w:rPr>
        <w:t>的</w:t>
      </w:r>
      <w:r w:rsidRPr="00A758BC">
        <w:rPr>
          <w:rFonts w:ascii="Times New Roman" w:hAnsi="Times New Roman" w:cs="Times New Roman"/>
          <w:sz w:val="18"/>
          <w:szCs w:val="18"/>
        </w:rPr>
        <w:t>K</w:t>
      </w:r>
      <w:r w:rsidRPr="00A758BC">
        <w:rPr>
          <w:rFonts w:ascii="Times New Roman" w:hAnsi="Times New Roman" w:cs="Times New Roman"/>
          <w:sz w:val="18"/>
          <w:szCs w:val="18"/>
        </w:rPr>
        <w:t>点数</w:t>
      </w:r>
      <w:r w:rsidRPr="00A758BC">
        <w:rPr>
          <w:rFonts w:ascii="Times New Roman" w:hAnsi="Times New Roman" w:cs="Times New Roman" w:hint="eastAsia"/>
          <w:sz w:val="18"/>
          <w:szCs w:val="18"/>
        </w:rPr>
        <w:t>，</w:t>
      </w:r>
      <w:r w:rsidRPr="00A758BC">
        <w:rPr>
          <w:rFonts w:ascii="Times New Roman" w:hAnsi="Times New Roman" w:cs="Times New Roman"/>
          <w:sz w:val="18"/>
          <w:szCs w:val="18"/>
        </w:rPr>
        <w:t>例如</w:t>
      </w:r>
      <w:r w:rsidRPr="00A758BC">
        <w:rPr>
          <w:rFonts w:ascii="Times New Roman" w:hAnsi="Times New Roman" w:cs="Times New Roman" w:hint="eastAsia"/>
          <w:sz w:val="18"/>
          <w:szCs w:val="18"/>
        </w:rPr>
        <w:t>1</w:t>
      </w:r>
      <w:r w:rsidRPr="00A758BC">
        <w:rPr>
          <w:rFonts w:ascii="Times New Roman" w:hAnsi="Times New Roman" w:cs="Times New Roman"/>
          <w:sz w:val="18"/>
          <w:szCs w:val="18"/>
        </w:rPr>
        <w:t>-10</w:t>
      </w:r>
      <w:r w:rsidRPr="00A758BC">
        <w:rPr>
          <w:rFonts w:ascii="Times New Roman" w:hAnsi="Times New Roman" w:cs="Times New Roman" w:hint="eastAsia"/>
          <w:sz w:val="18"/>
          <w:szCs w:val="18"/>
        </w:rPr>
        <w:t>为</w:t>
      </w:r>
      <w:r w:rsidRPr="00A758BC">
        <w:rPr>
          <w:rFonts w:ascii="Times New Roman" w:hAnsi="Times New Roman" w:cs="Times New Roman"/>
          <w:sz w:val="18"/>
          <w:szCs w:val="18"/>
        </w:rPr>
        <w:t>使用前十个</w:t>
      </w:r>
      <w:r w:rsidRPr="00A758BC">
        <w:rPr>
          <w:rFonts w:ascii="Times New Roman" w:hAnsi="Times New Roman" w:cs="Times New Roman"/>
          <w:sz w:val="18"/>
          <w:szCs w:val="18"/>
        </w:rPr>
        <w:t>K</w:t>
      </w:r>
      <w:r w:rsidRPr="00A758BC">
        <w:rPr>
          <w:rFonts w:ascii="Times New Roman" w:hAnsi="Times New Roman" w:cs="Times New Roman"/>
          <w:sz w:val="18"/>
          <w:szCs w:val="18"/>
        </w:rPr>
        <w:t>点，</w:t>
      </w:r>
      <w:r w:rsidRPr="00A758BC">
        <w:rPr>
          <w:rFonts w:ascii="Times New Roman" w:hAnsi="Times New Roman" w:cs="Times New Roman" w:hint="eastAsia"/>
          <w:sz w:val="18"/>
          <w:szCs w:val="18"/>
        </w:rPr>
        <w:t>0</w:t>
      </w:r>
      <w:r w:rsidRPr="00A758BC">
        <w:rPr>
          <w:rFonts w:ascii="Times New Roman" w:hAnsi="Times New Roman" w:cs="Times New Roman" w:hint="eastAsia"/>
          <w:sz w:val="18"/>
          <w:szCs w:val="18"/>
        </w:rPr>
        <w:t>使用</w:t>
      </w:r>
      <w:r w:rsidRPr="00A758BC">
        <w:rPr>
          <w:rFonts w:ascii="Times New Roman" w:hAnsi="Times New Roman" w:cs="Times New Roman"/>
          <w:sz w:val="18"/>
          <w:szCs w:val="18"/>
        </w:rPr>
        <w:t>全部</w:t>
      </w:r>
      <w:r w:rsidRPr="00A758BC">
        <w:rPr>
          <w:rFonts w:ascii="Times New Roman" w:hAnsi="Times New Roman" w:cs="Times New Roman"/>
          <w:sz w:val="18"/>
          <w:szCs w:val="18"/>
        </w:rPr>
        <w:t>K</w:t>
      </w:r>
      <w:r w:rsidRPr="00A758BC">
        <w:rPr>
          <w:rFonts w:ascii="Times New Roman" w:hAnsi="Times New Roman" w:cs="Times New Roman"/>
          <w:sz w:val="18"/>
          <w:szCs w:val="18"/>
        </w:rPr>
        <w:t>点</w:t>
      </w:r>
    </w:p>
    <w:p w14:paraId="736E8291" w14:textId="77777777" w:rsidR="00E20A6A" w:rsidRPr="00E20A6A" w:rsidRDefault="00A758BC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VM  = 28  </w:t>
      </w:r>
      <w:r w:rsidR="00E20A6A" w:rsidRPr="00E20A6A">
        <w:rPr>
          <w:rFonts w:ascii="Times New Roman" w:hAnsi="Times New Roman" w:cs="Times New Roman"/>
          <w:sz w:val="22"/>
          <w:szCs w:val="22"/>
        </w:rPr>
        <w:t>#</w:t>
      </w:r>
      <w:r w:rsidRPr="00A758BC">
        <w:rPr>
          <w:rFonts w:ascii="Times New Roman" w:hAnsi="Times New Roman" w:cs="Times New Roman"/>
          <w:sz w:val="22"/>
          <w:szCs w:val="22"/>
        </w:rPr>
        <w:t xml:space="preserve"> </w:t>
      </w:r>
      <w:r w:rsidRPr="00E20A6A">
        <w:rPr>
          <w:rFonts w:ascii="Times New Roman" w:hAnsi="Times New Roman" w:cs="Times New Roman"/>
          <w:sz w:val="22"/>
          <w:szCs w:val="22"/>
        </w:rPr>
        <w:t>VBM</w:t>
      </w:r>
      <w:r>
        <w:rPr>
          <w:rFonts w:ascii="Times New Roman" w:hAnsi="Times New Roman" w:cs="Times New Roman" w:hint="eastAsia"/>
          <w:sz w:val="22"/>
          <w:szCs w:val="22"/>
        </w:rPr>
        <w:t>的</w:t>
      </w:r>
      <w:r>
        <w:rPr>
          <w:rFonts w:ascii="Times New Roman" w:hAnsi="Times New Roman" w:cs="Times New Roman" w:hint="eastAsia"/>
          <w:sz w:val="22"/>
          <w:szCs w:val="22"/>
        </w:rPr>
        <w:t>band</w:t>
      </w:r>
      <w:r>
        <w:rPr>
          <w:rFonts w:ascii="Times New Roman" w:hAnsi="Times New Roman" w:cs="Times New Roman"/>
          <w:sz w:val="22"/>
          <w:szCs w:val="22"/>
        </w:rPr>
        <w:t>数</w:t>
      </w:r>
      <w:r>
        <w:rPr>
          <w:rFonts w:ascii="Times New Roman" w:hAnsi="Times New Roman" w:cs="Times New Roman" w:hint="eastAsia"/>
          <w:sz w:val="22"/>
          <w:szCs w:val="22"/>
        </w:rPr>
        <w:t>（</w:t>
      </w:r>
      <w:r>
        <w:rPr>
          <w:rFonts w:ascii="Times New Roman" w:hAnsi="Times New Roman" w:cs="Times New Roman"/>
          <w:sz w:val="22"/>
          <w:szCs w:val="22"/>
        </w:rPr>
        <w:t>或者想</w:t>
      </w:r>
      <w:r>
        <w:rPr>
          <w:rFonts w:ascii="Times New Roman" w:hAnsi="Times New Roman" w:cs="Times New Roman" w:hint="eastAsia"/>
          <w:sz w:val="22"/>
          <w:szCs w:val="22"/>
        </w:rPr>
        <w:t>拟合</w:t>
      </w:r>
      <w:r>
        <w:rPr>
          <w:rFonts w:ascii="Times New Roman" w:hAnsi="Times New Roman" w:cs="Times New Roman"/>
          <w:sz w:val="22"/>
          <w:szCs w:val="22"/>
        </w:rPr>
        <w:t>有效质量的任意</w:t>
      </w:r>
      <w:r>
        <w:rPr>
          <w:rFonts w:ascii="Times New Roman" w:hAnsi="Times New Roman" w:cs="Times New Roman"/>
          <w:sz w:val="22"/>
          <w:szCs w:val="22"/>
        </w:rPr>
        <w:t>band</w:t>
      </w:r>
      <w:r>
        <w:rPr>
          <w:rFonts w:ascii="Times New Roman" w:hAnsi="Times New Roman" w:cs="Times New Roman"/>
          <w:sz w:val="22"/>
          <w:szCs w:val="22"/>
        </w:rPr>
        <w:t>数</w:t>
      </w:r>
      <w:r>
        <w:rPr>
          <w:rFonts w:ascii="Times New Roman" w:hAnsi="Times New Roman" w:cs="Times New Roman" w:hint="eastAsia"/>
          <w:sz w:val="22"/>
          <w:szCs w:val="22"/>
        </w:rPr>
        <w:t>）</w:t>
      </w:r>
    </w:p>
    <w:p w14:paraId="7193E896" w14:textId="77777777" w:rsidR="00E20A6A" w:rsidRPr="00E20A6A" w:rsidRDefault="00E20A6A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  <w:r w:rsidRPr="00E20A6A">
        <w:rPr>
          <w:rFonts w:ascii="Times New Roman" w:hAnsi="Times New Roman" w:cs="Times New Roman"/>
          <w:sz w:val="22"/>
          <w:szCs w:val="22"/>
        </w:rPr>
        <w:t>KCBM = 0</w:t>
      </w:r>
    </w:p>
    <w:p w14:paraId="524EC2B2" w14:textId="77777777" w:rsidR="00E20A6A" w:rsidRPr="00E20A6A" w:rsidRDefault="00E20A6A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  <w:r w:rsidRPr="00E20A6A">
        <w:rPr>
          <w:rFonts w:ascii="Times New Roman" w:hAnsi="Times New Roman" w:cs="Times New Roman"/>
          <w:sz w:val="22"/>
          <w:szCs w:val="22"/>
        </w:rPr>
        <w:t>CM  = 29       #CBM</w:t>
      </w:r>
    </w:p>
    <w:p w14:paraId="328FF869" w14:textId="77777777" w:rsidR="00E20A6A" w:rsidRPr="00E20A6A" w:rsidRDefault="00E20A6A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</w:p>
    <w:p w14:paraId="5839B480" w14:textId="77777777" w:rsidR="00E20A6A" w:rsidRPr="00E20A6A" w:rsidRDefault="00E20A6A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  <w:r w:rsidRPr="00E20A6A">
        <w:rPr>
          <w:rFonts w:ascii="Times New Roman" w:hAnsi="Times New Roman" w:cs="Times New Roman"/>
          <w:sz w:val="22"/>
          <w:szCs w:val="22"/>
        </w:rPr>
        <w:t>#FitEl</w:t>
      </w:r>
    </w:p>
    <w:p w14:paraId="38CE82F8" w14:textId="77777777" w:rsidR="00E20A6A" w:rsidRPr="00E20A6A" w:rsidRDefault="00A758BC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KEV = 10       #</w:t>
      </w:r>
      <w:r>
        <w:rPr>
          <w:rFonts w:ascii="Times New Roman" w:hAnsi="Times New Roman" w:cs="Times New Roman" w:hint="eastAsia"/>
          <w:sz w:val="22"/>
          <w:szCs w:val="22"/>
        </w:rPr>
        <w:t>指定</w:t>
      </w:r>
      <w:r>
        <w:rPr>
          <w:rFonts w:ascii="Times New Roman" w:hAnsi="Times New Roman" w:cs="Times New Roman"/>
          <w:sz w:val="22"/>
          <w:szCs w:val="22"/>
        </w:rPr>
        <w:t>计算</w:t>
      </w:r>
      <w:r>
        <w:rPr>
          <w:rFonts w:ascii="Times New Roman" w:hAnsi="Times New Roman" w:cs="Times New Roman" w:hint="eastAsia"/>
          <w:sz w:val="22"/>
          <w:szCs w:val="22"/>
        </w:rPr>
        <w:t>第几个</w:t>
      </w:r>
      <w:r>
        <w:rPr>
          <w:rFonts w:ascii="Times New Roman" w:hAnsi="Times New Roman" w:cs="Times New Roman"/>
          <w:sz w:val="22"/>
          <w:szCs w:val="22"/>
        </w:rPr>
        <w:t>K</w:t>
      </w:r>
      <w:r>
        <w:rPr>
          <w:rFonts w:ascii="Times New Roman" w:hAnsi="Times New Roman" w:cs="Times New Roman"/>
          <w:sz w:val="22"/>
          <w:szCs w:val="22"/>
        </w:rPr>
        <w:t>点的</w:t>
      </w:r>
      <w:r>
        <w:rPr>
          <w:rFonts w:ascii="Times New Roman" w:hAnsi="Times New Roman" w:cs="Times New Roman" w:hint="eastAsia"/>
          <w:sz w:val="22"/>
          <w:szCs w:val="22"/>
        </w:rPr>
        <w:t>形变势</w:t>
      </w:r>
    </w:p>
    <w:p w14:paraId="65833038" w14:textId="77777777" w:rsidR="00E20A6A" w:rsidRPr="00E20A6A" w:rsidRDefault="00E20A6A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  <w:r w:rsidRPr="00E20A6A">
        <w:rPr>
          <w:rFonts w:ascii="Times New Roman" w:hAnsi="Times New Roman" w:cs="Times New Roman"/>
          <w:sz w:val="22"/>
          <w:szCs w:val="22"/>
        </w:rPr>
        <w:t>VE  = 28       #VBM</w:t>
      </w:r>
      <w:r w:rsidR="00A758BC">
        <w:rPr>
          <w:rFonts w:ascii="Times New Roman" w:hAnsi="Times New Roman" w:cs="Times New Roman" w:hint="eastAsia"/>
          <w:sz w:val="22"/>
          <w:szCs w:val="22"/>
        </w:rPr>
        <w:t>的</w:t>
      </w:r>
      <w:r w:rsidR="00A758BC">
        <w:rPr>
          <w:rFonts w:ascii="Times New Roman" w:hAnsi="Times New Roman" w:cs="Times New Roman" w:hint="eastAsia"/>
          <w:sz w:val="22"/>
          <w:szCs w:val="22"/>
        </w:rPr>
        <w:t>band</w:t>
      </w:r>
      <w:r w:rsidR="00A758BC">
        <w:rPr>
          <w:rFonts w:ascii="Times New Roman" w:hAnsi="Times New Roman" w:cs="Times New Roman"/>
          <w:sz w:val="22"/>
          <w:szCs w:val="22"/>
        </w:rPr>
        <w:t>数</w:t>
      </w:r>
    </w:p>
    <w:p w14:paraId="74DDC329" w14:textId="77777777" w:rsidR="00E20A6A" w:rsidRPr="00E20A6A" w:rsidRDefault="00E20A6A" w:rsidP="00E20A6A">
      <w:pPr>
        <w:pStyle w:val="a3"/>
        <w:spacing w:before="200" w:beforeAutospacing="0"/>
        <w:rPr>
          <w:rFonts w:ascii="Times New Roman" w:hAnsi="Times New Roman" w:cs="Times New Roman"/>
          <w:sz w:val="22"/>
          <w:szCs w:val="22"/>
        </w:rPr>
      </w:pPr>
      <w:r w:rsidRPr="00E20A6A">
        <w:rPr>
          <w:rFonts w:ascii="Times New Roman" w:hAnsi="Times New Roman" w:cs="Times New Roman"/>
          <w:sz w:val="22"/>
          <w:szCs w:val="22"/>
        </w:rPr>
        <w:t>KEC = 10</w:t>
      </w:r>
    </w:p>
    <w:p w14:paraId="7A94EE88" w14:textId="7E73AD8D" w:rsidR="00E20A6A" w:rsidRDefault="00E20A6A" w:rsidP="00E20A6A">
      <w:pPr>
        <w:pStyle w:val="a3"/>
        <w:spacing w:before="20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E20A6A">
        <w:rPr>
          <w:rFonts w:ascii="Times New Roman" w:hAnsi="Times New Roman" w:cs="Times New Roman"/>
          <w:sz w:val="22"/>
          <w:szCs w:val="22"/>
        </w:rPr>
        <w:t>CE  = 29       #CBM</w:t>
      </w:r>
    </w:p>
    <w:p w14:paraId="36D60584" w14:textId="4B9E6634" w:rsidR="00F73EB3" w:rsidRDefault="00F73EB3" w:rsidP="00E20A6A">
      <w:pPr>
        <w:pStyle w:val="a3"/>
        <w:spacing w:before="20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6E3C0FA0" w14:textId="77777777" w:rsidR="00F73EB3" w:rsidRDefault="00F73EB3" w:rsidP="00F73EB3">
      <w:pPr>
        <w:pStyle w:val="a3"/>
        <w:spacing w:before="200" w:beforeAutospacing="0" w:after="0" w:afterAutospacing="0" w:line="216" w:lineRule="auto"/>
        <w:rPr>
          <w:rFonts w:asciiTheme="minorHAnsi" w:eastAsiaTheme="minorEastAsia" w:hAnsi="等线" w:cstheme="minorBidi" w:hint="eastAsia"/>
          <w:b/>
          <w:color w:val="000000" w:themeColor="text1"/>
          <w:kern w:val="24"/>
          <w:sz w:val="21"/>
          <w:szCs w:val="21"/>
        </w:rPr>
      </w:pPr>
      <w:r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迁移率计算</w:t>
      </w:r>
      <w:r>
        <w:rPr>
          <w:rFonts w:asciiTheme="minorHAnsi" w:eastAsiaTheme="minorEastAsia" w:hAnsi="等线" w:cstheme="minorBidi" w:hint="eastAsia"/>
          <w:b/>
          <w:color w:val="000000" w:themeColor="text1"/>
          <w:kern w:val="24"/>
          <w:sz w:val="21"/>
          <w:szCs w:val="21"/>
        </w:rPr>
        <w:t>使用公式及</w:t>
      </w:r>
      <w:r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相关推导过程</w:t>
      </w:r>
      <w:r>
        <w:rPr>
          <w:rFonts w:asciiTheme="minorHAnsi" w:eastAsiaTheme="minorEastAsia" w:hAnsi="等线" w:cstheme="minorBidi" w:hint="eastAsia"/>
          <w:b/>
          <w:color w:val="000000" w:themeColor="text1"/>
          <w:kern w:val="24"/>
          <w:sz w:val="21"/>
          <w:szCs w:val="21"/>
        </w:rPr>
        <w:t>参考</w:t>
      </w:r>
      <w:r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文献如下</w:t>
      </w:r>
    </w:p>
    <w:p w14:paraId="11306F81" w14:textId="77777777" w:rsidR="00F73EB3" w:rsidRPr="00F73EB3" w:rsidRDefault="00F73EB3" w:rsidP="00F73EB3">
      <w:pPr>
        <w:pStyle w:val="a3"/>
        <w:spacing w:before="200" w:line="216" w:lineRule="auto"/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</w:pPr>
      <w:r w:rsidRPr="00F73EB3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[</w:t>
      </w:r>
      <w:r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1</w:t>
      </w:r>
      <w:r w:rsidRPr="00F73EB3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] S. Takagi, A. Toriumi, M. Iwase and H. Tango, IEEE Trans. Electron Devices 41, 2363-2368 (1994).</w:t>
      </w:r>
    </w:p>
    <w:p w14:paraId="0A325D71" w14:textId="77777777" w:rsidR="00F73EB3" w:rsidRPr="00F73EB3" w:rsidRDefault="00F73EB3" w:rsidP="00F73EB3">
      <w:pPr>
        <w:pStyle w:val="a3"/>
        <w:spacing w:before="200" w:line="216" w:lineRule="auto"/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</w:pPr>
      <w:r w:rsidRPr="00F73EB3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[</w:t>
      </w:r>
      <w:r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2</w:t>
      </w:r>
      <w:r w:rsidRPr="00F73EB3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] G. Fiori and G. Iannaccone, Proc. IEEE 101, 1653-1669 (2013).</w:t>
      </w:r>
    </w:p>
    <w:p w14:paraId="493766A8" w14:textId="77777777" w:rsidR="00F73EB3" w:rsidRPr="00F73EB3" w:rsidRDefault="00F73EB3" w:rsidP="00F73EB3">
      <w:pPr>
        <w:pStyle w:val="a3"/>
        <w:spacing w:before="200" w:line="216" w:lineRule="auto"/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</w:pPr>
      <w:r w:rsidRPr="00F73EB3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[</w:t>
      </w:r>
      <w:r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3</w:t>
      </w:r>
      <w:r w:rsidRPr="00F73EB3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] P. Kang, V. Michaud-Rioux, X.H. Kong, G.H. Yu and H. Guo, 2D Materials 4, 045014 (2017).</w:t>
      </w:r>
    </w:p>
    <w:p w14:paraId="6D6A141E" w14:textId="77777777" w:rsidR="00F73EB3" w:rsidRDefault="00F73EB3" w:rsidP="00F73EB3">
      <w:pPr>
        <w:pStyle w:val="a3"/>
        <w:spacing w:before="200" w:beforeAutospacing="0" w:after="0" w:afterAutospacing="0" w:line="216" w:lineRule="auto"/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</w:pPr>
      <w:r w:rsidRPr="00F73EB3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[</w:t>
      </w:r>
      <w:r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4</w:t>
      </w:r>
      <w:r w:rsidRPr="00F73EB3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] P. Kang, W.-T. Zhang, V. Michaud-Rioux, X.-H. Kong, C. Hu, G.-H. Yu and H. Guo, Phys. Rev. B 96, 195406 (2017).</w:t>
      </w:r>
    </w:p>
    <w:p w14:paraId="1992C1FB" w14:textId="77777777" w:rsidR="00F73EB3" w:rsidRPr="00E07EDC" w:rsidRDefault="00F73EB3" w:rsidP="00F73EB3">
      <w:pPr>
        <w:pStyle w:val="a3"/>
        <w:spacing w:before="200" w:beforeAutospacing="0" w:after="0" w:afterAutospacing="0" w:line="216" w:lineRule="auto"/>
        <w:rPr>
          <w:rFonts w:asciiTheme="minorHAnsi" w:eastAsiaTheme="minorEastAsia" w:hAnsi="等线" w:cstheme="minorBidi" w:hint="eastAsia"/>
          <w:b/>
          <w:color w:val="000000" w:themeColor="text1"/>
          <w:kern w:val="24"/>
          <w:sz w:val="21"/>
          <w:szCs w:val="21"/>
        </w:rPr>
      </w:pPr>
      <w:r w:rsidRPr="00F73EB3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[</w:t>
      </w:r>
      <w:r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5</w:t>
      </w:r>
      <w:r w:rsidRPr="00F73EB3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>]</w:t>
      </w:r>
      <w:r w:rsidRPr="00F73EB3">
        <w:rPr>
          <w:rFonts w:asciiTheme="minorHAnsi" w:eastAsiaTheme="minorEastAsia" w:hAnsi="等线" w:cstheme="minorBidi"/>
          <w:b/>
          <w:color w:val="000000" w:themeColor="text1"/>
          <w:kern w:val="24"/>
          <w:sz w:val="21"/>
          <w:szCs w:val="21"/>
        </w:rPr>
        <w:tab/>
        <w:t>C. Wang, X. Zhou, Y. Pan, J. Qiao, X. Kong, C.-C. Kaun, and W. Ji, Phys. Rev. B 97, 245409 (2018).</w:t>
      </w:r>
    </w:p>
    <w:p w14:paraId="16C3BD26" w14:textId="77777777" w:rsidR="00F73EB3" w:rsidRPr="00E20A6A" w:rsidRDefault="00F73EB3" w:rsidP="00E20A6A">
      <w:pPr>
        <w:pStyle w:val="a3"/>
        <w:spacing w:before="200" w:beforeAutospacing="0" w:after="0" w:afterAutospacing="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F73EB3" w:rsidRPr="00E20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2D059" w14:textId="77777777" w:rsidR="002F47F7" w:rsidRDefault="002F47F7" w:rsidP="00CE1DDA">
      <w:r>
        <w:separator/>
      </w:r>
    </w:p>
  </w:endnote>
  <w:endnote w:type="continuationSeparator" w:id="0">
    <w:p w14:paraId="20B56B02" w14:textId="77777777" w:rsidR="002F47F7" w:rsidRDefault="002F47F7" w:rsidP="00CE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412B2" w14:textId="77777777" w:rsidR="002F47F7" w:rsidRDefault="002F47F7" w:rsidP="00CE1DDA">
      <w:r>
        <w:separator/>
      </w:r>
    </w:p>
  </w:footnote>
  <w:footnote w:type="continuationSeparator" w:id="0">
    <w:p w14:paraId="345C0D3E" w14:textId="77777777" w:rsidR="002F47F7" w:rsidRDefault="002F47F7" w:rsidP="00CE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D1B20"/>
    <w:multiLevelType w:val="hybridMultilevel"/>
    <w:tmpl w:val="C7968318"/>
    <w:lvl w:ilvl="0" w:tplc="9300F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0A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E9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48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68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49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E9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AD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AA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D6D3DDB"/>
    <w:multiLevelType w:val="hybridMultilevel"/>
    <w:tmpl w:val="50843BD4"/>
    <w:lvl w:ilvl="0" w:tplc="B192C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2A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EC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04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C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D43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AD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CB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8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6A"/>
    <w:rsid w:val="002F47F7"/>
    <w:rsid w:val="00345994"/>
    <w:rsid w:val="003B034A"/>
    <w:rsid w:val="00A758BC"/>
    <w:rsid w:val="00AB6AA0"/>
    <w:rsid w:val="00CE1DDA"/>
    <w:rsid w:val="00D433CE"/>
    <w:rsid w:val="00D87A5C"/>
    <w:rsid w:val="00E07EDC"/>
    <w:rsid w:val="00E20A6A"/>
    <w:rsid w:val="00E56400"/>
    <w:rsid w:val="00F7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925D2"/>
  <w15:chartTrackingRefBased/>
  <w15:docId w15:val="{9F16B0DE-F4CA-4E07-81D7-6D9A36AE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0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20A6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D87A5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D87A5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D87A5C"/>
  </w:style>
  <w:style w:type="paragraph" w:styleId="a8">
    <w:name w:val="annotation subject"/>
    <w:basedOn w:val="a6"/>
    <w:next w:val="a6"/>
    <w:link w:val="a9"/>
    <w:uiPriority w:val="99"/>
    <w:semiHidden/>
    <w:unhideWhenUsed/>
    <w:rsid w:val="00D87A5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87A5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87A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87A5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CE1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CE1DD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E1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E1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6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1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8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249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Cong</dc:creator>
  <cp:keywords/>
  <dc:description/>
  <cp:lastModifiedBy>Wang Cong</cp:lastModifiedBy>
  <cp:revision>8</cp:revision>
  <dcterms:created xsi:type="dcterms:W3CDTF">2018-07-12T07:10:00Z</dcterms:created>
  <dcterms:modified xsi:type="dcterms:W3CDTF">2018-07-12T09:02:00Z</dcterms:modified>
</cp:coreProperties>
</file>