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777530E1" w14:textId="77777777">
        <w:tc>
          <w:tcPr>
            <w:tcW w:w="10053" w:type="dxa"/>
          </w:tcPr>
          <w:p w14:paraId="298F993C"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4F64AD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7A2153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2014A32B" w14:textId="77777777" w:rsidR="00853D6D" w:rsidRDefault="001D6274" w:rsidP="00853D6D">
            <w:pPr>
              <w:pStyle w:val="Affilation"/>
            </w:pPr>
            <w:r>
              <w:rPr>
                <w:vertAlign w:val="superscript"/>
              </w:rPr>
              <w:t>1</w:t>
            </w:r>
            <w:r w:rsidR="00853D6D">
              <w:t>Departme</w:t>
            </w:r>
            <w:r w:rsidR="00072480">
              <w:t>nt of Molecular and Human Genetics, Baylor College of Medicine, One Baylor Plaza, Houston, Texas 77030, USA</w:t>
            </w:r>
          </w:p>
          <w:p w14:paraId="52C4677C"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53C2E918" w14:textId="77777777" w:rsidR="00853D6D" w:rsidRPr="00853D6D" w:rsidRDefault="00853D6D" w:rsidP="00853D6D">
            <w:pPr>
              <w:pStyle w:val="Received"/>
              <w:rPr>
                <w:sz w:val="28"/>
                <w:szCs w:val="28"/>
              </w:rPr>
            </w:pPr>
            <w:r>
              <w:rPr>
                <w:sz w:val="20"/>
                <w:szCs w:val="28"/>
              </w:rPr>
              <w:t>Associate Editor: XXXXXXX</w:t>
            </w:r>
          </w:p>
        </w:tc>
      </w:tr>
    </w:tbl>
    <w:p w14:paraId="65E12EE8" w14:textId="77777777" w:rsidR="00D83B8A" w:rsidRDefault="00D83B8A">
      <w:pPr>
        <w:pStyle w:val="AbstractHead"/>
        <w:spacing w:line="14" w:lineRule="exact"/>
      </w:pPr>
    </w:p>
    <w:p w14:paraId="0AD16E3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7D4DEE"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25236E2B" w14:textId="1973C48D" w:rsidR="00BE08B0" w:rsidRDefault="00D83B8A">
      <w:pPr>
        <w:pStyle w:val="AbstractText"/>
        <w:rPr>
          <w:lang w:eastAsia="zh-CN"/>
        </w:rPr>
      </w:pPr>
      <w:r>
        <w:rPr>
          <w:b/>
          <w:bCs/>
        </w:rPr>
        <w:t>Motivation:</w:t>
      </w:r>
      <w:r>
        <w:t xml:space="preserve"> </w:t>
      </w:r>
      <w:r w:rsidR="002A6F89" w:rsidRPr="002A6F89">
        <w:t>Traditionally, linkage analysis has been the main approach to elucidate causes of Mendelian disorders in families with multiple affected individuals. Recent advances in n</w:t>
      </w:r>
      <w:r w:rsidR="00530B5C">
        <w:t xml:space="preserve">ext generation sequencing (NGS) </w:t>
      </w:r>
      <w:r w:rsidR="002A6F89" w:rsidRPr="002A6F89">
        <w:t>technology</w:t>
      </w:r>
      <w:r w:rsidR="00A269FA">
        <w:t xml:space="preserve"> </w:t>
      </w:r>
      <w:r w:rsidR="002A6F89" w:rsidRPr="002A6F89">
        <w:t xml:space="preserve">has made it standard approach to prioritize and screen for causal mutations in whole-genome or whole-exome sequenced individuals suffering from Mendelian diseases. Linkage analysis using SNP </w:t>
      </w:r>
      <w:r w:rsidR="00FA7C07">
        <w:t>arrays</w:t>
      </w:r>
      <w:r w:rsidR="002A6F89" w:rsidRPr="002A6F89">
        <w:t xml:space="preserve"> in conjunction with sequence analysis is gaining popularity in the human genetics community, yet there are few applications of directly performing linkag</w:t>
      </w:r>
      <w:r w:rsidR="008F2044">
        <w:t>e analysis using sequence data.</w:t>
      </w:r>
    </w:p>
    <w:p w14:paraId="5B461EC4" w14:textId="3525CB4B" w:rsidR="008E5378" w:rsidRDefault="00F70A6D">
      <w:pPr>
        <w:pStyle w:val="AbstractText"/>
      </w:pPr>
      <w:r w:rsidRPr="0014764A">
        <w:rPr>
          <w:b/>
        </w:rPr>
        <w:t>Summary:</w:t>
      </w:r>
      <w:r w:rsidR="00CE0A55">
        <w:t xml:space="preserve"> </w:t>
      </w:r>
      <w:r w:rsidR="002A6F89" w:rsidRPr="002A6F89">
        <w:t xml:space="preserve">Inspired by the “aggregation analysis” commonly practiced in rare variants complex disease association studies, we have developed a collapsed haplotype pattern method to generate markers from sequence data for linkage analysis. We demonstrate with a range of simulation studies of two-point linkage analysis that our method is substantially more powerful over linkage analysis using single nucleotide variants. We developed the </w:t>
      </w:r>
      <w:r w:rsidR="00D304C2">
        <w:t>SEQLinkage</w:t>
      </w:r>
      <w:r w:rsidR="002A6F89" w:rsidRPr="002A6F89">
        <w:t xml:space="preserve"> software package that uses the method des</w:t>
      </w:r>
      <w:r w:rsidR="000F3356">
        <w:t xml:space="preserve">cribed here to perform </w:t>
      </w:r>
      <w:r w:rsidR="002A6F89" w:rsidRPr="002A6F89">
        <w:t xml:space="preserve">linkage analysis on sequence data. Additionally </w:t>
      </w:r>
      <w:r w:rsidR="00D304C2">
        <w:t>SEQLinkage</w:t>
      </w:r>
      <w:r w:rsidR="002A6F89" w:rsidRPr="002A6F89">
        <w:t xml:space="preserve"> can output marker data in formats compatible with </w:t>
      </w:r>
      <w:r w:rsidR="00D304C2">
        <w:t>LINKAGE</w:t>
      </w:r>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14:paraId="2C17396B" w14:textId="120B4E41" w:rsidR="00612E57" w:rsidRDefault="00F70A6D" w:rsidP="00612E57">
      <w:pPr>
        <w:pStyle w:val="AbstractText"/>
        <w:jc w:val="left"/>
      </w:pPr>
      <w:r w:rsidRPr="0014764A">
        <w:rPr>
          <w:b/>
        </w:rPr>
        <w:t>Availability:</w:t>
      </w:r>
      <w:r w:rsidR="000107E5">
        <w:rPr>
          <w:rFonts w:hint="eastAsia"/>
          <w:b/>
          <w:lang w:eastAsia="zh-CN"/>
        </w:rPr>
        <w:t xml:space="preserve"> </w:t>
      </w:r>
      <w:r w:rsidR="001E6EF4">
        <w:rPr>
          <w:lang w:eastAsia="zh-CN"/>
        </w:rPr>
        <w:t>SEQLinkage</w:t>
      </w:r>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14:paraId="12028D26" w14:textId="77777777" w:rsidR="00F70A6D" w:rsidRDefault="0014764A">
      <w:pPr>
        <w:pStyle w:val="AbstractText"/>
      </w:pPr>
      <w:r>
        <w:rPr>
          <w:b/>
        </w:rPr>
        <w:t>Contact:</w:t>
      </w:r>
      <w:r>
        <w:t xml:space="preserve"> </w:t>
      </w:r>
      <w:r w:rsidR="00BA77F2">
        <w:t>sleal@bcm.edu</w:t>
      </w:r>
    </w:p>
    <w:p w14:paraId="06EDA507" w14:textId="0D8236AD" w:rsidR="00D83B8A" w:rsidRPr="0030281D" w:rsidRDefault="0093533F" w:rsidP="00FD4CB6">
      <w:pPr>
        <w:pStyle w:val="Heading1"/>
        <w:spacing w:before="280"/>
        <w:ind w:left="360" w:hanging="360"/>
      </w:pPr>
      <w:r>
        <w:t>introduction</w:t>
      </w:r>
    </w:p>
    <w:p w14:paraId="65E0B630" w14:textId="2B69D4B1" w:rsidR="0071137B" w:rsidRDefault="00E85B98" w:rsidP="0049623A">
      <w:pPr>
        <w:pStyle w:val="ParaNoInd"/>
        <w:spacing w:after="40"/>
        <w:rPr>
          <w:lang w:eastAsia="zh-CN"/>
        </w:rPr>
      </w:pPr>
      <w:r>
        <w:rPr>
          <w:lang w:eastAsia="zh-CN"/>
        </w:rPr>
        <w:t xml:space="preserve">The advent and advance of next generation sequencing technology </w:t>
      </w:r>
      <w:r w:rsidR="00196C0C">
        <w:rPr>
          <w:lang w:eastAsia="zh-CN"/>
        </w:rPr>
        <w:t xml:space="preserve">(NGS) </w:t>
      </w:r>
      <w:r w:rsidR="00992D1F">
        <w:rPr>
          <w:lang w:eastAsia="zh-CN"/>
        </w:rPr>
        <w:t xml:space="preserve">in recent years </w:t>
      </w:r>
      <w:r>
        <w:rPr>
          <w:lang w:eastAsia="zh-CN"/>
        </w:rPr>
        <w:t xml:space="preserve">has led to </w:t>
      </w:r>
      <w:r w:rsidR="00992D1F">
        <w:rPr>
          <w:lang w:eastAsia="zh-CN"/>
        </w:rPr>
        <w:t xml:space="preserve">identifications of </w:t>
      </w:r>
      <w:r w:rsidR="00684287">
        <w:rPr>
          <w:lang w:eastAsia="zh-CN"/>
        </w:rPr>
        <w:t>a large number of gene</w:t>
      </w:r>
      <w:r w:rsidR="00992D1F">
        <w:rPr>
          <w:lang w:eastAsia="zh-CN"/>
        </w:rPr>
        <w:t xml:space="preserve">s for </w:t>
      </w:r>
      <w:r>
        <w:rPr>
          <w:lang w:eastAsia="zh-CN"/>
        </w:rPr>
        <w:t>rare Men</w:t>
      </w:r>
      <w:r w:rsidR="00A269FA">
        <w:rPr>
          <w:lang w:eastAsia="zh-CN"/>
        </w:rPr>
        <w:t>delian disorders</w:t>
      </w:r>
      <w:r w:rsidR="00627E45">
        <w:rPr>
          <w:lang w:eastAsia="zh-CN"/>
        </w:rPr>
        <w:t xml:space="preserve">. </w:t>
      </w:r>
      <w:r w:rsidR="00FD18B4">
        <w:rPr>
          <w:lang w:eastAsia="zh-CN"/>
        </w:rPr>
        <w:t xml:space="preserve">Typical </w:t>
      </w:r>
      <w:r w:rsidR="00E00CD4">
        <w:rPr>
          <w:lang w:eastAsia="zh-CN"/>
        </w:rPr>
        <w:t>approach</w:t>
      </w:r>
      <w:r w:rsidR="0014703B">
        <w:rPr>
          <w:lang w:eastAsia="zh-CN"/>
        </w:rPr>
        <w:t xml:space="preserve"> to find </w:t>
      </w:r>
      <w:r w:rsidR="00DD1B3A">
        <w:rPr>
          <w:lang w:eastAsia="zh-CN"/>
        </w:rPr>
        <w:t xml:space="preserve">Mendelian disease causing variants using whole-genome </w:t>
      </w:r>
      <w:r w:rsidR="00CF0E31">
        <w:rPr>
          <w:lang w:eastAsia="zh-CN"/>
        </w:rPr>
        <w:t xml:space="preserve">(WGS) </w:t>
      </w:r>
      <w:r w:rsidR="00DD1B3A">
        <w:rPr>
          <w:lang w:eastAsia="zh-CN"/>
        </w:rPr>
        <w:t>or whol</w:t>
      </w:r>
      <w:r w:rsidR="000B7D97">
        <w:rPr>
          <w:lang w:eastAsia="zh-CN"/>
        </w:rPr>
        <w:t xml:space="preserve">e 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only shared </w:t>
      </w:r>
      <w:r w:rsidR="000C15B9">
        <w:rPr>
          <w:lang w:eastAsia="zh-CN"/>
        </w:rPr>
        <w:t>by affected relatives in family.</w:t>
      </w:r>
      <w:r w:rsidR="00085220">
        <w:rPr>
          <w:lang w:eastAsia="zh-CN"/>
        </w:rPr>
        <w:t xml:space="preserve"> While </w:t>
      </w:r>
      <w:r w:rsidR="00204343">
        <w:rPr>
          <w:lang w:eastAsia="zh-CN"/>
        </w:rPr>
        <w:t xml:space="preserve">the filtering </w:t>
      </w:r>
      <w:r w:rsidR="00E87B90">
        <w:rPr>
          <w:lang w:eastAsia="zh-CN"/>
        </w:rPr>
        <w:t>method</w:t>
      </w:r>
      <w:r w:rsidR="00085220">
        <w:rPr>
          <w:lang w:eastAsia="zh-CN"/>
        </w:rPr>
        <w:t xml:space="preserve"> is straightforward and has been </w:t>
      </w:r>
      <w:r w:rsidR="003B5703">
        <w:rPr>
          <w:lang w:eastAsia="zh-CN"/>
        </w:rPr>
        <w:t>successful</w:t>
      </w:r>
      <w:r w:rsidR="003A1646">
        <w:rPr>
          <w:rStyle w:val="CommentReference"/>
          <w:rFonts w:ascii="Times" w:hAnsi="Times"/>
          <w:lang w:val="x-none" w:eastAsia="x-none"/>
        </w:rPr>
        <w:commentReference w:id="0"/>
      </w:r>
      <w:r w:rsidR="00467404">
        <w:rPr>
          <w:lang w:eastAsia="zh-CN"/>
        </w:rPr>
        <w:t xml:space="preserve"> </w:t>
      </w:r>
      <w:r w:rsidR="00467404">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467404">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467404">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rel</w:t>
      </w:r>
      <w:r w:rsidR="00863A81">
        <w:rPr>
          <w:lang w:eastAsia="zh-CN"/>
        </w:rPr>
        <w:t>y</w:t>
      </w:r>
      <w:r w:rsidR="00EA19CB">
        <w:rPr>
          <w:lang w:eastAsia="zh-CN"/>
        </w:rPr>
        <w:t xml:space="preserve"> </w:t>
      </w:r>
      <w:r w:rsidR="00D877AB">
        <w:rPr>
          <w:lang w:eastAsia="zh-CN"/>
        </w:rPr>
        <w:t>sol</w:t>
      </w:r>
      <w:r w:rsidR="00CC3AD6">
        <w:rPr>
          <w:lang w:eastAsia="zh-CN"/>
        </w:rPr>
        <w:t>el</w:t>
      </w:r>
      <w:r w:rsidR="00D877AB">
        <w:rPr>
          <w:lang w:eastAsia="zh-CN"/>
        </w:rPr>
        <w:t xml:space="preserve">y </w:t>
      </w:r>
      <w:r w:rsidR="00A43392">
        <w:rPr>
          <w:lang w:eastAsia="zh-CN"/>
        </w:rPr>
        <w:t xml:space="preserve">on </w:t>
      </w:r>
      <w:r w:rsidR="00DB5AEE">
        <w:rPr>
          <w:lang w:eastAsia="zh-CN"/>
        </w:rPr>
        <w:t xml:space="preserve">obvious co-segregation of variants and </w:t>
      </w:r>
      <w:r w:rsidR="00D3171E">
        <w:rPr>
          <w:lang w:eastAsia="zh-CN"/>
        </w:rPr>
        <w:t>pieces</w:t>
      </w:r>
      <w:r w:rsidR="00081F09">
        <w:rPr>
          <w:lang w:eastAsia="zh-CN"/>
        </w:rPr>
        <w:t xml:space="preserve"> of 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557920">
        <w:rPr>
          <w:lang w:eastAsia="zh-CN"/>
        </w:rPr>
        <w:t xml:space="preserve">. </w:t>
      </w:r>
      <w:r w:rsidR="003752CE">
        <w:rPr>
          <w:lang w:eastAsia="zh-CN"/>
        </w:rPr>
        <w:t xml:space="preserve">Linkage analysis, on the other hand, takes advantage of </w:t>
      </w:r>
      <w:r w:rsidR="00D72C94">
        <w:rPr>
          <w:lang w:eastAsia="zh-CN"/>
        </w:rPr>
        <w:t xml:space="preserve">inheritance </w:t>
      </w:r>
      <w:r w:rsidR="00BF0505">
        <w:rPr>
          <w:lang w:eastAsia="zh-CN"/>
        </w:rPr>
        <w:t>information</w:t>
      </w:r>
      <w:r w:rsidR="00D72C94">
        <w:rPr>
          <w:lang w:eastAsia="zh-CN"/>
        </w:rPr>
        <w:t xml:space="preserve"> </w:t>
      </w:r>
      <w:r w:rsidR="00460BD8">
        <w:rPr>
          <w:lang w:eastAsia="zh-CN"/>
        </w:rPr>
        <w:t>involving</w:t>
      </w:r>
      <w:r w:rsidR="00500408">
        <w:rPr>
          <w:lang w:eastAsia="zh-CN"/>
        </w:rPr>
        <w:t xml:space="preserve"> </w:t>
      </w:r>
      <w:r w:rsidR="00D72C94">
        <w:rPr>
          <w:lang w:eastAsia="zh-CN"/>
        </w:rPr>
        <w:t xml:space="preserve">modeling of inheritance </w:t>
      </w:r>
      <w:r w:rsidR="00460BD8">
        <w:rPr>
          <w:lang w:eastAsia="zh-CN"/>
        </w:rPr>
        <w:t>mode,</w:t>
      </w:r>
      <w:r w:rsidR="00B00072">
        <w:rPr>
          <w:lang w:eastAsia="zh-CN"/>
        </w:rPr>
        <w:t xml:space="preserve"> reduced penetrance,</w:t>
      </w:r>
      <w:r w:rsidR="003752CE">
        <w:rPr>
          <w:lang w:eastAsia="zh-CN"/>
        </w:rPr>
        <w:t xml:space="preserve"> allele frequency</w:t>
      </w:r>
      <w:r w:rsidR="00B00072">
        <w:rPr>
          <w:lang w:eastAsia="zh-CN"/>
        </w:rPr>
        <w:t xml:space="preserve"> and genetic </w:t>
      </w:r>
      <w:r w:rsidR="00B00072">
        <w:rPr>
          <w:lang w:eastAsia="zh-CN"/>
        </w:rPr>
        <w:lastRenderedPageBreak/>
        <w:t>map</w:t>
      </w:r>
      <w:r w:rsidR="003752CE">
        <w:rPr>
          <w:lang w:eastAsia="zh-CN"/>
        </w:rPr>
        <w:t xml:space="preserve"> </w:t>
      </w:r>
      <w:r w:rsidR="00B00072">
        <w:rPr>
          <w:lang w:eastAsia="zh-CN"/>
        </w:rPr>
        <w:t>information</w:t>
      </w:r>
      <w:r w:rsidR="00C76D48">
        <w:rPr>
          <w:lang w:eastAsia="zh-CN"/>
        </w:rPr>
        <w:t>, and remains a powerful tool</w:t>
      </w:r>
      <w:r w:rsidR="00BE5686">
        <w:rPr>
          <w:lang w:eastAsia="zh-CN"/>
        </w:rPr>
        <w:t xml:space="preserve"> to detect</w:t>
      </w:r>
      <w:r w:rsidR="00563FD6">
        <w:rPr>
          <w:lang w:eastAsia="zh-CN"/>
        </w:rPr>
        <w:t xml:space="preserve"> 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r w:rsidR="007A5CBE">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7A5CBE">
        <w:rPr>
          <w:lang w:eastAsia="zh-CN"/>
        </w:rPr>
        <w:fldChar w:fldCharType="separate"/>
      </w:r>
      <w:r w:rsidR="007A5CBE" w:rsidRPr="007A5CBE">
        <w:rPr>
          <w:szCs w:val="24"/>
        </w:rPr>
        <w:t xml:space="preserve">(Louis-Dit-Picard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7A5CBE">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D00E5B">
        <w:rPr>
          <w:lang w:eastAsia="zh-CN"/>
        </w:rPr>
        <w:t xml:space="preserve">single </w:t>
      </w:r>
      <w:r w:rsidR="00123411">
        <w:rPr>
          <w:lang w:eastAsia="zh-CN"/>
        </w:rPr>
        <w:t xml:space="preserve">nucleotide variants (SNVs) </w:t>
      </w:r>
      <w:r w:rsidR="003E3568">
        <w:rPr>
          <w:lang w:eastAsia="zh-CN"/>
        </w:rPr>
        <w:t xml:space="preserve">in linkage equilibrium </w:t>
      </w:r>
      <w:r w:rsidR="00CF0E31">
        <w:rPr>
          <w:lang w:eastAsia="zh-CN"/>
        </w:rPr>
        <w:t>from WES data</w:t>
      </w:r>
      <w:r w:rsidR="00A667C8">
        <w:rPr>
          <w:lang w:eastAsia="zh-CN"/>
        </w:rPr>
        <w:t xml:space="preserve"> </w:t>
      </w:r>
      <w:r w:rsidR="00214443">
        <w:rPr>
          <w:lang w:eastAsia="zh-CN"/>
        </w:rPr>
        <w:t xml:space="preserve">provides acceptable </w:t>
      </w:r>
      <w:r w:rsidR="00A70D45">
        <w:rPr>
          <w:lang w:eastAsia="zh-CN"/>
        </w:rPr>
        <w:t xml:space="preserve">linkage </w:t>
      </w:r>
      <w:r w:rsidR="00214443">
        <w:rPr>
          <w:lang w:eastAsia="zh-CN"/>
        </w:rPr>
        <w:t>results</w:t>
      </w:r>
      <w:r w:rsidR="006A1901">
        <w:rPr>
          <w:lang w:eastAsia="zh-CN"/>
        </w:rPr>
        <w:t xml:space="preserve">, </w:t>
      </w:r>
      <w:r w:rsidR="00323C2D">
        <w:rPr>
          <w:lang w:eastAsia="zh-CN"/>
        </w:rPr>
        <w:t>such</w:t>
      </w:r>
      <w:r w:rsidR="00421DD4">
        <w:rPr>
          <w:lang w:eastAsia="zh-CN"/>
        </w:rPr>
        <w:t xml:space="preserve"> </w:t>
      </w:r>
      <w:r w:rsidR="004B5366">
        <w:rPr>
          <w:lang w:eastAsia="zh-CN"/>
        </w:rPr>
        <w:t>mark</w:t>
      </w:r>
      <w:r w:rsidR="00DA15AD">
        <w:rPr>
          <w:lang w:eastAsia="zh-CN"/>
        </w:rPr>
        <w:t>er</w:t>
      </w:r>
      <w:r w:rsidR="004B5366">
        <w:rPr>
          <w:lang w:eastAsia="zh-CN"/>
        </w:rPr>
        <w:t>s</w:t>
      </w:r>
      <w:r w:rsidR="00421DD4">
        <w:rPr>
          <w:lang w:eastAsia="zh-CN"/>
        </w:rPr>
        <w:t xml:space="preserve"> </w:t>
      </w:r>
      <w:r w:rsidR="00DF64E0">
        <w:rPr>
          <w:lang w:eastAsia="zh-CN"/>
        </w:rPr>
        <w:t>are less heterozygous</w:t>
      </w:r>
      <w:r w:rsidR="00995C17">
        <w:rPr>
          <w:lang w:eastAsia="zh-CN"/>
        </w:rPr>
        <w:t xml:space="preserve"> and less powerful compare to using SNP arrays </w:t>
      </w:r>
      <w:r w:rsidR="00DF64E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F64E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DF64E0">
        <w:rPr>
          <w:lang w:eastAsia="zh-CN"/>
        </w:rPr>
        <w:fldChar w:fldCharType="end"/>
      </w:r>
      <w:r w:rsidR="00552EE0">
        <w:rPr>
          <w:lang w:eastAsia="zh-CN"/>
        </w:rPr>
        <w:t>.</w:t>
      </w:r>
    </w:p>
    <w:p w14:paraId="78BA3590" w14:textId="26677F58"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a </w:t>
      </w:r>
      <w:r w:rsidR="00691CE8" w:rsidRPr="005E3D12">
        <w:rPr>
          <w:szCs w:val="18"/>
        </w:rPr>
        <w:t xml:space="preserve">collapsed haplotype pattern </w:t>
      </w:r>
      <w:r w:rsidR="00691CE8">
        <w:rPr>
          <w:szCs w:val="18"/>
        </w:rPr>
        <w:t>(CHP) method to recode sequence</w:t>
      </w:r>
      <w:r w:rsidR="009F7706">
        <w:rPr>
          <w:szCs w:val="18"/>
        </w:rPr>
        <w:t xml:space="preserve"> data for linkage analysis, </w:t>
      </w:r>
      <w:r w:rsidR="00572239">
        <w:rPr>
          <w:szCs w:val="18"/>
        </w:rPr>
        <w:t>creat</w:t>
      </w:r>
      <w:r w:rsidR="009F7706">
        <w:rPr>
          <w:szCs w:val="18"/>
        </w:rPr>
        <w:t>ing</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 xml:space="preserve">informative for linkage analysis. </w:t>
      </w:r>
      <w:r w:rsidR="00A20286">
        <w:rPr>
          <w:szCs w:val="18"/>
        </w:rPr>
        <w:t>Our method d</w:t>
      </w:r>
      <w:r w:rsidR="00691CE8">
        <w:rPr>
          <w:szCs w:val="18"/>
        </w:rPr>
        <w:t xml:space="preserve">oes not require LD pruning and </w:t>
      </w:r>
      <w:r w:rsidR="00A20286">
        <w:rPr>
          <w:szCs w:val="18"/>
        </w:rPr>
        <w:t xml:space="preserve">is particularly powerful when disease causing mutations harbor in the same genetic region but </w:t>
      </w:r>
      <w:r w:rsidR="00406A8B">
        <w:rPr>
          <w:szCs w:val="18"/>
        </w:rPr>
        <w:t xml:space="preserve">across </w:t>
      </w:r>
      <w:r w:rsidR="00A20286">
        <w:rPr>
          <w:szCs w:val="18"/>
        </w:rPr>
        <w:t xml:space="preserve">different loci </w:t>
      </w:r>
      <w:r w:rsidR="00F96A20">
        <w:rPr>
          <w:szCs w:val="18"/>
        </w:rPr>
        <w:t>among</w:t>
      </w:r>
      <w:r w:rsidR="00A20286">
        <w:rPr>
          <w:szCs w:val="18"/>
        </w:rPr>
        <w:t xml:space="preserve"> multiple families.</w:t>
      </w:r>
      <w:r w:rsidR="00326890">
        <w:rPr>
          <w:szCs w:val="18"/>
        </w:rPr>
        <w:t xml:space="preserve"> We provide software package </w:t>
      </w:r>
      <w:r w:rsidR="0027718D">
        <w:rPr>
          <w:szCs w:val="18"/>
        </w:rPr>
        <w:t>SEQLinkage</w:t>
      </w:r>
      <w:r w:rsidR="00326890">
        <w:rPr>
          <w:szCs w:val="18"/>
        </w:rPr>
        <w:t xml:space="preserve"> implementing our method to facilitate linkage analysis </w:t>
      </w:r>
      <w:r w:rsidR="00C10B42">
        <w:rPr>
          <w:szCs w:val="18"/>
        </w:rPr>
        <w:t>using</w:t>
      </w:r>
      <w:r w:rsidR="00326890">
        <w:rPr>
          <w:szCs w:val="18"/>
        </w:rPr>
        <w:t xml:space="preserve"> NGS data.</w:t>
      </w:r>
    </w:p>
    <w:p w14:paraId="1AA5C542"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187DA2FC" w14:textId="5353FBF1" w:rsidR="005E3D12" w:rsidRPr="005E3D12" w:rsidRDefault="005E3D12" w:rsidP="0049623A">
      <w:pPr>
        <w:spacing w:after="40"/>
        <w:jc w:val="both"/>
        <w:rPr>
          <w:rFonts w:ascii="Times New Roman" w:hAnsi="Times New Roman"/>
          <w:sz w:val="18"/>
          <w:szCs w:val="18"/>
        </w:rPr>
      </w:pPr>
      <w:r w:rsidRPr="005E3D12">
        <w:rPr>
          <w:rFonts w:ascii="Times New Roman" w:hAnsi="Times New Roman"/>
          <w:sz w:val="18"/>
          <w:szCs w:val="18"/>
        </w:rPr>
        <w:t xml:space="preserve">The idea of </w:t>
      </w:r>
      <w:r w:rsidR="00691CE8">
        <w:rPr>
          <w:rFonts w:ascii="Times New Roman" w:hAnsi="Times New Roman"/>
          <w:sz w:val="18"/>
          <w:szCs w:val="18"/>
        </w:rPr>
        <w:t xml:space="preserve">CHP </w:t>
      </w:r>
      <w:r w:rsidRPr="005E3D12">
        <w:rPr>
          <w:rFonts w:ascii="Times New Roman" w:hAnsi="Times New Roman"/>
          <w:sz w:val="18"/>
          <w:szCs w:val="18"/>
        </w:rPr>
        <w:t xml:space="preserve">method is that instead of analyzing each </w:t>
      </w:r>
      <w:r w:rsidR="00E64A04">
        <w:rPr>
          <w:rFonts w:ascii="Times New Roman" w:hAnsi="Times New Roman"/>
          <w:sz w:val="18"/>
          <w:szCs w:val="18"/>
        </w:rPr>
        <w:t>variant</w:t>
      </w:r>
      <w:r w:rsidRPr="005E3D12">
        <w:rPr>
          <w:rFonts w:ascii="Times New Roman" w:hAnsi="Times New Roman"/>
          <w:sz w:val="18"/>
          <w:szCs w:val="18"/>
        </w:rPr>
        <w:t xml:space="preserve"> separately, we create numeric representations of haplotypes within a given genetic regi</w:t>
      </w:r>
      <w:r w:rsidR="000252C7">
        <w:rPr>
          <w:rFonts w:ascii="Times New Roman" w:hAnsi="Times New Roman"/>
          <w:sz w:val="18"/>
          <w:szCs w:val="18"/>
        </w:rPr>
        <w:t>on</w:t>
      </w:r>
      <w:r w:rsidR="00B17689">
        <w:rPr>
          <w:rFonts w:ascii="Times New Roman" w:hAnsi="Times New Roman"/>
          <w:sz w:val="18"/>
          <w:szCs w:val="18"/>
        </w:rPr>
        <w:t xml:space="preserve"> containing multiple variants</w:t>
      </w:r>
      <w:r w:rsidR="000252C7">
        <w:rPr>
          <w:rFonts w:ascii="Times New Roman" w:hAnsi="Times New Roman"/>
          <w:sz w:val="18"/>
          <w:szCs w:val="18"/>
        </w:rPr>
        <w:t xml:space="preserve">, e.g., genes for </w:t>
      </w:r>
      <w:r w:rsidR="007777FC">
        <w:rPr>
          <w:rFonts w:ascii="Times New Roman" w:hAnsi="Times New Roman"/>
          <w:sz w:val="18"/>
          <w:szCs w:val="18"/>
        </w:rPr>
        <w:t>WES data</w:t>
      </w:r>
      <w:r w:rsidR="00C14978">
        <w:rPr>
          <w:rFonts w:ascii="Times New Roman" w:hAnsi="Times New Roman"/>
          <w:sz w:val="18"/>
          <w:szCs w:val="18"/>
        </w:rPr>
        <w:t xml:space="preserve">, resulting in </w:t>
      </w:r>
      <w:r w:rsidR="009B4E82">
        <w:rPr>
          <w:rFonts w:ascii="Times New Roman" w:hAnsi="Times New Roman"/>
          <w:sz w:val="18"/>
          <w:szCs w:val="18"/>
        </w:rPr>
        <w:t>regional markers</w:t>
      </w:r>
      <w:r w:rsidRPr="005E3D12">
        <w:rPr>
          <w:rFonts w:ascii="Times New Roman" w:hAnsi="Times New Roman"/>
          <w:sz w:val="18"/>
          <w:szCs w:val="18"/>
        </w:rPr>
        <w:t xml:space="preserve"> </w:t>
      </w:r>
      <w:r w:rsidR="006F16E8">
        <w:rPr>
          <w:rFonts w:ascii="Times New Roman" w:hAnsi="Times New Roman"/>
          <w:sz w:val="18"/>
          <w:szCs w:val="18"/>
        </w:rPr>
        <w:t xml:space="preserve">which </w:t>
      </w:r>
      <w:r w:rsidR="000574A7">
        <w:rPr>
          <w:rFonts w:ascii="Times New Roman" w:hAnsi="Times New Roman"/>
          <w:sz w:val="18"/>
          <w:szCs w:val="18"/>
        </w:rPr>
        <w:t xml:space="preserve">sufficiently reflect </w:t>
      </w:r>
      <w:r w:rsidR="006F16E8">
        <w:rPr>
          <w:rFonts w:ascii="Times New Roman" w:hAnsi="Times New Roman"/>
          <w:sz w:val="18"/>
          <w:szCs w:val="18"/>
        </w:rPr>
        <w:t>t</w:t>
      </w:r>
      <w:r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Pr="005E3D12">
        <w:rPr>
          <w:rFonts w:ascii="Times New Roman" w:hAnsi="Times New Roman"/>
          <w:sz w:val="18"/>
          <w:szCs w:val="18"/>
        </w:rPr>
        <w:t xml:space="preserve">the entire region informative for linkage analysis, and are </w:t>
      </w:r>
      <w:r w:rsidR="0020793E">
        <w:rPr>
          <w:rFonts w:ascii="Times New Roman" w:hAnsi="Times New Roman"/>
          <w:sz w:val="18"/>
          <w:szCs w:val="18"/>
        </w:rPr>
        <w:t xml:space="preserve">numerically </w:t>
      </w:r>
      <w:r w:rsidRPr="005E3D12">
        <w:rPr>
          <w:rFonts w:ascii="Times New Roman" w:hAnsi="Times New Roman"/>
          <w:sz w:val="18"/>
          <w:szCs w:val="18"/>
        </w:rPr>
        <w:t>compatible with the off-</w:t>
      </w:r>
      <w:r w:rsidR="00BD308C">
        <w:rPr>
          <w:rFonts w:ascii="Times New Roman" w:hAnsi="Times New Roman"/>
          <w:sz w:val="18"/>
          <w:szCs w:val="18"/>
        </w:rPr>
        <w:t>the-</w:t>
      </w:r>
      <w:r w:rsidRPr="005E3D12">
        <w:rPr>
          <w:rFonts w:ascii="Times New Roman" w:hAnsi="Times New Roman"/>
          <w:sz w:val="18"/>
          <w:szCs w:val="18"/>
        </w:rPr>
        <w:t xml:space="preserve">shelf linkage methods that are traditionally used to analyze </w:t>
      </w:r>
      <w:r w:rsidR="00B52178">
        <w:rPr>
          <w:rFonts w:ascii="Times New Roman" w:hAnsi="Times New Roman"/>
          <w:sz w:val="18"/>
          <w:szCs w:val="18"/>
        </w:rPr>
        <w:t>microsatellite</w:t>
      </w:r>
      <w:r w:rsidR="00693C6E">
        <w:rPr>
          <w:rFonts w:ascii="Times New Roman" w:hAnsi="Times New Roman"/>
          <w:sz w:val="18"/>
          <w:szCs w:val="18"/>
        </w:rPr>
        <w:t xml:space="preserve"> </w:t>
      </w:r>
      <w:r w:rsidRPr="005E3D12">
        <w:rPr>
          <w:rFonts w:ascii="Times New Roman" w:hAnsi="Times New Roman"/>
          <w:sz w:val="18"/>
          <w:szCs w:val="18"/>
        </w:rPr>
        <w:t>or SNP</w:t>
      </w:r>
      <w:r w:rsidR="00693C6E">
        <w:rPr>
          <w:rFonts w:ascii="Times New Roman" w:hAnsi="Times New Roman"/>
          <w:sz w:val="18"/>
          <w:szCs w:val="18"/>
        </w:rPr>
        <w:t xml:space="preserve"> array markers</w:t>
      </w:r>
      <w:r w:rsidRPr="005E3D12">
        <w:rPr>
          <w:rFonts w:ascii="Times New Roman" w:hAnsi="Times New Roman"/>
          <w:sz w:val="18"/>
          <w:szCs w:val="18"/>
        </w:rPr>
        <w:t xml:space="preserve">. </w:t>
      </w:r>
      <w:r w:rsidR="00C14978">
        <w:rPr>
          <w:rFonts w:ascii="Times New Roman" w:hAnsi="Times New Roman"/>
          <w:sz w:val="18"/>
          <w:szCs w:val="18"/>
        </w:rPr>
        <w:t xml:space="preserve">Such </w:t>
      </w:r>
      <w:r w:rsidRPr="005E3D12">
        <w:rPr>
          <w:rFonts w:ascii="Times New Roman" w:hAnsi="Times New Roman"/>
          <w:sz w:val="18"/>
          <w:szCs w:val="18"/>
        </w:rPr>
        <w:t xml:space="preserve">regional markers </w:t>
      </w:r>
      <w:r w:rsidR="00AD20C4">
        <w:rPr>
          <w:rFonts w:ascii="Times New Roman" w:hAnsi="Times New Roman"/>
          <w:sz w:val="18"/>
          <w:szCs w:val="18"/>
        </w:rPr>
        <w:t>are often more heterozygous than single locus markers</w:t>
      </w:r>
      <w:r w:rsidR="005423F3">
        <w:rPr>
          <w:rFonts w:ascii="Times New Roman" w:hAnsi="Times New Roman"/>
          <w:sz w:val="18"/>
          <w:szCs w:val="18"/>
        </w:rPr>
        <w:t>,</w:t>
      </w:r>
      <w:r w:rsidR="00AD20C4">
        <w:rPr>
          <w:rFonts w:ascii="Times New Roman" w:hAnsi="Times New Roman"/>
          <w:sz w:val="18"/>
          <w:szCs w:val="18"/>
        </w:rPr>
        <w:t xml:space="preserve"> and </w:t>
      </w:r>
      <w:r w:rsidRPr="005E3D12">
        <w:rPr>
          <w:rFonts w:ascii="Times New Roman" w:hAnsi="Times New Roman"/>
          <w:sz w:val="18"/>
          <w:szCs w:val="18"/>
        </w:rPr>
        <w:t xml:space="preserve">allelic heterogeneity within the region of interest across </w:t>
      </w:r>
      <w:r w:rsidR="006B6E98">
        <w:rPr>
          <w:rFonts w:ascii="Times New Roman" w:hAnsi="Times New Roman"/>
          <w:sz w:val="18"/>
          <w:szCs w:val="18"/>
        </w:rPr>
        <w:t>individuals</w:t>
      </w:r>
      <w:r w:rsidRPr="005E3D12">
        <w:rPr>
          <w:rFonts w:ascii="Times New Roman" w:hAnsi="Times New Roman"/>
          <w:sz w:val="18"/>
          <w:szCs w:val="18"/>
        </w:rPr>
        <w:t xml:space="preserve"> from different families is naturally </w:t>
      </w:r>
      <w:r w:rsidR="005423F3">
        <w:rPr>
          <w:rFonts w:ascii="Times New Roman" w:hAnsi="Times New Roman"/>
          <w:sz w:val="18"/>
          <w:szCs w:val="18"/>
        </w:rPr>
        <w:t xml:space="preserve">taken into consideration </w:t>
      </w:r>
      <w:r w:rsidRPr="005E3D12">
        <w:rPr>
          <w:rFonts w:ascii="Times New Roman" w:hAnsi="Times New Roman"/>
          <w:sz w:val="18"/>
          <w:szCs w:val="18"/>
        </w:rPr>
        <w:t>by the coding method.</w:t>
      </w:r>
    </w:p>
    <w:p w14:paraId="26E25EF6" w14:textId="227B623D"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genotype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546406">
        <w:rPr>
          <w:rFonts w:ascii="Times New Roman" w:hAnsi="Times New Roman"/>
          <w:sz w:val="18"/>
          <w:szCs w:val="18"/>
        </w:rPr>
        <w:t xml:space="preserve"> </w:t>
      </w:r>
      <w:r w:rsidR="00546406">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546406">
        <w:rPr>
          <w:rFonts w:ascii="Times New Roman" w:hAnsi="Times New Roman"/>
          <w:sz w:val="18"/>
          <w:szCs w:val="18"/>
        </w:rPr>
        <w:fldChar w:fldCharType="separate"/>
      </w:r>
      <w:r w:rsidR="00546406" w:rsidRPr="00546406">
        <w:rPr>
          <w:rFonts w:ascii="Times New Roman" w:hAnsi="Times New Roman"/>
          <w:sz w:val="18"/>
        </w:rPr>
        <w:t>(Abecasis and Wigginton, 2005)</w:t>
      </w:r>
      <w:r w:rsidR="00546406">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into an indicator variable of values 0 or 1 for having no minor allele or at least one minor allele within 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similar to the collapsing method for association analysis w</w:t>
      </w:r>
      <w:r w:rsidR="00A76166">
        <w:rPr>
          <w:rFonts w:ascii="Times New Roman" w:hAnsi="Times New Roman"/>
          <w:sz w:val="18"/>
          <w:szCs w:val="18"/>
        </w:rPr>
        <w:t xml:space="preserve">ith rare variants </w:t>
      </w:r>
      <w:r w:rsidR="00A76166">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76166">
        <w:rPr>
          <w:rFonts w:ascii="Times New Roman" w:hAnsi="Times New Roman"/>
          <w:sz w:val="18"/>
          <w:szCs w:val="18"/>
        </w:rPr>
        <w:fldChar w:fldCharType="separate"/>
      </w:r>
      <w:r w:rsidR="00A76166" w:rsidRPr="00A76166">
        <w:rPr>
          <w:rFonts w:ascii="Times New Roman" w:hAnsi="Times New Roman"/>
          <w:sz w:val="18"/>
        </w:rPr>
        <w:t xml:space="preserve">(Li and </w:t>
      </w:r>
      <w:r w:rsidR="00A76166" w:rsidRPr="00A76166">
        <w:rPr>
          <w:rFonts w:ascii="Times New Roman" w:hAnsi="Times New Roman"/>
          <w:sz w:val="18"/>
        </w:rPr>
        <w:lastRenderedPageBreak/>
        <w:t>Leal, 2008)</w:t>
      </w:r>
      <w:r w:rsidR="00A76166">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collapsed haplotypes in all samples are uniquely represented. The choice of coding for patterns is 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existing software packages.</w:t>
      </w:r>
    </w:p>
    <w:p w14:paraId="65B01CDF" w14:textId="4E7BA0AF"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collapsing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6EB4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55pt" o:ole="">
            <v:imagedata r:id="rId15" o:title=""/>
          </v:shape>
          <o:OLEObject Type="Embed" ProgID="Equation.DSMT4" ShapeID="_x0000_i1025" DrawAspect="Content" ObjectID="_1458123776" r:id="rId16"/>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24A0990D">
          <v:shape id="_x0000_i1026" type="#_x0000_t75" style="width:14.4pt;height:15pt" o:ole="">
            <v:imagedata r:id="rId17" o:title=""/>
          </v:shape>
          <o:OLEObject Type="Embed" ProgID="Equation.DSMT4" ShapeID="_x0000_i1026" DrawAspect="Content" ObjectID="_1458123777"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01C3C19">
          <v:shape id="_x0000_i1027" type="#_x0000_t75" style="width:123.85pt;height:16.15pt" o:ole="">
            <v:imagedata r:id="rId19" o:title=""/>
          </v:shape>
          <o:OLEObject Type="Embed" ProgID="Equation.DSMT4" ShapeID="_x0000_i1027" DrawAspect="Content" ObjectID="_1458123778"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163A63A6">
          <v:shape id="_x0000_i1028" type="#_x0000_t75" style="width:74.3pt;height:15pt" o:ole="">
            <v:imagedata r:id="rId21" o:title=""/>
          </v:shape>
          <o:OLEObject Type="Embed" ProgID="Equation.DSMT4" ShapeID="_x0000_i1028" DrawAspect="Content" ObjectID="_1458123779" r:id="rId22"/>
        </w:object>
      </w:r>
      <w:r w:rsidR="005E3D12" w:rsidRPr="005E3D12">
        <w:rPr>
          <w:rFonts w:ascii="Times New Roman" w:hAnsi="Times New Roman"/>
          <w:sz w:val="18"/>
          <w:szCs w:val="18"/>
        </w:rPr>
        <w:t xml:space="preserve">. </w:t>
      </w:r>
      <w:commentRangeStart w:id="1"/>
      <w:r w:rsidR="005E3D12" w:rsidRPr="005E3D12">
        <w:rPr>
          <w:rFonts w:ascii="Times New Roman" w:hAnsi="Times New Roman"/>
          <w:sz w:val="18"/>
          <w:szCs w:val="18"/>
        </w:rPr>
        <w:t>For collapsed haplotype patterns within a pedigree, the allele frequencies will be normalized such that they sum to 1</w:t>
      </w:r>
      <w:commentRangeEnd w:id="1"/>
      <w:r w:rsidR="005E3D12" w:rsidRPr="005E3D12">
        <w:rPr>
          <w:rStyle w:val="CommentReference"/>
          <w:sz w:val="18"/>
          <w:szCs w:val="18"/>
          <w:lang w:val="x-none" w:eastAsia="x-none"/>
        </w:rPr>
        <w:commentReference w:id="1"/>
      </w:r>
      <w:r w:rsidR="005E3D12" w:rsidRPr="005E3D12">
        <w:rPr>
          <w:rFonts w:ascii="Times New Roman" w:hAnsi="Times New Roman"/>
          <w:sz w:val="18"/>
          <w:szCs w:val="18"/>
        </w:rPr>
        <w:t xml:space="preserve">. The normalized collapsed haplotype pattern frequencies are then used as the allele frequencies for the corresponding regional genotype markers </w:t>
      </w:r>
      <w:r w:rsidR="00A87C22">
        <w:rPr>
          <w:rFonts w:ascii="Times New Roman" w:hAnsi="Times New Roman"/>
          <w:sz w:val="18"/>
          <w:szCs w:val="18"/>
        </w:rPr>
        <w:t>for</w:t>
      </w:r>
      <w:r w:rsidR="005E3D12" w:rsidRPr="005E3D12">
        <w:rPr>
          <w:rFonts w:ascii="Times New Roman" w:hAnsi="Times New Roman"/>
          <w:sz w:val="18"/>
          <w:szCs w:val="18"/>
        </w:rPr>
        <w:t xml:space="preserve"> linkage analysis.</w:t>
      </w:r>
    </w:p>
    <w:p w14:paraId="0E09BF54" w14:textId="148C196F"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We therefore exclude variants up to a specified MAF cutoff and treat those variants as standalone SNP markers.</w:t>
      </w:r>
    </w:p>
    <w:p w14:paraId="1CA177AC" w14:textId="33BE0B61"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w:t>
      </w:r>
      <w:r w:rsidR="00660479">
        <w:rPr>
          <w:rFonts w:ascii="Times New Roman" w:hAnsi="Times New Roman"/>
          <w:sz w:val="18"/>
          <w:szCs w:val="18"/>
        </w:rPr>
        <w:t>SEQLinkage</w:t>
      </w:r>
      <w:r w:rsidR="005E3D12" w:rsidRPr="005E3D12">
        <w:rPr>
          <w:rFonts w:ascii="Times New Roman" w:hAnsi="Times New Roman"/>
          <w:sz w:val="18"/>
          <w:szCs w:val="18"/>
        </w:rPr>
        <w:t xml:space="preserve"> that incorporates the </w:t>
      </w:r>
      <w:r w:rsidR="00660479">
        <w:rPr>
          <w:rFonts w:ascii="Times New Roman" w:hAnsi="Times New Roman"/>
          <w:sz w:val="18"/>
          <w:szCs w:val="18"/>
        </w:rPr>
        <w:t>FASTLINK</w:t>
      </w:r>
      <w:r w:rsidR="005E3D12" w:rsidRPr="005E3D12">
        <w:rPr>
          <w:rFonts w:ascii="Times New Roman" w:hAnsi="Times New Roman"/>
          <w:sz w:val="18"/>
          <w:szCs w:val="18"/>
        </w:rPr>
        <w:t xml:space="preserve"> routine</w:t>
      </w:r>
      <w:r w:rsidR="00660479">
        <w:rPr>
          <w:rFonts w:ascii="Times New Roman" w:hAnsi="Times New Roman"/>
          <w:sz w:val="18"/>
          <w:szCs w:val="18"/>
        </w:rPr>
        <w:t xml:space="preserve"> </w:t>
      </w:r>
      <w:r w:rsidR="00932A40">
        <w:rPr>
          <w:rFonts w:ascii="Times New Roman" w:hAnsi="Times New Roman"/>
          <w:sz w:val="18"/>
          <w:szCs w:val="18"/>
        </w:rPr>
        <w:t xml:space="preserve">(whose execution time scales linearly with family size) </w:t>
      </w:r>
      <w:r w:rsidR="00C358D8">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C358D8">
        <w:rPr>
          <w:rFonts w:ascii="Times New Roman" w:hAnsi="Times New Roman"/>
          <w:sz w:val="18"/>
          <w:szCs w:val="18"/>
        </w:rPr>
        <w:fldChar w:fldCharType="separate"/>
      </w:r>
      <w:r w:rsidR="00C358D8" w:rsidRPr="00C358D8">
        <w:rPr>
          <w:rFonts w:ascii="Times New Roman" w:hAnsi="Times New Roman"/>
          <w:sz w:val="18"/>
        </w:rPr>
        <w:t xml:space="preserve">(Cottingham </w:t>
      </w:r>
      <w:r w:rsidR="00C358D8" w:rsidRPr="00C358D8">
        <w:rPr>
          <w:rFonts w:ascii="Times New Roman" w:hAnsi="Times New Roman"/>
          <w:i/>
          <w:iCs/>
          <w:sz w:val="18"/>
        </w:rPr>
        <w:t>et al.</w:t>
      </w:r>
      <w:r w:rsidR="00C358D8" w:rsidRPr="00C358D8">
        <w:rPr>
          <w:rFonts w:ascii="Times New Roman" w:hAnsi="Times New Roman"/>
          <w:sz w:val="18"/>
        </w:rPr>
        <w:t>, 1993)</w:t>
      </w:r>
      <w:r w:rsidR="00C358D8">
        <w:rPr>
          <w:rFonts w:ascii="Times New Roman" w:hAnsi="Times New Roman"/>
          <w:sz w:val="18"/>
          <w:szCs w:val="18"/>
        </w:rPr>
        <w:fldChar w:fldCharType="end"/>
      </w:r>
      <w:r w:rsidR="00C358D8">
        <w:rPr>
          <w:rFonts w:ascii="Times New Roman" w:hAnsi="Times New Roman"/>
          <w:sz w:val="18"/>
          <w:szCs w:val="18"/>
        </w:rPr>
        <w:t xml:space="preserve"> </w:t>
      </w:r>
      <w:r w:rsidR="005E3D12" w:rsidRPr="005E3D12">
        <w:rPr>
          <w:rFonts w:ascii="Times New Roman" w:hAnsi="Times New Roman"/>
          <w:sz w:val="18"/>
          <w:szCs w:val="18"/>
        </w:rPr>
        <w:t xml:space="preserve">and produces high quality graphical report on both LOD and HLOD scores for two-point linkage analysis on regional markers generated by the CHP method previously described. Additionally </w:t>
      </w:r>
      <w:r w:rsidR="00243FFE">
        <w:rPr>
          <w:rFonts w:ascii="Times New Roman" w:hAnsi="Times New Roman"/>
          <w:sz w:val="18"/>
          <w:szCs w:val="18"/>
        </w:rPr>
        <w:t>SEQLinkage</w:t>
      </w:r>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5A087F">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5A087F">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5A087F">
        <w:rPr>
          <w:rFonts w:ascii="Times New Roman" w:hAnsi="Times New Roman"/>
          <w:sz w:val="18"/>
          <w:szCs w:val="18"/>
        </w:rPr>
        <w:fldChar w:fldCharType="end"/>
      </w:r>
      <w:r w:rsidR="005E3D12" w:rsidRPr="005E3D12">
        <w:rPr>
          <w:rFonts w:ascii="Times New Roman" w:hAnsi="Times New Roman"/>
          <w:sz w:val="18"/>
          <w:szCs w:val="18"/>
        </w:rPr>
        <w:t xml:space="preserve">, Merlin </w:t>
      </w:r>
      <w:r w:rsidR="00374019">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374019">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374019">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8B7E44">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8B7E44">
        <w:rPr>
          <w:rFonts w:ascii="Times New Roman" w:hAnsi="Times New Roman"/>
          <w:sz w:val="18"/>
          <w:szCs w:val="18"/>
        </w:rPr>
        <w:fldChar w:fldCharType="separate"/>
      </w:r>
      <w:r w:rsidR="008B7E44" w:rsidRPr="008B7E44">
        <w:rPr>
          <w:rFonts w:ascii="Times New Roman" w:hAnsi="Times New Roman"/>
          <w:sz w:val="18"/>
        </w:rPr>
        <w:t xml:space="preserve">(Mukhopadhyay </w:t>
      </w:r>
      <w:r w:rsidR="008B7E44" w:rsidRPr="008B7E44">
        <w:rPr>
          <w:rFonts w:ascii="Times New Roman" w:hAnsi="Times New Roman"/>
          <w:i/>
          <w:iCs/>
          <w:sz w:val="18"/>
        </w:rPr>
        <w:t>et al.</w:t>
      </w:r>
      <w:r w:rsidR="008B7E44" w:rsidRPr="008B7E44">
        <w:rPr>
          <w:rFonts w:ascii="Times New Roman" w:hAnsi="Times New Roman"/>
          <w:sz w:val="18"/>
        </w:rPr>
        <w:t>, 2005)</w:t>
      </w:r>
      <w:r w:rsidR="008B7E44">
        <w:rPr>
          <w:rFonts w:ascii="Times New Roman" w:hAnsi="Times New Roman"/>
          <w:sz w:val="18"/>
          <w:szCs w:val="18"/>
        </w:rPr>
        <w:fldChar w:fldCharType="end"/>
      </w:r>
      <w:r w:rsidR="005E3D12" w:rsidRPr="005E3D12">
        <w:rPr>
          <w:rFonts w:ascii="Times New Roman" w:hAnsi="Times New Roman"/>
          <w:sz w:val="18"/>
          <w:szCs w:val="18"/>
        </w:rPr>
        <w:t xml:space="preserve">, with which multipoint and non-parametric linkage analysis can be performed.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7C73FA">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L"},{"family":"Buyske","given":"Steven"}],"issued":{"date-parts":[["2007",12]]},"PMID":"17989245","PMCID":"PMC2099587"}}],"schema":"https://github.com/citation-style-language/schema/raw/master/csl-citation.json"} </w:instrText>
      </w:r>
      <w:r w:rsidR="007C73FA">
        <w:rPr>
          <w:rFonts w:ascii="Times New Roman" w:hAnsi="Times New Roman"/>
          <w:sz w:val="18"/>
          <w:szCs w:val="18"/>
        </w:rPr>
        <w:fldChar w:fldCharType="separate"/>
      </w:r>
      <w:r w:rsidR="007C73FA" w:rsidRPr="007C73FA">
        <w:rPr>
          <w:rFonts w:ascii="Times New Roman" w:hAnsi="Times New Roman"/>
          <w:sz w:val="18"/>
        </w:rPr>
        <w:t xml:space="preserve">(Matise </w:t>
      </w:r>
      <w:r w:rsidR="007C73FA" w:rsidRPr="007C73FA">
        <w:rPr>
          <w:rFonts w:ascii="Times New Roman" w:hAnsi="Times New Roman"/>
          <w:i/>
          <w:iCs/>
          <w:sz w:val="18"/>
        </w:rPr>
        <w:t>et al.</w:t>
      </w:r>
      <w:r w:rsidR="007C73FA" w:rsidRPr="007C73FA">
        <w:rPr>
          <w:rFonts w:ascii="Times New Roman" w:hAnsi="Times New Roman"/>
          <w:sz w:val="18"/>
        </w:rPr>
        <w:t>, 2007)</w:t>
      </w:r>
      <w:r w:rsidR="007C73FA">
        <w:rPr>
          <w:rFonts w:ascii="Times New Roman" w:hAnsi="Times New Roman"/>
          <w:sz w:val="18"/>
          <w:szCs w:val="18"/>
        </w:rPr>
        <w:fldChar w:fldCharType="end"/>
      </w:r>
      <w:r w:rsidR="00AF0053">
        <w:rPr>
          <w:rFonts w:ascii="Times New Roman" w:hAnsi="Times New Roman"/>
          <w:sz w:val="18"/>
          <w:szCs w:val="18"/>
        </w:rPr>
        <w:t xml:space="preserve"> to approximate the </w:t>
      </w:r>
      <w:r w:rsidR="005E3D12" w:rsidRPr="005E3D12">
        <w:rPr>
          <w:rFonts w:ascii="Times New Roman" w:hAnsi="Times New Roman"/>
          <w:sz w:val="18"/>
          <w:szCs w:val="18"/>
        </w:rPr>
        <w:t>genetic distance of the regional marker.</w:t>
      </w:r>
    </w:p>
    <w:p w14:paraId="7FD0522E" w14:textId="1AA68606" w:rsidR="00D56444" w:rsidRPr="00D56444" w:rsidRDefault="00D56444" w:rsidP="00D56444">
      <w:pPr>
        <w:pStyle w:val="Heading1"/>
        <w:spacing w:before="280"/>
        <w:ind w:left="360" w:hanging="360"/>
        <w:rPr>
          <w:lang w:eastAsia="zh-CN"/>
        </w:rPr>
      </w:pPr>
      <w:r>
        <w:rPr>
          <w:lang w:eastAsia="zh-CN"/>
        </w:rPr>
        <w:t>Results</w:t>
      </w:r>
    </w:p>
    <w:p w14:paraId="5C98429D" w14:textId="5A4F24CF"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 for </w:t>
      </w:r>
      <w:r w:rsidR="00431A19">
        <w:rPr>
          <w:rFonts w:ascii="Times New Roman" w:hAnsi="Times New Roman"/>
          <w:sz w:val="18"/>
          <w:szCs w:val="18"/>
        </w:rPr>
        <w:t xml:space="preserve">simulation </w:t>
      </w:r>
      <w:r w:rsidR="006471C1">
        <w:rPr>
          <w:rFonts w:ascii="Times New Roman" w:hAnsi="Times New Roman"/>
          <w:sz w:val="18"/>
          <w:szCs w:val="18"/>
        </w:rPr>
        <w:t>details)</w:t>
      </w:r>
      <w:r w:rsidRPr="002C1134">
        <w:rPr>
          <w:rFonts w:ascii="Times New Roman" w:hAnsi="Times New Roman"/>
          <w:sz w:val="18"/>
          <w:szCs w:val="18"/>
        </w:rPr>
        <w:t>.</w:t>
      </w:r>
      <w:r w:rsidR="00EC4CD8">
        <w:rPr>
          <w:rFonts w:ascii="Times New Roman" w:hAnsi="Times New Roman"/>
          <w:sz w:val="18"/>
          <w:szCs w:val="18"/>
        </w:rPr>
        <w:t xml:space="preserve"> </w:t>
      </w:r>
      <w:r w:rsidR="00E63D08">
        <w:rPr>
          <w:rFonts w:ascii="Times New Roman" w:hAnsi="Times New Roman"/>
          <w:sz w:val="18"/>
          <w:szCs w:val="18"/>
        </w:rPr>
        <w:t xml:space="preserve">Power analysis results </w:t>
      </w:r>
      <w:r w:rsidR="009C5CF1">
        <w:rPr>
          <w:rFonts w:ascii="Times New Roman" w:hAnsi="Times New Roman"/>
          <w:sz w:val="18"/>
          <w:szCs w:val="18"/>
        </w:rPr>
        <w:t>are shown in Figure</w:t>
      </w:r>
      <w:r w:rsidR="0069156B">
        <w:rPr>
          <w:rFonts w:ascii="Times New Roman" w:hAnsi="Times New Roman"/>
          <w:sz w:val="18"/>
          <w:szCs w:val="18"/>
        </w:rPr>
        <w:t>s</w:t>
      </w:r>
      <w:bookmarkStart w:id="2" w:name="_GoBack"/>
      <w:bookmarkEnd w:id="2"/>
      <w:r w:rsidR="009C5CF1">
        <w:rPr>
          <w:rFonts w:ascii="Times New Roman" w:hAnsi="Times New Roman"/>
          <w:sz w:val="18"/>
          <w:szCs w:val="18"/>
        </w:rPr>
        <w:t xml:space="preserve"> S3 ~ SXX</w:t>
      </w:r>
      <w:r w:rsidR="00E63D08">
        <w:rPr>
          <w:rFonts w:ascii="Times New Roman" w:hAnsi="Times New Roman"/>
          <w:sz w:val="18"/>
          <w:szCs w:val="18"/>
        </w:rPr>
        <w:t>.</w:t>
      </w:r>
      <w:r w:rsidR="00E63D08">
        <w:rPr>
          <w:rFonts w:ascii="Times New Roman" w:hAnsi="Times New Roman"/>
          <w:sz w:val="18"/>
          <w:szCs w:val="18"/>
        </w:rPr>
        <w:t xml:space="preserve"> </w:t>
      </w:r>
      <w:r w:rsidR="000C1805">
        <w:rPr>
          <w:rFonts w:ascii="Times New Roman" w:hAnsi="Times New Roman"/>
          <w:sz w:val="18"/>
          <w:szCs w:val="18"/>
        </w:rPr>
        <w:t xml:space="preserve">Although CHP is underpowered for dominant model without allelic heterogeneity, it is as good as single marker analysis method for recessive model without allelic heterogeneity, and is substantially more powerful for compound recessive model and for all models in the presence of allelic heterogeneity. </w:t>
      </w:r>
    </w:p>
    <w:p w14:paraId="724E593A" w14:textId="6B2CCA4A" w:rsidR="00397F77" w:rsidRPr="0030281D" w:rsidRDefault="005B3107" w:rsidP="00574AF0">
      <w:pPr>
        <w:pStyle w:val="Heading1"/>
        <w:spacing w:before="280"/>
        <w:ind w:left="360" w:hanging="360"/>
        <w:rPr>
          <w:lang w:eastAsia="zh-CN"/>
        </w:rPr>
      </w:pPr>
      <w:r>
        <w:rPr>
          <w:lang w:eastAsia="zh-CN"/>
        </w:rPr>
        <w:t>discussion</w:t>
      </w:r>
    </w:p>
    <w:p w14:paraId="73B3B881" w14:textId="161A74A9" w:rsidR="00DE5307" w:rsidRDefault="00DE5307" w:rsidP="00DE5307">
      <w:pPr>
        <w:pStyle w:val="ParaNoInd"/>
        <w:rPr>
          <w:lang w:eastAsia="zh-CN"/>
        </w:rPr>
      </w:pPr>
      <w:r>
        <w:rPr>
          <w:lang w:eastAsia="zh-CN"/>
        </w:rPr>
        <w:t xml:space="preserve">In </w:t>
      </w:r>
      <w:r w:rsidR="007C4C68">
        <w:rPr>
          <w:lang w:eastAsia="zh-CN"/>
        </w:rPr>
        <w:t xml:space="preserve">the </w:t>
      </w:r>
      <w:r>
        <w:rPr>
          <w:lang w:eastAsia="zh-CN"/>
        </w:rPr>
        <w:t xml:space="preserve">haplotype reconstruction </w:t>
      </w:r>
      <w:r w:rsidR="007C4C68">
        <w:rPr>
          <w:lang w:eastAsia="zh-CN"/>
        </w:rPr>
        <w:t xml:space="preserve">step for </w:t>
      </w:r>
      <w:r>
        <w:rPr>
          <w:lang w:eastAsia="zh-CN"/>
        </w:rPr>
        <w:t xml:space="preserve">CHP method, loci that cannot be deterministically phased using available transmission information are assigned </w:t>
      </w:r>
      <w:r w:rsidR="005122B4">
        <w:rPr>
          <w:lang w:eastAsia="zh-CN"/>
        </w:rPr>
        <w:t>to the</w:t>
      </w:r>
      <w:r>
        <w:rPr>
          <w:lang w:eastAsia="zh-CN"/>
        </w:rPr>
        <w:t xml:space="preserve"> phase </w:t>
      </w:r>
      <w:r w:rsidR="005122B4">
        <w:rPr>
          <w:lang w:eastAsia="zh-CN"/>
        </w:rPr>
        <w:t>that results in smallest number of r</w:t>
      </w:r>
      <w:r>
        <w:rPr>
          <w:lang w:eastAsia="zh-CN"/>
        </w:rPr>
        <w:t xml:space="preserve">egional marker </w:t>
      </w:r>
      <w:r w:rsidR="005122B4">
        <w:rPr>
          <w:lang w:eastAsia="zh-CN"/>
        </w:rPr>
        <w:t>alleles</w:t>
      </w:r>
      <w:r>
        <w:rPr>
          <w:lang w:eastAsia="zh-CN"/>
        </w:rPr>
        <w:t xml:space="preserve">, as shown in Fig. S2. Definition of regions for marker generation and the choice of </w:t>
      </w:r>
      <w:r w:rsidR="00F3272C">
        <w:rPr>
          <w:lang w:eastAsia="zh-CN"/>
        </w:rPr>
        <w:t>bin</w:t>
      </w:r>
      <w:r>
        <w:rPr>
          <w:lang w:eastAsia="zh-CN"/>
        </w:rPr>
        <w:t xml:space="preserve"> size for variants </w:t>
      </w:r>
      <w:r>
        <w:rPr>
          <w:lang w:eastAsia="zh-CN"/>
        </w:rPr>
        <w:lastRenderedPageBreak/>
        <w:t xml:space="preserve">collapsing can be arbitrary. For </w:t>
      </w:r>
      <w:r w:rsidR="00F6586F">
        <w:rPr>
          <w:lang w:eastAsia="zh-CN"/>
        </w:rPr>
        <w:t xml:space="preserve">WES </w:t>
      </w:r>
      <w:r>
        <w:rPr>
          <w:lang w:eastAsia="zh-CN"/>
        </w:rPr>
        <w:t xml:space="preserve">data </w:t>
      </w:r>
      <w:r w:rsidR="00B81CC3">
        <w:rPr>
          <w:lang w:eastAsia="zh-CN"/>
        </w:rPr>
        <w:t>one</w:t>
      </w:r>
      <w:r w:rsidR="00F6586F">
        <w:rPr>
          <w:lang w:eastAsia="zh-CN"/>
        </w:rPr>
        <w:t xml:space="preserve"> can use </w:t>
      </w:r>
      <w:r>
        <w:rPr>
          <w:lang w:eastAsia="zh-CN"/>
        </w:rPr>
        <w:t xml:space="preserve">genes as regional markers. Within each region, commonly used </w:t>
      </w:r>
      <w:r w:rsidR="00F3272C">
        <w:rPr>
          <w:lang w:eastAsia="zh-CN"/>
        </w:rPr>
        <w:t>bin</w:t>
      </w:r>
      <w:r>
        <w:rPr>
          <w:lang w:eastAsia="zh-CN"/>
        </w:rPr>
        <w:t xml:space="preserve"> size options for variants collapsing are </w:t>
      </w:r>
      <w:r w:rsidR="00447346">
        <w:rPr>
          <w:lang w:eastAsia="zh-CN"/>
        </w:rPr>
        <w:t xml:space="preserve">LD based collapsing (use estimated LD blocks as </w:t>
      </w:r>
      <w:r w:rsidR="00F3272C">
        <w:rPr>
          <w:lang w:eastAsia="zh-CN"/>
        </w:rPr>
        <w:t>bin</w:t>
      </w:r>
      <w:r w:rsidR="00447346">
        <w:rPr>
          <w:lang w:eastAsia="zh-CN"/>
        </w:rPr>
        <w:t xml:space="preserve">s), </w:t>
      </w:r>
      <w:r>
        <w:rPr>
          <w:lang w:eastAsia="zh-CN"/>
        </w:rPr>
        <w:t>complete collapsing (</w:t>
      </w:r>
      <w:r w:rsidR="00F3272C">
        <w:rPr>
          <w:lang w:eastAsia="zh-CN"/>
        </w:rPr>
        <w:t>bin</w:t>
      </w:r>
      <w:r w:rsidR="00447346">
        <w:rPr>
          <w:lang w:eastAsia="zh-CN"/>
        </w:rPr>
        <w:t xml:space="preserve"> size equals region length) and</w:t>
      </w:r>
      <w:r>
        <w:rPr>
          <w:lang w:eastAsia="zh-CN"/>
        </w:rPr>
        <w:t xml:space="preserve"> no collapsing (</w:t>
      </w:r>
      <w:r w:rsidR="00F3272C">
        <w:rPr>
          <w:lang w:eastAsia="zh-CN"/>
        </w:rPr>
        <w:t>bin</w:t>
      </w:r>
      <w:r w:rsidR="00447346">
        <w:rPr>
          <w:lang w:eastAsia="zh-CN"/>
        </w:rPr>
        <w:t xml:space="preserve"> size equals one)</w:t>
      </w:r>
      <w:r>
        <w:rPr>
          <w:lang w:eastAsia="zh-CN"/>
        </w:rPr>
        <w:t xml:space="preserve">, although other arbitrary </w:t>
      </w:r>
      <w:r w:rsidR="00F3272C">
        <w:rPr>
          <w:lang w:eastAsia="zh-CN"/>
        </w:rPr>
        <w:t>bin</w:t>
      </w:r>
      <w:r>
        <w:rPr>
          <w:lang w:eastAsia="zh-CN"/>
        </w:rPr>
        <w:t xml:space="preserve"> size options are also available </w:t>
      </w:r>
      <w:r w:rsidR="00F412D2">
        <w:rPr>
          <w:lang w:eastAsia="zh-CN"/>
        </w:rPr>
        <w:t>in</w:t>
      </w:r>
      <w:r>
        <w:rPr>
          <w:lang w:eastAsia="zh-CN"/>
        </w:rPr>
        <w:t xml:space="preserve"> </w:t>
      </w:r>
      <w:r w:rsidR="00BB072C">
        <w:rPr>
          <w:lang w:eastAsia="zh-CN"/>
        </w:rPr>
        <w:t>SEQLinkage</w:t>
      </w:r>
      <w:r w:rsidR="00052600">
        <w:rPr>
          <w:lang w:eastAsia="zh-CN"/>
        </w:rPr>
        <w:t xml:space="preserve"> software</w:t>
      </w:r>
      <w:r>
        <w:rPr>
          <w:lang w:eastAsia="zh-CN"/>
        </w:rPr>
        <w:t xml:space="preserve">. For regions with recombination events, the region is divided into sub-units by loci where a recombination event is observed in any sample in family, and in linkage analysis the sub-unit giving the strongest evidence of linkage will be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17100C">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17100C">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17100C">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commentRangeStart w:id="3"/>
      <w:r>
        <w:rPr>
          <w:lang w:eastAsia="zh-CN"/>
        </w:rPr>
        <w:t>1000 genomes or E</w:t>
      </w:r>
      <w:r w:rsidR="00C6671E">
        <w:rPr>
          <w:lang w:eastAsia="zh-CN"/>
        </w:rPr>
        <w:t xml:space="preserve">xome </w:t>
      </w:r>
      <w:r>
        <w:rPr>
          <w:lang w:eastAsia="zh-CN"/>
        </w:rPr>
        <w:t>V</w:t>
      </w:r>
      <w:r w:rsidR="00C6671E">
        <w:rPr>
          <w:lang w:eastAsia="zh-CN"/>
        </w:rPr>
        <w:t>ariant S</w:t>
      </w:r>
      <w:r>
        <w:rPr>
          <w:lang w:eastAsia="zh-CN"/>
        </w:rPr>
        <w:t>erver</w:t>
      </w:r>
      <w:commentRangeEnd w:id="3"/>
      <w:r w:rsidR="00C65FE5">
        <w:rPr>
          <w:rStyle w:val="CommentReference"/>
          <w:rFonts w:ascii="Times" w:hAnsi="Times"/>
          <w:lang w:val="x-none" w:eastAsia="x-none"/>
        </w:rPr>
        <w:commentReference w:id="3"/>
      </w:r>
      <w:r>
        <w:rPr>
          <w:lang w:eastAsia="zh-CN"/>
        </w:rPr>
        <w:t>. It may be difficult to estimate allele frequencies in the particular population under study if such a population is not well defined, in which case frequencies estimated from the founders has to be used.</w:t>
      </w:r>
    </w:p>
    <w:p w14:paraId="42C1FC28" w14:textId="0720EB9B" w:rsidR="00D12F89" w:rsidRPr="002F7E59" w:rsidRDefault="00DE5307" w:rsidP="00DE5307">
      <w:pPr>
        <w:pStyle w:val="ParaNoInd"/>
        <w:rPr>
          <w:lang w:eastAsia="zh-CN"/>
        </w:rPr>
      </w:pPr>
      <w:r>
        <w:rPr>
          <w:lang w:eastAsia="zh-CN"/>
        </w:rPr>
        <w:t xml:space="preserve">   The </w:t>
      </w:r>
      <w:r w:rsidR="00BB072C">
        <w:rPr>
          <w:lang w:eastAsia="zh-CN"/>
        </w:rPr>
        <w:t>SEQLinkage</w:t>
      </w:r>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w:t>
      </w:r>
      <w:r w:rsidR="00BB072C">
        <w:rPr>
          <w:lang w:eastAsia="zh-CN"/>
        </w:rPr>
        <w:t>SEQLinkage</w:t>
      </w:r>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14:paraId="26F36E90" w14:textId="77777777" w:rsidR="00B0377C" w:rsidRDefault="000C1066" w:rsidP="001467A9">
      <w:pPr>
        <w:pStyle w:val="AckHead"/>
        <w:spacing w:before="280"/>
      </w:pPr>
      <w:r>
        <w:t>acknowledg</w:t>
      </w:r>
      <w:r w:rsidR="001A5509">
        <w:t>ments</w:t>
      </w:r>
    </w:p>
    <w:p w14:paraId="6F51BF97" w14:textId="3AC704A1"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BB072C">
        <w:rPr>
          <w:szCs w:val="18"/>
        </w:rPr>
        <w:t xml:space="preserve">The authors would like to thank Dr. </w:t>
      </w:r>
      <w:r w:rsidR="00BB072C" w:rsidRPr="00BB072C">
        <w:rPr>
          <w:szCs w:val="18"/>
        </w:rPr>
        <w:t>Regie Lyn Santos-Cortez</w:t>
      </w:r>
      <w:r w:rsidR="00BB072C">
        <w:rPr>
          <w:szCs w:val="18"/>
        </w:rPr>
        <w:t xml:space="preserve"> for helpful discussions.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2E300509" w14:textId="77777777" w:rsidR="00CD55D8" w:rsidRDefault="00EE4BDB">
      <w:pPr>
        <w:pStyle w:val="AckText"/>
        <w:rPr>
          <w:lang w:eastAsia="zh-CN"/>
        </w:rPr>
      </w:pPr>
      <w:r w:rsidRPr="00EE4BDB">
        <w:rPr>
          <w:i/>
        </w:rPr>
        <w:t xml:space="preserve">Conflict of Interest: none declared. </w:t>
      </w:r>
    </w:p>
    <w:p w14:paraId="4BBD3B2A" w14:textId="3C545E00" w:rsidR="00BE2969" w:rsidRDefault="00D83B8A" w:rsidP="001467A9">
      <w:pPr>
        <w:pStyle w:val="RefHead"/>
        <w:spacing w:before="280"/>
      </w:pPr>
      <w:r>
        <w:t>References</w:t>
      </w:r>
    </w:p>
    <w:p w14:paraId="0C6E16A0" w14:textId="77777777" w:rsidR="00BB072C" w:rsidRPr="00BB072C" w:rsidRDefault="00BE2969" w:rsidP="00BB072C">
      <w:pPr>
        <w:pStyle w:val="Bibliography"/>
        <w:rPr>
          <w:rFonts w:ascii="Helvetica" w:hAnsi="Helvetica" w:cs="Helvetica"/>
          <w:sz w:val="14"/>
        </w:rPr>
      </w:pPr>
      <w:r w:rsidRPr="00A4444A">
        <w:rPr>
          <w:sz w:val="14"/>
          <w:szCs w:val="14"/>
        </w:rPr>
        <w:fldChar w:fldCharType="begin"/>
      </w:r>
      <w:r w:rsidR="00BB072C">
        <w:rPr>
          <w:sz w:val="14"/>
          <w:szCs w:val="14"/>
        </w:rPr>
        <w:instrText xml:space="preserve"> ADDIN ZOTERO_BIBL {"custom":[]} CSL_BIBLIOGRAPHY </w:instrText>
      </w:r>
      <w:r w:rsidRPr="00A4444A">
        <w:rPr>
          <w:sz w:val="14"/>
          <w:szCs w:val="14"/>
        </w:rPr>
        <w:fldChar w:fldCharType="separate"/>
      </w:r>
      <w:r w:rsidR="00BB072C" w:rsidRPr="00BB072C">
        <w:rPr>
          <w:rFonts w:ascii="Helvetica" w:hAnsi="Helvetica" w:cs="Helvetica"/>
          <w:sz w:val="14"/>
        </w:rPr>
        <w:t xml:space="preserve">Abecasis,G.R. </w:t>
      </w:r>
      <w:r w:rsidR="00BB072C" w:rsidRPr="00BB072C">
        <w:rPr>
          <w:rFonts w:ascii="Helvetica" w:hAnsi="Helvetica" w:cs="Helvetica"/>
          <w:i/>
          <w:iCs/>
          <w:sz w:val="14"/>
        </w:rPr>
        <w:t>et al.</w:t>
      </w:r>
      <w:r w:rsidR="00BB072C" w:rsidRPr="00BB072C">
        <w:rPr>
          <w:rFonts w:ascii="Helvetica" w:hAnsi="Helvetica" w:cs="Helvetica"/>
          <w:sz w:val="14"/>
        </w:rPr>
        <w:t xml:space="preserve"> (2002) Merlin--rapid analysis of dense genetic maps using sparse gene flow trees. </w:t>
      </w:r>
      <w:r w:rsidR="00BB072C" w:rsidRPr="00BB072C">
        <w:rPr>
          <w:rFonts w:ascii="Helvetica" w:hAnsi="Helvetica" w:cs="Helvetica"/>
          <w:i/>
          <w:iCs/>
          <w:sz w:val="14"/>
        </w:rPr>
        <w:t>Nat. Genet.</w:t>
      </w:r>
      <w:r w:rsidR="00BB072C" w:rsidRPr="00BB072C">
        <w:rPr>
          <w:rFonts w:ascii="Helvetica" w:hAnsi="Helvetica" w:cs="Helvetica"/>
          <w:sz w:val="14"/>
        </w:rPr>
        <w:t xml:space="preserve">, </w:t>
      </w:r>
      <w:r w:rsidR="00BB072C" w:rsidRPr="00BB072C">
        <w:rPr>
          <w:rFonts w:ascii="Helvetica" w:hAnsi="Helvetica" w:cs="Helvetica"/>
          <w:b/>
          <w:bCs/>
          <w:sz w:val="14"/>
        </w:rPr>
        <w:t>30</w:t>
      </w:r>
      <w:r w:rsidR="00BB072C" w:rsidRPr="00BB072C">
        <w:rPr>
          <w:rFonts w:ascii="Helvetica" w:hAnsi="Helvetica" w:cs="Helvetica"/>
          <w:sz w:val="14"/>
        </w:rPr>
        <w:t>, 97–101.</w:t>
      </w:r>
    </w:p>
    <w:p w14:paraId="7666A42E"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Abecasis,G.R. and Wigginton,J.E. (2005) Handling Marker-Marker Linkage Disequilibrium: Pedigree Analysis with Clustered Markers.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77</w:t>
      </w:r>
      <w:r w:rsidRPr="00BB072C">
        <w:rPr>
          <w:rFonts w:ascii="Helvetica" w:hAnsi="Helvetica" w:cs="Helvetica"/>
          <w:sz w:val="14"/>
        </w:rPr>
        <w:t>, 754–767.</w:t>
      </w:r>
    </w:p>
    <w:p w14:paraId="5AB5716B"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Cottingham,R.W.,Jr </w:t>
      </w:r>
      <w:r w:rsidRPr="00BB072C">
        <w:rPr>
          <w:rFonts w:ascii="Helvetica" w:hAnsi="Helvetica" w:cs="Helvetica"/>
          <w:i/>
          <w:iCs/>
          <w:sz w:val="14"/>
        </w:rPr>
        <w:t>et al.</w:t>
      </w:r>
      <w:r w:rsidRPr="00BB072C">
        <w:rPr>
          <w:rFonts w:ascii="Helvetica" w:hAnsi="Helvetica" w:cs="Helvetica"/>
          <w:sz w:val="14"/>
        </w:rPr>
        <w:t xml:space="preserve"> (1993) Faster sequential genetic linkage computations.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53</w:t>
      </w:r>
      <w:r w:rsidRPr="00BB072C">
        <w:rPr>
          <w:rFonts w:ascii="Helvetica" w:hAnsi="Helvetica" w:cs="Helvetica"/>
          <w:sz w:val="14"/>
        </w:rPr>
        <w:t>, 252–263.</w:t>
      </w:r>
    </w:p>
    <w:p w14:paraId="7DCD07AF"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Freimer,N.B. </w:t>
      </w:r>
      <w:r w:rsidRPr="00BB072C">
        <w:rPr>
          <w:rFonts w:ascii="Helvetica" w:hAnsi="Helvetica" w:cs="Helvetica"/>
          <w:i/>
          <w:iCs/>
          <w:sz w:val="14"/>
        </w:rPr>
        <w:t>et al.</w:t>
      </w:r>
      <w:r w:rsidRPr="00BB072C">
        <w:rPr>
          <w:rFonts w:ascii="Helvetica" w:hAnsi="Helvetica" w:cs="Helvetica"/>
          <w:sz w:val="14"/>
        </w:rPr>
        <w:t xml:space="preserve"> (1993) Incorrect specification of marker allele frequencies: effects on linkage analysis.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52</w:t>
      </w:r>
      <w:r w:rsidRPr="00BB072C">
        <w:rPr>
          <w:rFonts w:ascii="Helvetica" w:hAnsi="Helvetica" w:cs="Helvetica"/>
          <w:sz w:val="14"/>
        </w:rPr>
        <w:t>, 1102–1110.</w:t>
      </w:r>
    </w:p>
    <w:p w14:paraId="3DACC168"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Lathrop,G.M. </w:t>
      </w:r>
      <w:r w:rsidRPr="00BB072C">
        <w:rPr>
          <w:rFonts w:ascii="Helvetica" w:hAnsi="Helvetica" w:cs="Helvetica"/>
          <w:i/>
          <w:iCs/>
          <w:sz w:val="14"/>
        </w:rPr>
        <w:t>et al.</w:t>
      </w:r>
      <w:r w:rsidRPr="00BB072C">
        <w:rPr>
          <w:rFonts w:ascii="Helvetica" w:hAnsi="Helvetica" w:cs="Helvetica"/>
          <w:sz w:val="14"/>
        </w:rPr>
        <w:t xml:space="preserve"> (1984) Strategies for multilocus linkage analysis in humans. </w:t>
      </w:r>
      <w:r w:rsidRPr="00BB072C">
        <w:rPr>
          <w:rFonts w:ascii="Helvetica" w:hAnsi="Helvetica" w:cs="Helvetica"/>
          <w:i/>
          <w:iCs/>
          <w:sz w:val="14"/>
        </w:rPr>
        <w:t>Proc. Natl. Acad. Sci.</w:t>
      </w:r>
      <w:r w:rsidRPr="00BB072C">
        <w:rPr>
          <w:rFonts w:ascii="Helvetica" w:hAnsi="Helvetica" w:cs="Helvetica"/>
          <w:sz w:val="14"/>
        </w:rPr>
        <w:t xml:space="preserve">, </w:t>
      </w:r>
      <w:r w:rsidRPr="00BB072C">
        <w:rPr>
          <w:rFonts w:ascii="Helvetica" w:hAnsi="Helvetica" w:cs="Helvetica"/>
          <w:b/>
          <w:bCs/>
          <w:sz w:val="14"/>
        </w:rPr>
        <w:t>81</w:t>
      </w:r>
      <w:r w:rsidRPr="00BB072C">
        <w:rPr>
          <w:rFonts w:ascii="Helvetica" w:hAnsi="Helvetica" w:cs="Helvetica"/>
          <w:sz w:val="14"/>
        </w:rPr>
        <w:t>, 3443–3446.</w:t>
      </w:r>
    </w:p>
    <w:p w14:paraId="27847DF0"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Li,B. and Leal,S.M. (2008) Methods for detecting associations with rare variants for common diseases: application to analysis of sequence data.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83</w:t>
      </w:r>
      <w:r w:rsidRPr="00BB072C">
        <w:rPr>
          <w:rFonts w:ascii="Helvetica" w:hAnsi="Helvetica" w:cs="Helvetica"/>
          <w:sz w:val="14"/>
        </w:rPr>
        <w:t>, 311–321.</w:t>
      </w:r>
    </w:p>
    <w:p w14:paraId="20E01AC9"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Louis-Dit-Picard,H. </w:t>
      </w:r>
      <w:r w:rsidRPr="00BB072C">
        <w:rPr>
          <w:rFonts w:ascii="Helvetica" w:hAnsi="Helvetica" w:cs="Helvetica"/>
          <w:i/>
          <w:iCs/>
          <w:sz w:val="14"/>
        </w:rPr>
        <w:t>et al.</w:t>
      </w:r>
      <w:r w:rsidRPr="00BB072C">
        <w:rPr>
          <w:rFonts w:ascii="Helvetica" w:hAnsi="Helvetica" w:cs="Helvetica"/>
          <w:sz w:val="14"/>
        </w:rPr>
        <w:t xml:space="preserve"> (2012) KLHL3 mutations cause familial hyperkalemic hypertension by impairing ion transport in the distal nephron. </w:t>
      </w:r>
      <w:r w:rsidRPr="00BB072C">
        <w:rPr>
          <w:rFonts w:ascii="Helvetica" w:hAnsi="Helvetica" w:cs="Helvetica"/>
          <w:i/>
          <w:iCs/>
          <w:sz w:val="14"/>
        </w:rPr>
        <w:t>Nat. Genet.</w:t>
      </w:r>
      <w:r w:rsidRPr="00BB072C">
        <w:rPr>
          <w:rFonts w:ascii="Helvetica" w:hAnsi="Helvetica" w:cs="Helvetica"/>
          <w:sz w:val="14"/>
        </w:rPr>
        <w:t xml:space="preserve">, </w:t>
      </w:r>
      <w:r w:rsidRPr="00BB072C">
        <w:rPr>
          <w:rFonts w:ascii="Helvetica" w:hAnsi="Helvetica" w:cs="Helvetica"/>
          <w:b/>
          <w:bCs/>
          <w:sz w:val="14"/>
        </w:rPr>
        <w:t>44</w:t>
      </w:r>
      <w:r w:rsidRPr="00BB072C">
        <w:rPr>
          <w:rFonts w:ascii="Helvetica" w:hAnsi="Helvetica" w:cs="Helvetica"/>
          <w:sz w:val="14"/>
        </w:rPr>
        <w:t>, 456–460.</w:t>
      </w:r>
    </w:p>
    <w:p w14:paraId="50704625"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Matise,T.C. </w:t>
      </w:r>
      <w:r w:rsidRPr="00BB072C">
        <w:rPr>
          <w:rFonts w:ascii="Helvetica" w:hAnsi="Helvetica" w:cs="Helvetica"/>
          <w:i/>
          <w:iCs/>
          <w:sz w:val="14"/>
        </w:rPr>
        <w:t>et al.</w:t>
      </w:r>
      <w:r w:rsidRPr="00BB072C">
        <w:rPr>
          <w:rFonts w:ascii="Helvetica" w:hAnsi="Helvetica" w:cs="Helvetica"/>
          <w:sz w:val="14"/>
        </w:rPr>
        <w:t xml:space="preserve"> (2007) A second-generation combined linkage physical map of the human genome. </w:t>
      </w:r>
      <w:r w:rsidRPr="00BB072C">
        <w:rPr>
          <w:rFonts w:ascii="Helvetica" w:hAnsi="Helvetica" w:cs="Helvetica"/>
          <w:i/>
          <w:iCs/>
          <w:sz w:val="14"/>
        </w:rPr>
        <w:t>Genome Res.</w:t>
      </w:r>
      <w:r w:rsidRPr="00BB072C">
        <w:rPr>
          <w:rFonts w:ascii="Helvetica" w:hAnsi="Helvetica" w:cs="Helvetica"/>
          <w:sz w:val="14"/>
        </w:rPr>
        <w:t xml:space="preserve">, </w:t>
      </w:r>
      <w:r w:rsidRPr="00BB072C">
        <w:rPr>
          <w:rFonts w:ascii="Helvetica" w:hAnsi="Helvetica" w:cs="Helvetica"/>
          <w:b/>
          <w:bCs/>
          <w:sz w:val="14"/>
        </w:rPr>
        <w:t>17</w:t>
      </w:r>
      <w:r w:rsidRPr="00BB072C">
        <w:rPr>
          <w:rFonts w:ascii="Helvetica" w:hAnsi="Helvetica" w:cs="Helvetica"/>
          <w:sz w:val="14"/>
        </w:rPr>
        <w:t>, 1783–1786.</w:t>
      </w:r>
    </w:p>
    <w:p w14:paraId="7E3FCAF6"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Mukhopadhyay,N. </w:t>
      </w:r>
      <w:r w:rsidRPr="00BB072C">
        <w:rPr>
          <w:rFonts w:ascii="Helvetica" w:hAnsi="Helvetica" w:cs="Helvetica"/>
          <w:i/>
          <w:iCs/>
          <w:sz w:val="14"/>
        </w:rPr>
        <w:t>et al.</w:t>
      </w:r>
      <w:r w:rsidRPr="00BB072C">
        <w:rPr>
          <w:rFonts w:ascii="Helvetica" w:hAnsi="Helvetica" w:cs="Helvetica"/>
          <w:sz w:val="14"/>
        </w:rPr>
        <w:t xml:space="preserve"> (2005) Mega2: data-handling for facilitating genetic linkage and association analyses. </w:t>
      </w:r>
      <w:r w:rsidRPr="00BB072C">
        <w:rPr>
          <w:rFonts w:ascii="Helvetica" w:hAnsi="Helvetica" w:cs="Helvetica"/>
          <w:i/>
          <w:iCs/>
          <w:sz w:val="14"/>
        </w:rPr>
        <w:t>Bioinformatics</w:t>
      </w:r>
      <w:r w:rsidRPr="00BB072C">
        <w:rPr>
          <w:rFonts w:ascii="Helvetica" w:hAnsi="Helvetica" w:cs="Helvetica"/>
          <w:sz w:val="14"/>
        </w:rPr>
        <w:t xml:space="preserve">, </w:t>
      </w:r>
      <w:r w:rsidRPr="00BB072C">
        <w:rPr>
          <w:rFonts w:ascii="Helvetica" w:hAnsi="Helvetica" w:cs="Helvetica"/>
          <w:b/>
          <w:bCs/>
          <w:sz w:val="14"/>
        </w:rPr>
        <w:t>21</w:t>
      </w:r>
      <w:r w:rsidRPr="00BB072C">
        <w:rPr>
          <w:rFonts w:ascii="Helvetica" w:hAnsi="Helvetica" w:cs="Helvetica"/>
          <w:sz w:val="14"/>
        </w:rPr>
        <w:t>, 2556–2557.</w:t>
      </w:r>
    </w:p>
    <w:p w14:paraId="705A312E"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Ng,S.B. </w:t>
      </w:r>
      <w:r w:rsidRPr="00BB072C">
        <w:rPr>
          <w:rFonts w:ascii="Helvetica" w:hAnsi="Helvetica" w:cs="Helvetica"/>
          <w:i/>
          <w:iCs/>
          <w:sz w:val="14"/>
        </w:rPr>
        <w:t>et al.</w:t>
      </w:r>
      <w:r w:rsidRPr="00BB072C">
        <w:rPr>
          <w:rFonts w:ascii="Helvetica" w:hAnsi="Helvetica" w:cs="Helvetica"/>
          <w:sz w:val="14"/>
        </w:rPr>
        <w:t xml:space="preserve"> (2010) Exome sequencing identifies the cause of a Mendelian disorder. </w:t>
      </w:r>
      <w:r w:rsidRPr="00BB072C">
        <w:rPr>
          <w:rFonts w:ascii="Helvetica" w:hAnsi="Helvetica" w:cs="Helvetica"/>
          <w:i/>
          <w:iCs/>
          <w:sz w:val="14"/>
        </w:rPr>
        <w:t>Nat. Genet.</w:t>
      </w:r>
      <w:r w:rsidRPr="00BB072C">
        <w:rPr>
          <w:rFonts w:ascii="Helvetica" w:hAnsi="Helvetica" w:cs="Helvetica"/>
          <w:sz w:val="14"/>
        </w:rPr>
        <w:t xml:space="preserve">, </w:t>
      </w:r>
      <w:r w:rsidRPr="00BB072C">
        <w:rPr>
          <w:rFonts w:ascii="Helvetica" w:hAnsi="Helvetica" w:cs="Helvetica"/>
          <w:b/>
          <w:bCs/>
          <w:sz w:val="14"/>
        </w:rPr>
        <w:t>42</w:t>
      </w:r>
      <w:r w:rsidRPr="00BB072C">
        <w:rPr>
          <w:rFonts w:ascii="Helvetica" w:hAnsi="Helvetica" w:cs="Helvetica"/>
          <w:sz w:val="14"/>
        </w:rPr>
        <w:t>, 30–35.</w:t>
      </w:r>
    </w:p>
    <w:p w14:paraId="4F1DAE9E"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Smith,K.R. </w:t>
      </w:r>
      <w:r w:rsidRPr="00BB072C">
        <w:rPr>
          <w:rFonts w:ascii="Helvetica" w:hAnsi="Helvetica" w:cs="Helvetica"/>
          <w:i/>
          <w:iCs/>
          <w:sz w:val="14"/>
        </w:rPr>
        <w:t>et al.</w:t>
      </w:r>
      <w:r w:rsidRPr="00BB072C">
        <w:rPr>
          <w:rFonts w:ascii="Helvetica" w:hAnsi="Helvetica" w:cs="Helvetica"/>
          <w:sz w:val="14"/>
        </w:rPr>
        <w:t xml:space="preserve"> (2011) Reducing the exome search space for Mendelian diseases using genetic linkage analysis of exome genotypes. </w:t>
      </w:r>
      <w:r w:rsidRPr="00BB072C">
        <w:rPr>
          <w:rFonts w:ascii="Helvetica" w:hAnsi="Helvetica" w:cs="Helvetica"/>
          <w:i/>
          <w:iCs/>
          <w:sz w:val="14"/>
        </w:rPr>
        <w:t>Genome Biol.</w:t>
      </w:r>
      <w:r w:rsidRPr="00BB072C">
        <w:rPr>
          <w:rFonts w:ascii="Helvetica" w:hAnsi="Helvetica" w:cs="Helvetica"/>
          <w:sz w:val="14"/>
        </w:rPr>
        <w:t xml:space="preserve">, </w:t>
      </w:r>
      <w:r w:rsidRPr="00BB072C">
        <w:rPr>
          <w:rFonts w:ascii="Helvetica" w:hAnsi="Helvetica" w:cs="Helvetica"/>
          <w:b/>
          <w:bCs/>
          <w:sz w:val="14"/>
        </w:rPr>
        <w:t>12</w:t>
      </w:r>
      <w:r w:rsidRPr="00BB072C">
        <w:rPr>
          <w:rFonts w:ascii="Helvetica" w:hAnsi="Helvetica" w:cs="Helvetica"/>
          <w:sz w:val="14"/>
        </w:rPr>
        <w:t>, R85.</w:t>
      </w:r>
    </w:p>
    <w:p w14:paraId="40C0B572"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lastRenderedPageBreak/>
        <w:t xml:space="preserve">Yan,J. </w:t>
      </w:r>
      <w:r w:rsidRPr="00BB072C">
        <w:rPr>
          <w:rFonts w:ascii="Helvetica" w:hAnsi="Helvetica" w:cs="Helvetica"/>
          <w:i/>
          <w:iCs/>
          <w:sz w:val="14"/>
        </w:rPr>
        <w:t>et al.</w:t>
      </w:r>
      <w:r w:rsidRPr="00BB072C">
        <w:rPr>
          <w:rFonts w:ascii="Helvetica" w:hAnsi="Helvetica" w:cs="Helvetica"/>
          <w:sz w:val="14"/>
        </w:rPr>
        <w:t xml:space="preserve"> (2013) Combined linkage analysis and exome sequencing identifies novel genes for familial goiter. </w:t>
      </w:r>
      <w:r w:rsidRPr="00BB072C">
        <w:rPr>
          <w:rFonts w:ascii="Helvetica" w:hAnsi="Helvetica" w:cs="Helvetica"/>
          <w:i/>
          <w:iCs/>
          <w:sz w:val="14"/>
        </w:rPr>
        <w:t>J. Hum. Genet.</w:t>
      </w:r>
      <w:r w:rsidRPr="00BB072C">
        <w:rPr>
          <w:rFonts w:ascii="Helvetica" w:hAnsi="Helvetica" w:cs="Helvetica"/>
          <w:sz w:val="14"/>
        </w:rPr>
        <w:t xml:space="preserve">, </w:t>
      </w:r>
      <w:r w:rsidRPr="00BB072C">
        <w:rPr>
          <w:rFonts w:ascii="Helvetica" w:hAnsi="Helvetica" w:cs="Helvetica"/>
          <w:b/>
          <w:bCs/>
          <w:sz w:val="14"/>
        </w:rPr>
        <w:t>58</w:t>
      </w:r>
      <w:r w:rsidRPr="00BB072C">
        <w:rPr>
          <w:rFonts w:ascii="Helvetica" w:hAnsi="Helvetica" w:cs="Helvetica"/>
          <w:sz w:val="14"/>
        </w:rPr>
        <w:t>, 366–377.</w:t>
      </w:r>
    </w:p>
    <w:p w14:paraId="522A026C" w14:textId="6CEC27FD" w:rsidR="00BE2969" w:rsidRDefault="00BE2969" w:rsidP="00742D1A">
      <w:pPr>
        <w:pStyle w:val="RefHead"/>
      </w:pPr>
      <w:r w:rsidRPr="00A4444A">
        <w:rPr>
          <w:sz w:val="14"/>
          <w:szCs w:val="14"/>
        </w:rPr>
        <w:fldChar w:fldCharType="end"/>
      </w:r>
    </w:p>
    <w:p w14:paraId="066497D0" w14:textId="77777777" w:rsidR="00B52815" w:rsidRDefault="00B52815" w:rsidP="00742D1A">
      <w:pPr>
        <w:pStyle w:val="RefHead"/>
        <w:rPr>
          <w:lang w:eastAsia="zh-CN"/>
        </w:rPr>
      </w:pPr>
    </w:p>
    <w:sectPr w:rsidR="00B52815" w:rsidSect="008C75FD">
      <w:headerReference w:type="even" r:id="rId23"/>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3-17T14:06:00Z" w:initials="gw">
    <w:p w14:paraId="312A0F77" w14:textId="684981CE" w:rsidR="003A1646" w:rsidRPr="003A1646" w:rsidRDefault="003A1646">
      <w:pPr>
        <w:pStyle w:val="CommentText"/>
        <w:rPr>
          <w:lang w:val="en-US"/>
        </w:rPr>
      </w:pPr>
      <w:r>
        <w:rPr>
          <w:rStyle w:val="CommentReference"/>
        </w:rPr>
        <w:annotationRef/>
      </w:r>
      <w:r>
        <w:rPr>
          <w:lang w:val="en-US"/>
        </w:rPr>
        <w:t xml:space="preserve">Do we need </w:t>
      </w:r>
      <w:r w:rsidR="00467404">
        <w:rPr>
          <w:lang w:val="en-US"/>
        </w:rPr>
        <w:t>more</w:t>
      </w:r>
      <w:r>
        <w:rPr>
          <w:lang w:val="en-US"/>
        </w:rPr>
        <w:t xml:space="preserve"> citations?</w:t>
      </w:r>
    </w:p>
  </w:comment>
  <w:comment w:id="1" w:author="Gao Wang" w:date="2014-03-14T10:33:00Z" w:initials="gw">
    <w:p w14:paraId="30AEBDCA" w14:textId="77777777" w:rsidR="005E3D12" w:rsidRPr="007E4445" w:rsidRDefault="005E3D12" w:rsidP="005E3D12">
      <w:pPr>
        <w:pStyle w:val="CommentText"/>
        <w:rPr>
          <w:lang w:val="en-US"/>
        </w:rPr>
      </w:pPr>
      <w:r>
        <w:rPr>
          <w:rStyle w:val="CommentReference"/>
        </w:rPr>
        <w:annotationRef/>
      </w:r>
      <w:r>
        <w:rPr>
          <w:lang w:val="en-US"/>
        </w:rPr>
        <w:t>Does this make sense?</w:t>
      </w:r>
    </w:p>
  </w:comment>
  <w:comment w:id="3" w:author="Gao Wang" w:date="2014-03-17T12:12:00Z" w:initials="gw">
    <w:p w14:paraId="4ECD3740" w14:textId="6BD88070" w:rsidR="00C65FE5" w:rsidRPr="00C65FE5" w:rsidRDefault="00C65FE5">
      <w:pPr>
        <w:pStyle w:val="CommentText"/>
        <w:rPr>
          <w:lang w:val="en-US"/>
        </w:rPr>
      </w:pPr>
      <w:r>
        <w:rPr>
          <w:rStyle w:val="CommentReference"/>
        </w:rPr>
        <w:annotationRef/>
      </w:r>
      <w:r>
        <w:rPr>
          <w:lang w:val="en-US"/>
        </w:rPr>
        <w:t xml:space="preserve">“Web resource” is not typical for application note. I think we can </w:t>
      </w:r>
      <w:r w:rsidR="00F6622E">
        <w:rPr>
          <w:lang w:val="en-US"/>
        </w:rPr>
        <w:t>get away</w:t>
      </w:r>
      <w:r>
        <w:rPr>
          <w:lang w:val="en-US"/>
        </w:rPr>
        <w:t xml:space="preserve"> without 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A0F77" w15:done="0"/>
  <w15:commentEx w15:paraId="30AEBDCA" w15:done="0"/>
  <w15:commentEx w15:paraId="4ECD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80BD" w14:textId="77777777" w:rsidR="00A663AD" w:rsidRDefault="00A663AD">
      <w:r>
        <w:separator/>
      </w:r>
    </w:p>
  </w:endnote>
  <w:endnote w:type="continuationSeparator" w:id="0">
    <w:p w14:paraId="4A9E4625" w14:textId="77777777" w:rsidR="00A663AD" w:rsidRDefault="00A6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BA2D" w14:textId="77777777" w:rsidR="009421CF" w:rsidRDefault="003F107F">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7D5524C9" wp14:editId="467135EB">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EA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69156B">
      <w:rPr>
        <w:rStyle w:val="PageNumber"/>
        <w:noProof/>
      </w:rPr>
      <w:t>2</w:t>
    </w:r>
    <w:r w:rsidR="009421C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81EA8" w14:textId="77777777" w:rsidR="009421CF" w:rsidRDefault="003F107F">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002E5ECD" wp14:editId="0DF79D91">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8CC2"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0C1805">
      <w:rPr>
        <w:rStyle w:val="PageNumber"/>
        <w:noProof/>
      </w:rPr>
      <w:t>3</w:t>
    </w:r>
    <w:r w:rsidR="009421C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244E" w14:textId="77777777" w:rsidR="009421CF" w:rsidRDefault="003F107F">
    <w:pPr>
      <w:pStyle w:val="CopyrightLine"/>
    </w:pPr>
    <w:r>
      <w:rPr>
        <w:noProof/>
        <w:sz w:val="20"/>
      </w:rPr>
      <mc:AlternateContent>
        <mc:Choice Requires="wps">
          <w:drawing>
            <wp:anchor distT="0" distB="0" distL="114300" distR="114300" simplePos="0" relativeHeight="251657216" behindDoc="0" locked="1" layoutInCell="1" allowOverlap="0" wp14:anchorId="6F6474E7" wp14:editId="7BE5B715">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6843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9421CF">
      <w:t>© Oxford University Press 2005</w:t>
    </w:r>
    <w:r w:rsidR="009421CF">
      <w:tab/>
    </w:r>
    <w:r w:rsidR="009421CF">
      <w:rPr>
        <w:rStyle w:val="PageNumber"/>
      </w:rPr>
      <w:fldChar w:fldCharType="begin"/>
    </w:r>
    <w:r w:rsidR="009421CF">
      <w:rPr>
        <w:rStyle w:val="PageNumber"/>
      </w:rPr>
      <w:instrText xml:space="preserve"> PAGE </w:instrText>
    </w:r>
    <w:r w:rsidR="009421CF">
      <w:rPr>
        <w:rStyle w:val="PageNumber"/>
      </w:rPr>
      <w:fldChar w:fldCharType="separate"/>
    </w:r>
    <w:r w:rsidR="00584CCD">
      <w:rPr>
        <w:rStyle w:val="PageNumber"/>
        <w:noProof/>
      </w:rPr>
      <w:t>1</w:t>
    </w:r>
    <w:r w:rsidR="009421C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381D" w14:textId="77777777" w:rsidR="00A663AD" w:rsidRDefault="00A663AD">
      <w:pPr>
        <w:pStyle w:val="Footer"/>
        <w:tabs>
          <w:tab w:val="clear" w:pos="4320"/>
          <w:tab w:val="left" w:pos="4860"/>
        </w:tabs>
        <w:spacing w:line="200" w:lineRule="exact"/>
        <w:rPr>
          <w:u w:val="single" w:color="000000"/>
        </w:rPr>
      </w:pPr>
      <w:r>
        <w:rPr>
          <w:u w:val="single" w:color="000000"/>
        </w:rPr>
        <w:tab/>
      </w:r>
    </w:p>
  </w:footnote>
  <w:footnote w:type="continuationSeparator" w:id="0">
    <w:p w14:paraId="7BDA5B9B" w14:textId="77777777" w:rsidR="00A663AD" w:rsidRDefault="00A663AD">
      <w:pPr>
        <w:pStyle w:val="FootnoteText"/>
        <w:rPr>
          <w:szCs w:val="24"/>
        </w:rPr>
      </w:pPr>
      <w:r>
        <w:continuationSeparator/>
      </w:r>
    </w:p>
  </w:footnote>
  <w:footnote w:type="continuationNotice" w:id="1">
    <w:p w14:paraId="2CCBA346" w14:textId="77777777" w:rsidR="00A663AD" w:rsidRDefault="00A663AD">
      <w:pPr>
        <w:pStyle w:val="Footer"/>
        <w:spacing w:line="14" w:lineRule="exact"/>
      </w:pPr>
    </w:p>
  </w:footnote>
  <w:footnote w:id="2">
    <w:p w14:paraId="39150095" w14:textId="39511291" w:rsidR="009421CF" w:rsidRDefault="009421CF">
      <w:pPr>
        <w:pStyle w:val="FootnoteText"/>
      </w:pPr>
      <w:r>
        <w:rPr>
          <w:rStyle w:val="FootnoteReference"/>
          <w:position w:val="-2"/>
        </w:rPr>
        <w:t>*</w:t>
      </w:r>
      <w:r>
        <w:t>To whom corr</w:t>
      </w:r>
      <w:r w:rsidR="001551B0">
        <w:t>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57D1F" w14:textId="77777777" w:rsidR="009421CF" w:rsidRDefault="003F107F">
    <w:pPr>
      <w:pStyle w:val="Header"/>
    </w:pPr>
    <w:r>
      <w:rPr>
        <w:noProof/>
        <w:sz w:val="20"/>
      </w:rPr>
      <mc:AlternateContent>
        <mc:Choice Requires="wps">
          <w:drawing>
            <wp:anchor distT="0" distB="0" distL="114300" distR="114300" simplePos="0" relativeHeight="251655168" behindDoc="0" locked="1" layoutInCell="1" allowOverlap="0" wp14:anchorId="551B2FF2" wp14:editId="0F0B418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615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9421CF">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2575" w14:textId="77777777" w:rsidR="009421CF" w:rsidRDefault="003F107F" w:rsidP="0030281D">
    <w:pPr>
      <w:pStyle w:val="Header"/>
    </w:pPr>
    <w:r>
      <w:rPr>
        <w:noProof/>
        <w:sz w:val="20"/>
      </w:rPr>
      <mc:AlternateContent>
        <mc:Choice Requires="wps">
          <w:drawing>
            <wp:anchor distT="0" distB="0" distL="114300" distR="114300" simplePos="0" relativeHeight="251656192" behindDoc="0" locked="1" layoutInCell="1" allowOverlap="0" wp14:anchorId="3DDE10D1" wp14:editId="0B37F8EC">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4083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9421C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D5F3" w14:textId="77777777" w:rsidR="009421CF" w:rsidRDefault="003F107F" w:rsidP="00E73415">
    <w:pPr>
      <w:pStyle w:val="Header"/>
      <w:spacing w:after="120"/>
    </w:pPr>
    <w:r>
      <w:rPr>
        <w:noProof/>
      </w:rPr>
      <mc:AlternateContent>
        <mc:Choice Requires="wps">
          <w:drawing>
            <wp:anchor distT="0" distB="0" distL="114300" distR="114300" simplePos="0" relativeHeight="251660288" behindDoc="0" locked="1" layoutInCell="1" allowOverlap="0" wp14:anchorId="36ADAC12" wp14:editId="3FAF09BA">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7E4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9421CF">
      <w:rPr>
        <w:rFonts w:hint="eastAsia"/>
        <w:lang w:eastAsia="zh-CN"/>
      </w:rPr>
      <w:t>G</w:t>
    </w:r>
    <w:r w:rsidR="009421CF">
      <w:t xml:space="preserve">. </w:t>
    </w:r>
    <w:r w:rsidR="009421CF">
      <w:rPr>
        <w:rFonts w:hint="eastAsia"/>
        <w:lang w:eastAsia="zh-CN"/>
      </w:rPr>
      <w:t>Wang</w:t>
    </w:r>
    <w:r w:rsidR="009421CF">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21505"/>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2600"/>
    <w:rsid w:val="00053373"/>
    <w:rsid w:val="0005721E"/>
    <w:rsid w:val="000574A7"/>
    <w:rsid w:val="0006283F"/>
    <w:rsid w:val="00072480"/>
    <w:rsid w:val="00076B75"/>
    <w:rsid w:val="00076E09"/>
    <w:rsid w:val="00080B84"/>
    <w:rsid w:val="00081385"/>
    <w:rsid w:val="00081C8B"/>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805"/>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51B0"/>
    <w:rsid w:val="0015606F"/>
    <w:rsid w:val="00161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96C0C"/>
    <w:rsid w:val="001A095B"/>
    <w:rsid w:val="001A3E12"/>
    <w:rsid w:val="001A4456"/>
    <w:rsid w:val="001A5509"/>
    <w:rsid w:val="001A556C"/>
    <w:rsid w:val="001A7D22"/>
    <w:rsid w:val="001B4D52"/>
    <w:rsid w:val="001B7017"/>
    <w:rsid w:val="001C5C5A"/>
    <w:rsid w:val="001C6507"/>
    <w:rsid w:val="001C6909"/>
    <w:rsid w:val="001D1432"/>
    <w:rsid w:val="001D6274"/>
    <w:rsid w:val="001D74D0"/>
    <w:rsid w:val="001E08FE"/>
    <w:rsid w:val="001E218A"/>
    <w:rsid w:val="001E36F9"/>
    <w:rsid w:val="001E372D"/>
    <w:rsid w:val="001E6EF4"/>
    <w:rsid w:val="001F118A"/>
    <w:rsid w:val="001F149E"/>
    <w:rsid w:val="001F3DD5"/>
    <w:rsid w:val="001F4B36"/>
    <w:rsid w:val="00202D1D"/>
    <w:rsid w:val="00204343"/>
    <w:rsid w:val="0020793E"/>
    <w:rsid w:val="002114ED"/>
    <w:rsid w:val="00214443"/>
    <w:rsid w:val="00222811"/>
    <w:rsid w:val="00224059"/>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7EE7"/>
    <w:rsid w:val="00271F81"/>
    <w:rsid w:val="00274375"/>
    <w:rsid w:val="0027471C"/>
    <w:rsid w:val="002754E7"/>
    <w:rsid w:val="00275D46"/>
    <w:rsid w:val="0027718D"/>
    <w:rsid w:val="002820F1"/>
    <w:rsid w:val="002821D3"/>
    <w:rsid w:val="002836F1"/>
    <w:rsid w:val="00283E3A"/>
    <w:rsid w:val="00284605"/>
    <w:rsid w:val="002853F1"/>
    <w:rsid w:val="002868E4"/>
    <w:rsid w:val="00286DD2"/>
    <w:rsid w:val="002933DC"/>
    <w:rsid w:val="00293FCC"/>
    <w:rsid w:val="00295278"/>
    <w:rsid w:val="0029675B"/>
    <w:rsid w:val="00297EBB"/>
    <w:rsid w:val="002A0608"/>
    <w:rsid w:val="002A342F"/>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36558"/>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4994"/>
    <w:rsid w:val="003F5E01"/>
    <w:rsid w:val="004016DF"/>
    <w:rsid w:val="00406A8B"/>
    <w:rsid w:val="0040798A"/>
    <w:rsid w:val="0041077C"/>
    <w:rsid w:val="004135F6"/>
    <w:rsid w:val="00413661"/>
    <w:rsid w:val="00416CAF"/>
    <w:rsid w:val="00421DD4"/>
    <w:rsid w:val="00422292"/>
    <w:rsid w:val="00422650"/>
    <w:rsid w:val="00423600"/>
    <w:rsid w:val="00423F4B"/>
    <w:rsid w:val="00431A19"/>
    <w:rsid w:val="00435BF0"/>
    <w:rsid w:val="00437039"/>
    <w:rsid w:val="00437089"/>
    <w:rsid w:val="00437FEF"/>
    <w:rsid w:val="00442556"/>
    <w:rsid w:val="00447346"/>
    <w:rsid w:val="00452130"/>
    <w:rsid w:val="00452213"/>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727B"/>
    <w:rsid w:val="004E038F"/>
    <w:rsid w:val="004E1218"/>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22B4"/>
    <w:rsid w:val="005128C9"/>
    <w:rsid w:val="00512D96"/>
    <w:rsid w:val="005139B2"/>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2239"/>
    <w:rsid w:val="00574AF0"/>
    <w:rsid w:val="0058112C"/>
    <w:rsid w:val="00582016"/>
    <w:rsid w:val="00584CCD"/>
    <w:rsid w:val="00584D27"/>
    <w:rsid w:val="005861B4"/>
    <w:rsid w:val="005873B3"/>
    <w:rsid w:val="00587700"/>
    <w:rsid w:val="005902AB"/>
    <w:rsid w:val="00591B27"/>
    <w:rsid w:val="0059229B"/>
    <w:rsid w:val="005A079D"/>
    <w:rsid w:val="005A087F"/>
    <w:rsid w:val="005A0C6D"/>
    <w:rsid w:val="005A2E9C"/>
    <w:rsid w:val="005A76F2"/>
    <w:rsid w:val="005A7B8D"/>
    <w:rsid w:val="005B04A0"/>
    <w:rsid w:val="005B0655"/>
    <w:rsid w:val="005B2836"/>
    <w:rsid w:val="005B3107"/>
    <w:rsid w:val="005B57CE"/>
    <w:rsid w:val="005C0644"/>
    <w:rsid w:val="005C1162"/>
    <w:rsid w:val="005C4F94"/>
    <w:rsid w:val="005C511F"/>
    <w:rsid w:val="005D02CC"/>
    <w:rsid w:val="005D0771"/>
    <w:rsid w:val="005D3708"/>
    <w:rsid w:val="005E3D12"/>
    <w:rsid w:val="005E6458"/>
    <w:rsid w:val="005E6F0E"/>
    <w:rsid w:val="005F24C9"/>
    <w:rsid w:val="005F6E81"/>
    <w:rsid w:val="005F782C"/>
    <w:rsid w:val="006008A0"/>
    <w:rsid w:val="00603C51"/>
    <w:rsid w:val="00606B26"/>
    <w:rsid w:val="00607F0F"/>
    <w:rsid w:val="006108F7"/>
    <w:rsid w:val="00611F93"/>
    <w:rsid w:val="00612DBF"/>
    <w:rsid w:val="00612E57"/>
    <w:rsid w:val="006145A2"/>
    <w:rsid w:val="00615028"/>
    <w:rsid w:val="006171CD"/>
    <w:rsid w:val="00617DA1"/>
    <w:rsid w:val="00625ECF"/>
    <w:rsid w:val="006277E8"/>
    <w:rsid w:val="00627C80"/>
    <w:rsid w:val="00627E45"/>
    <w:rsid w:val="00631A62"/>
    <w:rsid w:val="00633832"/>
    <w:rsid w:val="00637CB1"/>
    <w:rsid w:val="00640200"/>
    <w:rsid w:val="00643904"/>
    <w:rsid w:val="0064626B"/>
    <w:rsid w:val="006471C1"/>
    <w:rsid w:val="006512C5"/>
    <w:rsid w:val="00654168"/>
    <w:rsid w:val="0065526D"/>
    <w:rsid w:val="00657600"/>
    <w:rsid w:val="00660479"/>
    <w:rsid w:val="00661BAA"/>
    <w:rsid w:val="00665B1B"/>
    <w:rsid w:val="00665DC4"/>
    <w:rsid w:val="006701EC"/>
    <w:rsid w:val="0067408A"/>
    <w:rsid w:val="00676EEA"/>
    <w:rsid w:val="006771A5"/>
    <w:rsid w:val="00684287"/>
    <w:rsid w:val="006843FE"/>
    <w:rsid w:val="0069156B"/>
    <w:rsid w:val="00691CE8"/>
    <w:rsid w:val="00691EC4"/>
    <w:rsid w:val="00692053"/>
    <w:rsid w:val="00693C6E"/>
    <w:rsid w:val="00693D89"/>
    <w:rsid w:val="006972DF"/>
    <w:rsid w:val="006A1901"/>
    <w:rsid w:val="006A220E"/>
    <w:rsid w:val="006A42DB"/>
    <w:rsid w:val="006A4B59"/>
    <w:rsid w:val="006A7F36"/>
    <w:rsid w:val="006B084D"/>
    <w:rsid w:val="006B0B5B"/>
    <w:rsid w:val="006B1515"/>
    <w:rsid w:val="006B6E98"/>
    <w:rsid w:val="006B760C"/>
    <w:rsid w:val="006B7AC7"/>
    <w:rsid w:val="006C36C4"/>
    <w:rsid w:val="006C5B70"/>
    <w:rsid w:val="006D4F0B"/>
    <w:rsid w:val="006D5B69"/>
    <w:rsid w:val="006E2CEB"/>
    <w:rsid w:val="006E5513"/>
    <w:rsid w:val="006E6E6C"/>
    <w:rsid w:val="006F0007"/>
    <w:rsid w:val="006F16E8"/>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9AD"/>
    <w:rsid w:val="00776ECB"/>
    <w:rsid w:val="007774E8"/>
    <w:rsid w:val="007777FC"/>
    <w:rsid w:val="007847AD"/>
    <w:rsid w:val="00785E8A"/>
    <w:rsid w:val="00786257"/>
    <w:rsid w:val="00791D5E"/>
    <w:rsid w:val="007A5CBE"/>
    <w:rsid w:val="007A6A2A"/>
    <w:rsid w:val="007B6257"/>
    <w:rsid w:val="007C034F"/>
    <w:rsid w:val="007C1828"/>
    <w:rsid w:val="007C264D"/>
    <w:rsid w:val="007C464C"/>
    <w:rsid w:val="007C4C68"/>
    <w:rsid w:val="007C73FA"/>
    <w:rsid w:val="007D001B"/>
    <w:rsid w:val="007D08DC"/>
    <w:rsid w:val="007D174F"/>
    <w:rsid w:val="007D5058"/>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FD"/>
    <w:rsid w:val="008D701E"/>
    <w:rsid w:val="008E08DA"/>
    <w:rsid w:val="008E2744"/>
    <w:rsid w:val="008E5378"/>
    <w:rsid w:val="008F0D13"/>
    <w:rsid w:val="008F15A5"/>
    <w:rsid w:val="008F170F"/>
    <w:rsid w:val="008F179D"/>
    <w:rsid w:val="008F2044"/>
    <w:rsid w:val="008F2949"/>
    <w:rsid w:val="008F479E"/>
    <w:rsid w:val="008F4997"/>
    <w:rsid w:val="008F67A6"/>
    <w:rsid w:val="00902588"/>
    <w:rsid w:val="0090462A"/>
    <w:rsid w:val="009065EA"/>
    <w:rsid w:val="00912ACD"/>
    <w:rsid w:val="00917637"/>
    <w:rsid w:val="009177E3"/>
    <w:rsid w:val="00917CFE"/>
    <w:rsid w:val="009218BD"/>
    <w:rsid w:val="00924721"/>
    <w:rsid w:val="0092541A"/>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749"/>
    <w:rsid w:val="009C5278"/>
    <w:rsid w:val="009C5CF1"/>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706"/>
    <w:rsid w:val="009F7EBF"/>
    <w:rsid w:val="00A029EA"/>
    <w:rsid w:val="00A035DF"/>
    <w:rsid w:val="00A0517B"/>
    <w:rsid w:val="00A064D2"/>
    <w:rsid w:val="00A06FDD"/>
    <w:rsid w:val="00A13271"/>
    <w:rsid w:val="00A13B2B"/>
    <w:rsid w:val="00A15222"/>
    <w:rsid w:val="00A20286"/>
    <w:rsid w:val="00A243CB"/>
    <w:rsid w:val="00A246AF"/>
    <w:rsid w:val="00A2580D"/>
    <w:rsid w:val="00A269FA"/>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87C22"/>
    <w:rsid w:val="00A92334"/>
    <w:rsid w:val="00A93484"/>
    <w:rsid w:val="00A9525E"/>
    <w:rsid w:val="00A9612A"/>
    <w:rsid w:val="00A97DFE"/>
    <w:rsid w:val="00AA2BF2"/>
    <w:rsid w:val="00AA5DBE"/>
    <w:rsid w:val="00AB3DA2"/>
    <w:rsid w:val="00AB58A6"/>
    <w:rsid w:val="00AC1406"/>
    <w:rsid w:val="00AC14EB"/>
    <w:rsid w:val="00AD20C4"/>
    <w:rsid w:val="00AD29DA"/>
    <w:rsid w:val="00AD463A"/>
    <w:rsid w:val="00AD4A6B"/>
    <w:rsid w:val="00AE0D04"/>
    <w:rsid w:val="00AE0F75"/>
    <w:rsid w:val="00AF0053"/>
    <w:rsid w:val="00AF2B7A"/>
    <w:rsid w:val="00AF3A3D"/>
    <w:rsid w:val="00AF4B53"/>
    <w:rsid w:val="00AF54E1"/>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33EA"/>
    <w:rsid w:val="00B256D5"/>
    <w:rsid w:val="00B25A69"/>
    <w:rsid w:val="00B34430"/>
    <w:rsid w:val="00B3721B"/>
    <w:rsid w:val="00B42F63"/>
    <w:rsid w:val="00B44528"/>
    <w:rsid w:val="00B52178"/>
    <w:rsid w:val="00B52815"/>
    <w:rsid w:val="00B52827"/>
    <w:rsid w:val="00B614B1"/>
    <w:rsid w:val="00B631FD"/>
    <w:rsid w:val="00B652DF"/>
    <w:rsid w:val="00B670B7"/>
    <w:rsid w:val="00B70939"/>
    <w:rsid w:val="00B72383"/>
    <w:rsid w:val="00B7282B"/>
    <w:rsid w:val="00B770A9"/>
    <w:rsid w:val="00B77A00"/>
    <w:rsid w:val="00B77CBF"/>
    <w:rsid w:val="00B80625"/>
    <w:rsid w:val="00B81148"/>
    <w:rsid w:val="00B818E9"/>
    <w:rsid w:val="00B81B3E"/>
    <w:rsid w:val="00B81CC3"/>
    <w:rsid w:val="00B84813"/>
    <w:rsid w:val="00B93B27"/>
    <w:rsid w:val="00B96BF8"/>
    <w:rsid w:val="00BA2A41"/>
    <w:rsid w:val="00BA77F2"/>
    <w:rsid w:val="00BB072C"/>
    <w:rsid w:val="00BB0B32"/>
    <w:rsid w:val="00BC045E"/>
    <w:rsid w:val="00BC1402"/>
    <w:rsid w:val="00BC1C49"/>
    <w:rsid w:val="00BC1EC5"/>
    <w:rsid w:val="00BC21EB"/>
    <w:rsid w:val="00BC7E74"/>
    <w:rsid w:val="00BD1C34"/>
    <w:rsid w:val="00BD308C"/>
    <w:rsid w:val="00BD43EA"/>
    <w:rsid w:val="00BD7F09"/>
    <w:rsid w:val="00BE08B0"/>
    <w:rsid w:val="00BE2969"/>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7DA1"/>
    <w:rsid w:val="00C312E4"/>
    <w:rsid w:val="00C358D8"/>
    <w:rsid w:val="00C35A6F"/>
    <w:rsid w:val="00C36B64"/>
    <w:rsid w:val="00C420B2"/>
    <w:rsid w:val="00C449E0"/>
    <w:rsid w:val="00C44EC9"/>
    <w:rsid w:val="00C46220"/>
    <w:rsid w:val="00C47E47"/>
    <w:rsid w:val="00C50A9F"/>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0E5B"/>
    <w:rsid w:val="00D06729"/>
    <w:rsid w:val="00D06CB9"/>
    <w:rsid w:val="00D076F2"/>
    <w:rsid w:val="00D12F89"/>
    <w:rsid w:val="00D16B87"/>
    <w:rsid w:val="00D16FC1"/>
    <w:rsid w:val="00D17BF4"/>
    <w:rsid w:val="00D25BB3"/>
    <w:rsid w:val="00D267D0"/>
    <w:rsid w:val="00D278C8"/>
    <w:rsid w:val="00D304C2"/>
    <w:rsid w:val="00D3171E"/>
    <w:rsid w:val="00D357A4"/>
    <w:rsid w:val="00D3591F"/>
    <w:rsid w:val="00D37C00"/>
    <w:rsid w:val="00D42FA5"/>
    <w:rsid w:val="00D4541D"/>
    <w:rsid w:val="00D503F1"/>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034"/>
    <w:rsid w:val="00E34C48"/>
    <w:rsid w:val="00E369B8"/>
    <w:rsid w:val="00E3704A"/>
    <w:rsid w:val="00E376CA"/>
    <w:rsid w:val="00E407E4"/>
    <w:rsid w:val="00E46474"/>
    <w:rsid w:val="00E46FA5"/>
    <w:rsid w:val="00E47FEF"/>
    <w:rsid w:val="00E50FB4"/>
    <w:rsid w:val="00E52083"/>
    <w:rsid w:val="00E53E8A"/>
    <w:rsid w:val="00E60FB8"/>
    <w:rsid w:val="00E62FC5"/>
    <w:rsid w:val="00E63604"/>
    <w:rsid w:val="00E63D08"/>
    <w:rsid w:val="00E64A04"/>
    <w:rsid w:val="00E703E1"/>
    <w:rsid w:val="00E716CC"/>
    <w:rsid w:val="00E7266F"/>
    <w:rsid w:val="00E73415"/>
    <w:rsid w:val="00E81DF6"/>
    <w:rsid w:val="00E838BD"/>
    <w:rsid w:val="00E85B98"/>
    <w:rsid w:val="00E87B90"/>
    <w:rsid w:val="00E92C71"/>
    <w:rsid w:val="00E93990"/>
    <w:rsid w:val="00E9492F"/>
    <w:rsid w:val="00E9565A"/>
    <w:rsid w:val="00E95A80"/>
    <w:rsid w:val="00EA19CB"/>
    <w:rsid w:val="00EA1C18"/>
    <w:rsid w:val="00EA2F3A"/>
    <w:rsid w:val="00EA7326"/>
    <w:rsid w:val="00EB164B"/>
    <w:rsid w:val="00EB2466"/>
    <w:rsid w:val="00EB2485"/>
    <w:rsid w:val="00EB5E68"/>
    <w:rsid w:val="00EC1770"/>
    <w:rsid w:val="00EC1C00"/>
    <w:rsid w:val="00EC4CD8"/>
    <w:rsid w:val="00EC544B"/>
    <w:rsid w:val="00EC6FE7"/>
    <w:rsid w:val="00ED0700"/>
    <w:rsid w:val="00ED4D3E"/>
    <w:rsid w:val="00ED7441"/>
    <w:rsid w:val="00EE1A47"/>
    <w:rsid w:val="00EE4BDB"/>
    <w:rsid w:val="00EE589A"/>
    <w:rsid w:val="00EE6BD6"/>
    <w:rsid w:val="00EE6E76"/>
    <w:rsid w:val="00EE7ADD"/>
    <w:rsid w:val="00EF0A03"/>
    <w:rsid w:val="00EF1BB9"/>
    <w:rsid w:val="00EF3766"/>
    <w:rsid w:val="00F022B8"/>
    <w:rsid w:val="00F03CF4"/>
    <w:rsid w:val="00F04D9B"/>
    <w:rsid w:val="00F068BF"/>
    <w:rsid w:val="00F14D7B"/>
    <w:rsid w:val="00F14D99"/>
    <w:rsid w:val="00F2082A"/>
    <w:rsid w:val="00F21081"/>
    <w:rsid w:val="00F22564"/>
    <w:rsid w:val="00F22CB6"/>
    <w:rsid w:val="00F23B1A"/>
    <w:rsid w:val="00F258DF"/>
    <w:rsid w:val="00F25BD4"/>
    <w:rsid w:val="00F27781"/>
    <w:rsid w:val="00F3272C"/>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3B59"/>
    <w:rsid w:val="00F6586F"/>
    <w:rsid w:val="00F6622E"/>
    <w:rsid w:val="00F70A6D"/>
    <w:rsid w:val="00F70F71"/>
    <w:rsid w:val="00F70F9E"/>
    <w:rsid w:val="00F71C34"/>
    <w:rsid w:val="00F73E60"/>
    <w:rsid w:val="00F748BD"/>
    <w:rsid w:val="00F750E9"/>
    <w:rsid w:val="00F82A36"/>
    <w:rsid w:val="00F83A13"/>
    <w:rsid w:val="00F9563A"/>
    <w:rsid w:val="00F96A20"/>
    <w:rsid w:val="00FA134C"/>
    <w:rsid w:val="00FA3821"/>
    <w:rsid w:val="00FA7C07"/>
    <w:rsid w:val="00FB24F8"/>
    <w:rsid w:val="00FB637F"/>
    <w:rsid w:val="00FC1E1A"/>
    <w:rsid w:val="00FC358C"/>
    <w:rsid w:val="00FC4CD0"/>
    <w:rsid w:val="00FD0763"/>
    <w:rsid w:val="00FD18B4"/>
    <w:rsid w:val="00FD38A1"/>
    <w:rsid w:val="00FD4CB6"/>
    <w:rsid w:val="00FD607F"/>
    <w:rsid w:val="00FD6D96"/>
    <w:rsid w:val="00FE28D4"/>
    <w:rsid w:val="00FE4245"/>
    <w:rsid w:val="00FE7874"/>
    <w:rsid w:val="00FF01EA"/>
    <w:rsid w:val="00FF0BBD"/>
    <w:rsid w:val="00FF1669"/>
    <w:rsid w:val="00FF18A2"/>
    <w:rsid w:val="00FF1BF1"/>
    <w:rsid w:val="00FF39AC"/>
    <w:rsid w:val="00FF498E"/>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5"/>
    <o:shapelayout v:ext="edit">
      <o:idmap v:ext="edit" data="1"/>
    </o:shapelayout>
  </w:shapeDefaults>
  <w:decimalSymbol w:val="."/>
  <w:listSeparator w:val=","/>
  <w14:docId w14:val="0B8F3D6D"/>
  <w15:chartTrackingRefBased/>
  <w15:docId w15:val="{874AAB29-67CD-4EAF-B8B6-C585A1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lang w:val="x-none" w:eastAsia="x-none"/>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lang w:val="x-none" w:eastAsia="x-none"/>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lang w:val="x-none" w:eastAsia="x-none"/>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9B326-6BE8-42F9-BA1D-E0E277D5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Pages>
  <Words>5948</Words>
  <Characters>33910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Gao Wang</dc:creator>
  <cp:keywords/>
  <cp:lastModifiedBy>Gao Wang</cp:lastModifiedBy>
  <cp:revision>1130</cp:revision>
  <cp:lastPrinted>2007-07-05T01:44:00Z</cp:lastPrinted>
  <dcterms:created xsi:type="dcterms:W3CDTF">2014-03-05T21:31:00Z</dcterms:created>
  <dcterms:modified xsi:type="dcterms:W3CDTF">2014-04-04T20:35:00Z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id="qoQcDNrt"/&gt;&lt;style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