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63A72C2"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0"/>
      <w:r w:rsidR="002A6F89" w:rsidRPr="002A6F89">
        <w:t xml:space="preserve">XXX </w:t>
      </w:r>
      <w:commentRangeEnd w:id="0"/>
      <w:r w:rsidR="00A346A4">
        <w:rPr>
          <w:rStyle w:val="CommentReference"/>
          <w:rFonts w:ascii="Times" w:hAnsi="Times"/>
          <w:lang w:val="x-none" w:eastAsia="x-none"/>
        </w:rPr>
        <w:commentReference w:id="0"/>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analysis tools for use in NGS era. </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78386274" w:rsidR="0071137B" w:rsidRDefault="00E85B98" w:rsidP="0049623A">
      <w:pPr>
        <w:pStyle w:val="ParaNoInd"/>
        <w:spacing w:after="40"/>
        <w:rPr>
          <w:lang w:eastAsia="zh-CN"/>
        </w:rPr>
      </w:pPr>
      <w:r>
        <w:rPr>
          <w:lang w:eastAsia="zh-CN"/>
        </w:rPr>
        <w:t xml:space="preserve">The advent and advance of next generation sequencing technology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1"/>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arrays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123411">
        <w:rPr>
          <w:lang w:eastAsia="zh-CN"/>
        </w:rPr>
        <w:t xml:space="preserve">single 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4F71A7">
        <w:rPr>
          <w:lang w:eastAsia="zh-CN"/>
        </w:rPr>
        <w:t>analysis</w:t>
      </w:r>
      <w:r w:rsidR="00A70D45">
        <w:rPr>
          <w:lang w:eastAsia="zh-CN"/>
        </w:rPr>
        <w:t xml:space="preserve"> </w:t>
      </w:r>
      <w:r w:rsidR="00214443">
        <w:rPr>
          <w:lang w:eastAsia="zh-CN"/>
        </w:rPr>
        <w:t>results</w:t>
      </w:r>
      <w:r w:rsidR="006A1901">
        <w:rPr>
          <w:lang w:eastAsia="zh-CN"/>
        </w:rPr>
        <w:t xml:space="preserve">, </w:t>
      </w:r>
      <w:r w:rsidR="00323C2D">
        <w:rPr>
          <w:lang w:eastAsia="zh-CN"/>
        </w:rPr>
        <w:t>such</w:t>
      </w:r>
      <w:r w:rsidR="00421DD4">
        <w:rPr>
          <w:lang w:eastAsia="zh-CN"/>
        </w:rPr>
        <w:t xml:space="preserve"> SNVs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0D1666D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 xml:space="preserve">(CHP) method to recode sequence data for linkage analysis that results in markers that are more likely to be heterozygous and informative for linkage analysis. </w:t>
      </w:r>
      <w:r w:rsidR="00A20286">
        <w:rPr>
          <w:szCs w:val="18"/>
        </w:rPr>
        <w:t>Our method d</w:t>
      </w:r>
      <w:r w:rsidR="00691CE8">
        <w:rPr>
          <w:szCs w:val="18"/>
        </w:rPr>
        <w:t xml:space="preserve">oes not require LD pruning and </w:t>
      </w:r>
      <w:r w:rsidR="00A20286">
        <w:rPr>
          <w:szCs w:val="18"/>
        </w:rPr>
        <w:t>is particularly powerful when disease causing mutations harbor in the same genetic region but different loci across multiple families.</w:t>
      </w:r>
      <w:r w:rsidR="00326890">
        <w:rPr>
          <w:szCs w:val="18"/>
        </w:rPr>
        <w:t xml:space="preserve"> We provide software package XXX implementing our method to facilitate linkage analysis on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187DA2FC" w14:textId="1D2B3FD9"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9B4E82">
        <w:rPr>
          <w:rFonts w:ascii="Times New Roman" w:hAnsi="Times New Roman"/>
          <w:sz w:val="18"/>
          <w:szCs w:val="18"/>
        </w:rPr>
        <w:t>carry</w:t>
      </w:r>
      <w:r w:rsidRPr="005E3D12">
        <w:rPr>
          <w:rFonts w:ascii="Times New Roman" w:hAnsi="Times New Roman"/>
          <w:sz w:val="18"/>
          <w:szCs w:val="18"/>
        </w:rPr>
        <w:t xml:space="preserve"> information on the transmission of variants in 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 xml:space="preserve">are often more heterozygous than single locus markers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handled by the coding method.</w:t>
      </w:r>
    </w:p>
    <w:p w14:paraId="26E25EF6" w14:textId="123E6702"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and collapse variants in a window into an indicator variable of values 0 or 1 for having no minor allele or at least one minor allele within the window,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w:t>
      </w:r>
      <w:r w:rsidR="00A76166">
        <w:rPr>
          <w:rFonts w:ascii="Times New Roman" w:hAnsi="Times New Roman"/>
          <w:sz w:val="18"/>
          <w:szCs w:val="18"/>
        </w:rPr>
        <w:lastRenderedPageBreak/>
        <w:t xml:space="preserve">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31A4EF51"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56735455" r:id="rId16"/>
        </w:object>
      </w:r>
      <w:r w:rsidR="005E3D12" w:rsidRPr="005E3D12">
        <w:rPr>
          <w:rFonts w:ascii="Times New Roman" w:hAnsi="Times New Roman"/>
          <w:sz w:val="18"/>
          <w:szCs w:val="18"/>
        </w:rPr>
        <w:t xml:space="preserve"> where </w:t>
      </w:r>
      <w:r w:rsidR="00EC6FE7" w:rsidRPr="005E3D12">
        <w:rPr>
          <w:rFonts w:ascii="Times New Roman" w:hAnsi="Times New Roman"/>
          <w:position w:val="-14"/>
          <w:sz w:val="18"/>
          <w:szCs w:val="18"/>
        </w:rPr>
        <w:object w:dxaOrig="360" w:dyaOrig="380" w14:anchorId="24A0990D">
          <v:shape id="_x0000_i1026" type="#_x0000_t75" style="width:16.9pt;height:17.55pt" o:ole="">
            <v:imagedata r:id="rId17" o:title=""/>
          </v:shape>
          <o:OLEObject Type="Embed" ProgID="Equation.DSMT4" ShapeID="_x0000_i1026" DrawAspect="Content" ObjectID="_1456735456"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5E3D12" w:rsidRPr="005E3D12">
        <w:rPr>
          <w:rFonts w:ascii="Times New Roman" w:hAnsi="Times New Roman"/>
          <w:sz w:val="18"/>
          <w:szCs w:val="18"/>
        </w:rPr>
        <w:t xml:space="preserve">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35pt;height:16.3pt" o:ole="">
            <v:imagedata r:id="rId19" o:title=""/>
          </v:shape>
          <o:OLEObject Type="Embed" ProgID="Equation.DSMT4" ShapeID="_x0000_i1027" DrawAspect="Content" ObjectID="_1456735457"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3.9pt;height:15.05pt" o:ole="">
            <v:imagedata r:id="rId21" o:title=""/>
          </v:shape>
          <o:OLEObject Type="Embed" ProgID="Equation.DSMT4" ShapeID="_x0000_i1028" DrawAspect="Content" ObjectID="_1456735458" r:id="rId22"/>
        </w:object>
      </w:r>
      <w:r w:rsidR="005E3D12" w:rsidRPr="005E3D12">
        <w:rPr>
          <w:rFonts w:ascii="Times New Roman" w:hAnsi="Times New Roman"/>
          <w:sz w:val="18"/>
          <w:szCs w:val="18"/>
        </w:rPr>
        <w:t xml:space="preserve">. </w:t>
      </w:r>
      <w:commentRangeStart w:id="2"/>
      <w:r w:rsidR="005E3D12" w:rsidRPr="005E3D12">
        <w:rPr>
          <w:rFonts w:ascii="Times New Roman" w:hAnsi="Times New Roman"/>
          <w:sz w:val="18"/>
          <w:szCs w:val="18"/>
        </w:rPr>
        <w:t>For collapsed haplotype patterns within a pedigree, the allele frequencies will be normalized such that they sum to 1</w:t>
      </w:r>
      <w:commentRangeEnd w:id="2"/>
      <w:r w:rsidR="005E3D12" w:rsidRPr="005E3D12">
        <w:rPr>
          <w:rStyle w:val="CommentReference"/>
          <w:sz w:val="18"/>
          <w:szCs w:val="18"/>
          <w:lang w:val="x-none" w:eastAsia="x-none"/>
        </w:rPr>
        <w:commentReference w:id="2"/>
      </w:r>
      <w:r w:rsidR="005E3D12" w:rsidRPr="005E3D12">
        <w:rPr>
          <w:rFonts w:ascii="Times New Roman" w:hAnsi="Times New Roman"/>
          <w:sz w:val="18"/>
          <w:szCs w:val="18"/>
        </w:rPr>
        <w:t>. The normalized collapsed haplotype pattern frequencies are then used as the allele frequencies for the corresponding regional genotype markers in linkage analysis.</w:t>
      </w:r>
    </w:p>
    <w:p w14:paraId="0E09BF54" w14:textId="673E520A"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 may predominate the marker pattern. </w:t>
      </w:r>
      <w:r w:rsidR="00F2082A">
        <w:rPr>
          <w:rFonts w:ascii="Times New Roman" w:hAnsi="Times New Roman"/>
          <w:sz w:val="18"/>
          <w:szCs w:val="18"/>
        </w:rPr>
        <w:t>We therefore exclude variants up to a specified MAF cutoff and treat those variants as standalone SNP markers.</w:t>
      </w:r>
    </w:p>
    <w:p w14:paraId="1CA177AC" w14:textId="268CF8ED"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w:t>
      </w:r>
      <w:commentRangeStart w:id="3"/>
      <w:r w:rsidR="005E3D12" w:rsidRPr="005E3D12">
        <w:rPr>
          <w:rFonts w:ascii="Times New Roman" w:hAnsi="Times New Roman"/>
          <w:sz w:val="18"/>
          <w:szCs w:val="18"/>
        </w:rPr>
        <w:t xml:space="preserve">MLINK routine </w:t>
      </w:r>
      <w:commentRangeEnd w:id="3"/>
      <w:r w:rsidR="00B10F0F">
        <w:rPr>
          <w:rStyle w:val="CommentReference"/>
          <w:lang w:val="x-none" w:eastAsia="x-none"/>
        </w:rPr>
        <w:commentReference w:id="3"/>
      </w:r>
      <w:r w:rsidR="00932A40">
        <w:rPr>
          <w:rFonts w:ascii="Times New Roman" w:hAnsi="Times New Roman"/>
          <w:sz w:val="18"/>
          <w:szCs w:val="18"/>
        </w:rPr>
        <w:t xml:space="preserve">(whose execution time scales linearly with family size) </w:t>
      </w:r>
      <w:r w:rsidR="005E3D12" w:rsidRPr="005E3D12">
        <w:rPr>
          <w:rFonts w:ascii="Times New Roman" w:hAnsi="Times New Roman"/>
          <w:sz w:val="18"/>
          <w:szCs w:val="18"/>
        </w:rPr>
        <w:t xml:space="preserve">and produces high quality graphical report on both LOD and HLOD scores for two-point linkage analysis on regional genotype markers generated by the CHP method previously described. Additionally XXX supports output of regional genotype data into formats compatible with linkage software such as </w:t>
      </w:r>
      <w:commentRangeStart w:id="4"/>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4"/>
      <w:r w:rsidR="00631A62">
        <w:rPr>
          <w:rStyle w:val="CommentReference"/>
          <w:lang w:val="x-none" w:eastAsia="x-none"/>
        </w:rPr>
        <w:commentReference w:id="4"/>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5E3D12" w:rsidRPr="005E3D12">
        <w:rPr>
          <w:rFonts w:ascii="Times New Roman" w:hAnsi="Times New Roman"/>
          <w:sz w:val="18"/>
          <w:szCs w:val="18"/>
        </w:rPr>
        <w:t xml:space="preserve"> as the surrogate for genetic distance of the regional marker.</w:t>
      </w:r>
    </w:p>
    <w:p w14:paraId="7FD0522E" w14:textId="1AA68606" w:rsidR="00D56444" w:rsidRPr="00D56444" w:rsidRDefault="00D56444" w:rsidP="00D56444">
      <w:pPr>
        <w:pStyle w:val="Heading1"/>
        <w:spacing w:before="280"/>
        <w:ind w:left="360" w:hanging="360"/>
        <w:rPr>
          <w:lang w:eastAsia="zh-CN"/>
        </w:rPr>
      </w:pPr>
      <w:r>
        <w:rPr>
          <w:lang w:eastAsia="zh-CN"/>
        </w:rPr>
        <w:t>Results</w:t>
      </w:r>
    </w:p>
    <w:p w14:paraId="5C98429D" w14:textId="68D71CA4"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bookmarkStart w:id="5" w:name="_GoBack"/>
      <w:bookmarkEnd w:id="5"/>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details</w:t>
      </w:r>
      <w:r w:rsidR="007769AD">
        <w:rPr>
          <w:rFonts w:ascii="Times New Roman" w:hAnsi="Times New Roman"/>
          <w:sz w:val="18"/>
          <w:szCs w:val="18"/>
        </w:rPr>
        <w:t xml:space="preserve"> on data simulation</w:t>
      </w:r>
      <w:r w:rsidR="006471C1">
        <w:rPr>
          <w:rFonts w:ascii="Times New Roman" w:hAnsi="Times New Roman"/>
          <w:sz w:val="18"/>
          <w:szCs w:val="18"/>
        </w:rPr>
        <w:t>)</w:t>
      </w:r>
      <w:r w:rsidRPr="002C1134">
        <w:rPr>
          <w:rFonts w:ascii="Times New Roman" w:hAnsi="Times New Roman"/>
          <w:sz w:val="18"/>
          <w:szCs w:val="18"/>
        </w:rPr>
        <w:t>.</w:t>
      </w:r>
      <w:r w:rsidR="00EC4CD8">
        <w:rPr>
          <w:rFonts w:ascii="Times New Roman" w:hAnsi="Times New Roman"/>
          <w:sz w:val="18"/>
          <w:szCs w:val="18"/>
        </w:rPr>
        <w:t xml:space="preserve"> </w:t>
      </w:r>
      <w:r w:rsidR="007B6257">
        <w:rPr>
          <w:rFonts w:ascii="Times New Roman" w:hAnsi="Times New Roman"/>
          <w:sz w:val="18"/>
          <w:szCs w:val="18"/>
        </w:rPr>
        <w:t xml:space="preserve">From results shown in </w:t>
      </w:r>
      <w:r w:rsidR="00525000">
        <w:rPr>
          <w:rFonts w:ascii="Times New Roman" w:hAnsi="Times New Roman"/>
          <w:sz w:val="18"/>
          <w:szCs w:val="18"/>
        </w:rPr>
        <w:t>Table 1</w:t>
      </w:r>
      <w:r w:rsidR="007B6257">
        <w:rPr>
          <w:rFonts w:ascii="Times New Roman" w:hAnsi="Times New Roman"/>
          <w:sz w:val="18"/>
          <w:szCs w:val="18"/>
        </w:rPr>
        <w:t xml:space="preserve">, our method …. </w:t>
      </w:r>
      <w:r w:rsidR="00525000">
        <w:rPr>
          <w:rFonts w:ascii="Times New Roman" w:hAnsi="Times New Roman"/>
          <w:sz w:val="18"/>
          <w:szCs w:val="18"/>
        </w:rPr>
        <w:t>.</w:t>
      </w:r>
    </w:p>
    <w:p w14:paraId="724E593A" w14:textId="6B2CCA4A" w:rsidR="00397F77" w:rsidRPr="0030281D" w:rsidRDefault="005B3107" w:rsidP="00574AF0">
      <w:pPr>
        <w:pStyle w:val="Heading1"/>
        <w:spacing w:before="280"/>
        <w:ind w:left="360" w:hanging="360"/>
        <w:rPr>
          <w:lang w:eastAsia="zh-CN"/>
        </w:rPr>
      </w:pPr>
      <w:r>
        <w:rPr>
          <w:lang w:eastAsia="zh-CN"/>
        </w:rPr>
        <w:t>discussion</w:t>
      </w:r>
    </w:p>
    <w:p w14:paraId="73B3B881" w14:textId="53505BD2" w:rsidR="00DE5307" w:rsidRDefault="00DE5307" w:rsidP="00DE5307">
      <w:pPr>
        <w:pStyle w:val="ParaNoInd"/>
        <w:rPr>
          <w:lang w:eastAsia="zh-CN"/>
        </w:rPr>
      </w:pPr>
      <w:r>
        <w:rPr>
          <w:lang w:eastAsia="zh-CN"/>
        </w:rPr>
        <w:t xml:space="preserve">In haplotype reconstruction for the 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t>
      </w:r>
      <w:r w:rsidR="00F6586F">
        <w:rPr>
          <w:lang w:eastAsia="zh-CN"/>
        </w:rPr>
        <w:t xml:space="preserve">WES </w:t>
      </w:r>
      <w:r>
        <w:rPr>
          <w:lang w:eastAsia="zh-CN"/>
        </w:rPr>
        <w:t xml:space="preserve">data </w:t>
      </w:r>
      <w:r w:rsidR="00F6586F">
        <w:rPr>
          <w:lang w:eastAsia="zh-CN"/>
        </w:rPr>
        <w:t xml:space="preserve">once can use </w:t>
      </w:r>
      <w:r>
        <w:rPr>
          <w:lang w:eastAsia="zh-CN"/>
        </w:rPr>
        <w:t xml:space="preserve">genes as regional markers. Within each </w:t>
      </w:r>
      <w:r w:rsidR="00E2145A">
        <w:rPr>
          <w:lang w:eastAsia="zh-CN"/>
        </w:rPr>
        <w:t xml:space="preserve">genetic </w:t>
      </w:r>
      <w:r>
        <w:rPr>
          <w:lang w:eastAsia="zh-CN"/>
        </w:rPr>
        <w:t xml:space="preserve">region, commonly used window size options for variants collapsing are </w:t>
      </w:r>
      <w:r w:rsidR="00447346">
        <w:rPr>
          <w:lang w:eastAsia="zh-CN"/>
        </w:rPr>
        <w:t xml:space="preserve">LD based collapsing (use estimated LD blocks as windows), </w:t>
      </w:r>
      <w:r>
        <w:rPr>
          <w:lang w:eastAsia="zh-CN"/>
        </w:rPr>
        <w:t xml:space="preserve">complete </w:t>
      </w:r>
      <w:r>
        <w:rPr>
          <w:lang w:eastAsia="zh-CN"/>
        </w:rPr>
        <w:lastRenderedPageBreak/>
        <w:t>collapsing (wi</w:t>
      </w:r>
      <w:r w:rsidR="00447346">
        <w:rPr>
          <w:lang w:eastAsia="zh-CN"/>
        </w:rPr>
        <w:t>ndow size equals region length) and</w:t>
      </w:r>
      <w:r>
        <w:rPr>
          <w:lang w:eastAsia="zh-CN"/>
        </w:rPr>
        <w:t xml:space="preserve"> no collapsing (</w:t>
      </w:r>
      <w:r w:rsidR="00447346">
        <w:rPr>
          <w:lang w:eastAsia="zh-CN"/>
        </w:rPr>
        <w:t>window size equals one)</w:t>
      </w:r>
      <w:r>
        <w:rPr>
          <w:lang w:eastAsia="zh-CN"/>
        </w:rPr>
        <w:t xml:space="preserve">, although other arbitrary window size options are also available </w:t>
      </w:r>
      <w:r w:rsidR="00F412D2">
        <w:rPr>
          <w:lang w:eastAsia="zh-CN"/>
        </w:rPr>
        <w:t>in</w:t>
      </w:r>
      <w:r>
        <w:rPr>
          <w:lang w:eastAsia="zh-CN"/>
        </w:rPr>
        <w:t xml:space="preserve"> XXX.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6"/>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6"/>
      <w:r w:rsidR="00C65FE5">
        <w:rPr>
          <w:rStyle w:val="CommentReference"/>
          <w:rFonts w:ascii="Times" w:hAnsi="Times"/>
          <w:lang w:val="x-none" w:eastAsia="x-none"/>
        </w:rPr>
        <w:commentReference w:id="6"/>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r w:rsidR="00546406" w:rsidRPr="00546406">
        <w:rPr>
          <w:rFonts w:ascii="Helvetica" w:hAnsi="Helvetica" w:cs="Helvetica"/>
          <w:sz w:val="14"/>
        </w:rPr>
        <w:t xml:space="preserve">Abecasis,G.R.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Abecasis,G.R. and Wigginton,J.E. (2005) Handling Marker-Marker Linkage Disequilibrium: Pedigree Analysis with Clustered Markers.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Freimer,N.B.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Li,B. and Leal,S.M. (2008) Methods for detecting associations with rare variants for common diseases: application to analysis of sequence data.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Louis-Dit-Picard,H. </w:t>
      </w:r>
      <w:r w:rsidRPr="00546406">
        <w:rPr>
          <w:rFonts w:ascii="Helvetica" w:hAnsi="Helvetica" w:cs="Helvetica"/>
          <w:i/>
          <w:iCs/>
          <w:sz w:val="14"/>
        </w:rPr>
        <w:t>et al.</w:t>
      </w:r>
      <w:r w:rsidRPr="00546406">
        <w:rPr>
          <w:rFonts w:ascii="Helvetica" w:hAnsi="Helvetica" w:cs="Helvetica"/>
          <w:sz w:val="14"/>
        </w:rPr>
        <w:t xml:space="preserve"> (2012) KLHL3 mutations cause familial hyperkalemic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Matise,T.C.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Mukhopadhyay,N.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Ng,S.B. </w:t>
      </w:r>
      <w:r w:rsidRPr="00546406">
        <w:rPr>
          <w:rFonts w:ascii="Helvetica" w:hAnsi="Helvetica" w:cs="Helvetica"/>
          <w:i/>
          <w:iCs/>
          <w:sz w:val="14"/>
        </w:rPr>
        <w:t>et al.</w:t>
      </w:r>
      <w:r w:rsidRPr="00546406">
        <w:rPr>
          <w:rFonts w:ascii="Helvetica" w:hAnsi="Helvetica" w:cs="Helvetica"/>
          <w:sz w:val="14"/>
        </w:rPr>
        <w:t xml:space="preserve"> (2010) Exome sequencing identifies the cause of a Mendelian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Smith,K.R. </w:t>
      </w:r>
      <w:r w:rsidRPr="00546406">
        <w:rPr>
          <w:rFonts w:ascii="Helvetica" w:hAnsi="Helvetica" w:cs="Helvetica"/>
          <w:i/>
          <w:iCs/>
          <w:sz w:val="14"/>
        </w:rPr>
        <w:t>et al.</w:t>
      </w:r>
      <w:r w:rsidRPr="00546406">
        <w:rPr>
          <w:rFonts w:ascii="Helvetica" w:hAnsi="Helvetica" w:cs="Helvetica"/>
          <w:sz w:val="14"/>
        </w:rPr>
        <w:t xml:space="preserve"> (2011) Reducing the exome search space for Mendelian diseases using genetic linkage analysis of exome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Yan,J. </w:t>
      </w:r>
      <w:r w:rsidRPr="00546406">
        <w:rPr>
          <w:rFonts w:ascii="Helvetica" w:hAnsi="Helvetica" w:cs="Helvetica"/>
          <w:i/>
          <w:iCs/>
          <w:sz w:val="14"/>
        </w:rPr>
        <w:t>et al.</w:t>
      </w:r>
      <w:r w:rsidRPr="00546406">
        <w:rPr>
          <w:rFonts w:ascii="Helvetica" w:hAnsi="Helvetica" w:cs="Helvetica"/>
          <w:sz w:val="14"/>
        </w:rPr>
        <w:t xml:space="preserve"> (2013) Combined linkage analysis and exome sequencing identifies novel genes for familial goiter. </w:t>
      </w:r>
      <w:r w:rsidRPr="00546406">
        <w:rPr>
          <w:rFonts w:ascii="Helvetica" w:hAnsi="Helvetica" w:cs="Helvetica"/>
          <w:i/>
          <w:iCs/>
          <w:sz w:val="14"/>
        </w:rPr>
        <w:t>J. Hum. Genet.</w:t>
      </w:r>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1"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2"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3" w:author="Gao Wang" w:date="2014-03-17T16:16:00Z" w:initials="gw">
    <w:p w14:paraId="6B6D39F3" w14:textId="1CB676EC" w:rsidR="00B10F0F" w:rsidRPr="00B10F0F" w:rsidRDefault="00B10F0F">
      <w:pPr>
        <w:pStyle w:val="CommentText"/>
        <w:rPr>
          <w:lang w:val="en-US"/>
        </w:rPr>
      </w:pPr>
      <w:r>
        <w:rPr>
          <w:rStyle w:val="CommentReference"/>
        </w:rPr>
        <w:annotationRef/>
      </w:r>
      <w:r>
        <w:rPr>
          <w:lang w:val="en-US"/>
        </w:rPr>
        <w:t>How to cite MLINK?</w:t>
      </w:r>
      <w:r w:rsidR="002868E4">
        <w:rPr>
          <w:lang w:val="en-US"/>
        </w:rPr>
        <w:t xml:space="preserve"> Perhaps Jurg’s LINKAGE program?</w:t>
      </w:r>
    </w:p>
  </w:comment>
  <w:comment w:id="4"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30AEBDCA" w15:done="0"/>
  <w15:commentEx w15:paraId="6B6D39F3" w15:done="0"/>
  <w15:commentEx w15:paraId="48E0FA1C"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233971">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D56444">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6A220E">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13313"/>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3373"/>
    <w:rsid w:val="0005721E"/>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798A"/>
    <w:rsid w:val="0041077C"/>
    <w:rsid w:val="004135F6"/>
    <w:rsid w:val="00413661"/>
    <w:rsid w:val="00416CAF"/>
    <w:rsid w:val="00421DD4"/>
    <w:rsid w:val="00422292"/>
    <w:rsid w:val="00422650"/>
    <w:rsid w:val="00423600"/>
    <w:rsid w:val="00423F4B"/>
    <w:rsid w:val="00435BF0"/>
    <w:rsid w:val="00437089"/>
    <w:rsid w:val="00437FEF"/>
    <w:rsid w:val="00442556"/>
    <w:rsid w:val="00447346"/>
    <w:rsid w:val="00452130"/>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25000"/>
    <w:rsid w:val="00530B5C"/>
    <w:rsid w:val="005344A4"/>
    <w:rsid w:val="005416B4"/>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4AF0"/>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220E"/>
    <w:rsid w:val="006A42DB"/>
    <w:rsid w:val="006A4B59"/>
    <w:rsid w:val="006A7F36"/>
    <w:rsid w:val="006B084D"/>
    <w:rsid w:val="006B0B5B"/>
    <w:rsid w:val="006B1515"/>
    <w:rsid w:val="006B6E98"/>
    <w:rsid w:val="006B760C"/>
    <w:rsid w:val="006B7AC7"/>
    <w:rsid w:val="006C36C4"/>
    <w:rsid w:val="006C5B70"/>
    <w:rsid w:val="006D4F0B"/>
    <w:rsid w:val="006D5B69"/>
    <w:rsid w:val="006E5513"/>
    <w:rsid w:val="006E6E6C"/>
    <w:rsid w:val="006F0007"/>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9AD"/>
    <w:rsid w:val="00776ECB"/>
    <w:rsid w:val="007774E8"/>
    <w:rsid w:val="007777FC"/>
    <w:rsid w:val="007847AD"/>
    <w:rsid w:val="00785E8A"/>
    <w:rsid w:val="00786257"/>
    <w:rsid w:val="00791D5E"/>
    <w:rsid w:val="007A5CBE"/>
    <w:rsid w:val="007A6A2A"/>
    <w:rsid w:val="007B6257"/>
    <w:rsid w:val="007C1828"/>
    <w:rsid w:val="007C264D"/>
    <w:rsid w:val="007C464C"/>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EBF"/>
    <w:rsid w:val="00A029EA"/>
    <w:rsid w:val="00A035DF"/>
    <w:rsid w:val="00A0517B"/>
    <w:rsid w:val="00A064D2"/>
    <w:rsid w:val="00A06FDD"/>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92334"/>
    <w:rsid w:val="00A93484"/>
    <w:rsid w:val="00A9525E"/>
    <w:rsid w:val="00A9612A"/>
    <w:rsid w:val="00A97DFE"/>
    <w:rsid w:val="00AA2BF2"/>
    <w:rsid w:val="00AA5DBE"/>
    <w:rsid w:val="00AB3DA2"/>
    <w:rsid w:val="00AB58A6"/>
    <w:rsid w:val="00AC1406"/>
    <w:rsid w:val="00AC14EB"/>
    <w:rsid w:val="00AD20C4"/>
    <w:rsid w:val="00AD29DA"/>
    <w:rsid w:val="00AD4A6B"/>
    <w:rsid w:val="00AE0F75"/>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20F0"/>
    <w:rsid w:val="00C14978"/>
    <w:rsid w:val="00C16364"/>
    <w:rsid w:val="00C206D6"/>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266F"/>
    <w:rsid w:val="00E73415"/>
    <w:rsid w:val="00E81DF6"/>
    <w:rsid w:val="00E838BD"/>
    <w:rsid w:val="00E85B98"/>
    <w:rsid w:val="00E87B90"/>
    <w:rsid w:val="00E92C71"/>
    <w:rsid w:val="00E9492F"/>
    <w:rsid w:val="00E9565A"/>
    <w:rsid w:val="00E95A80"/>
    <w:rsid w:val="00EA19CB"/>
    <w:rsid w:val="00EA1C18"/>
    <w:rsid w:val="00EA2F3A"/>
    <w:rsid w:val="00EA7326"/>
    <w:rsid w:val="00EB164B"/>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3CF4"/>
    <w:rsid w:val="00F04D9B"/>
    <w:rsid w:val="00F068BF"/>
    <w:rsid w:val="00F14D7B"/>
    <w:rsid w:val="00F14D99"/>
    <w:rsid w:val="00F2082A"/>
    <w:rsid w:val="00F21081"/>
    <w:rsid w:val="00F22564"/>
    <w:rsid w:val="00F22CB6"/>
    <w:rsid w:val="00F258DF"/>
    <w:rsid w:val="00F25BD4"/>
    <w:rsid w:val="00F27781"/>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98B3E-FC93-4AC2-9561-8414A920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870</cp:revision>
  <cp:lastPrinted>2007-07-05T01:44:00Z</cp:lastPrinted>
  <dcterms:created xsi:type="dcterms:W3CDTF">2014-03-05T21:31:00Z</dcterms:created>
  <dcterms:modified xsi:type="dcterms:W3CDTF">2014-03-19T18:56:00Z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