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04F106" w14:textId="77777777"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439F6AD7"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55D29704" w14:textId="77777777" w:rsidR="00067FAD" w:rsidRPr="003A6DC9" w:rsidRDefault="00067FAD" w:rsidP="00067FAD">
      <w:pPr>
        <w:tabs>
          <w:tab w:val="left" w:pos="6570"/>
        </w:tabs>
        <w:spacing w:line="480" w:lineRule="auto"/>
        <w:jc w:val="both"/>
        <w:rPr>
          <w:rFonts w:ascii="Times New Roman" w:hAnsi="Times New Roman"/>
          <w:sz w:val="24"/>
          <w:szCs w:val="24"/>
        </w:rPr>
      </w:pPr>
    </w:p>
    <w:p w14:paraId="0AF85749"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74395565" w14:textId="7777777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568E07A4"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21C7F37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0ED43B15"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7EEB4B1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3AD004F"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3EF1A4D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574E03F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66FB8448" w14:textId="77777777" w:rsidR="00C974D7" w:rsidRPr="00BF6CD2" w:rsidRDefault="00E27233"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5A0E9EAA" w14:textId="77777777"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7DE9B7CC" w14:textId="77777777"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0A3CF75C" w14:textId="77777777" w:rsidR="00C57DCF" w:rsidRPr="00C57DCF" w:rsidRDefault="009E501D" w:rsidP="00C45340">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5FEA4DC6" w14:textId="77777777" w:rsidR="007E05B7" w:rsidRPr="007E05B7" w:rsidRDefault="007E05B7" w:rsidP="00C45340">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WES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14:paraId="3AB69E77" w14:textId="77777777" w:rsidR="000758AF" w:rsidRDefault="0026429E" w:rsidP="007C1BB5">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t xml:space="preserve">have a higher 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informative for linkage analysis than individual 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lastRenderedPageBreak/>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AEA0689" w14:textId="77777777" w:rsidR="000758AF" w:rsidRDefault="008349C9" w:rsidP="007C1BB5">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4F097E4D"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3A3F2338"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An improved version of the Lander-Green algorithm for genetic phasing is applied to reconstruct haplotypes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haplotypes by “bins”, e.g. LD blocks, and collapse variants in a bin into an indicator variable with values 0 or 1 for having no minor allele or at least one minor </w:t>
      </w:r>
      <w:r w:rsidRPr="000433E1">
        <w:rPr>
          <w:rFonts w:ascii="Times New Roman" w:hAnsi="Times New Roman"/>
          <w:sz w:val="24"/>
        </w:rPr>
        <w:lastRenderedPageBreak/>
        <w:t>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2336ED9E" w14:textId="77777777" w:rsidR="000758AF" w:rsidRDefault="00452CCB" w:rsidP="000758AF">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be combined.</w:t>
      </w:r>
    </w:p>
    <w:p w14:paraId="0D468AD0" w14:textId="08FF9951" w:rsidR="000758AF" w:rsidRDefault="00566129" w:rsidP="007C1BB5">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w14:anchorId="4E8AE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21.75pt" o:ole="">
            <v:imagedata r:id="rId9" o:title=""/>
          </v:shape>
          <o:OLEObject Type="Embed" ProgID="Equation.DSMT4" ShapeID="_x0000_i1025" DrawAspect="Content" ObjectID="_1476801831"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w14:anchorId="43180A05">
          <v:shape id="_x0000_i1026" type="#_x0000_t75" style="width:21.75pt;height:14.25pt" o:ole="">
            <v:imagedata r:id="rId11" o:title=""/>
          </v:shape>
          <o:OLEObject Type="Embed" ProgID="Equation.DSMT4" ShapeID="_x0000_i1026" DrawAspect="Content" ObjectID="_1476801832"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w14:anchorId="0C4543E7">
          <v:shape id="_x0000_i1027" type="#_x0000_t75" style="width:28.55pt;height:14.25pt" o:ole="">
            <v:imagedata r:id="rId13" o:title=""/>
          </v:shape>
          <o:OLEObject Type="Embed" ProgID="Equation.DSMT4" ShapeID="_x0000_i1027" DrawAspect="Content" ObjectID="_1476801833"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w14:anchorId="584A9F7A">
          <v:shape id="_x0000_i1028" type="#_x0000_t75" style="width:14.25pt;height:14.25pt" o:ole="">
            <v:imagedata r:id="rId15" o:title=""/>
          </v:shape>
          <o:OLEObject Type="Embed" ProgID="Equation.DSMT4" ShapeID="_x0000_i1028" DrawAspect="Content" ObjectID="_1476801834"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w14:anchorId="41D4EBC1">
          <v:shape id="_x0000_i1029" type="#_x0000_t75" style="width:14.25pt;height:21.75pt" o:ole="">
            <v:imagedata r:id="rId17" o:title=""/>
          </v:shape>
          <o:OLEObject Type="Embed" ProgID="Equation.DSMT4" ShapeID="_x0000_i1029" DrawAspect="Content" ObjectID="_1476801835"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w14:anchorId="20651C30">
          <v:shape id="_x0000_i1030" type="#_x0000_t75" style="width:186.8pt;height:21.75pt" o:ole="">
            <v:imagedata r:id="rId19" o:title=""/>
          </v:shape>
          <o:OLEObject Type="Embed" ProgID="Equation.DSMT4" ShapeID="_x0000_i1030" DrawAspect="Content" ObjectID="_1476801836"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w14:anchorId="61F72571">
          <v:shape id="_x0000_i1031" type="#_x0000_t75" style="width:14.25pt;height:21.75pt" o:ole="">
            <v:imagedata r:id="rId21" o:title=""/>
          </v:shape>
          <o:OLEObject Type="Embed" ProgID="Equation.DSMT4" ShapeID="_x0000_i1031" DrawAspect="Content" ObjectID="_1476801837"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w14:anchorId="61644F3E">
          <v:shape id="_x0000_i1032" type="#_x0000_t75" style="width:14.25pt;height:14.25pt" o:ole="">
            <v:imagedata r:id="rId23" o:title=""/>
          </v:shape>
          <o:OLEObject Type="Embed" ProgID="Equation.DSMT4" ShapeID="_x0000_i1032" DrawAspect="Content" ObjectID="_1476801838"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w14:anchorId="6040ECA4">
          <v:shape id="_x0000_i1033" type="#_x0000_t75" style="width:14.25pt;height:14.25pt" o:ole="">
            <v:imagedata r:id="rId25" o:title=""/>
          </v:shape>
          <o:OLEObject Type="Embed" ProgID="Equation.DSMT4" ShapeID="_x0000_i1033" DrawAspect="Content" ObjectID="_1476801839"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w14:anchorId="35C337BB">
          <v:shape id="_x0000_i1034" type="#_x0000_t75" style="width:2in;height:14.25pt" o:ole="">
            <v:imagedata r:id="rId27" o:title=""/>
          </v:shape>
          <o:OLEObject Type="Embed" ProgID="Equation.DSMT4" ShapeID="_x0000_i1034" DrawAspect="Content" ObjectID="_1476801840"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w14:anchorId="1D3DC6D8">
          <v:shape id="_x0000_i1035" type="#_x0000_t75" style="width:1in;height:21.75pt" o:ole="">
            <v:imagedata r:id="rId29" o:title=""/>
          </v:shape>
          <o:OLEObject Type="Embed" ProgID="Equation.DSMT4" ShapeID="_x0000_i1035" DrawAspect="Content" ObjectID="_1476801841"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w14:anchorId="66021200">
          <v:shape id="_x0000_i1036" type="#_x0000_t75" style="width:122.25pt;height:21.75pt" o:ole="">
            <v:imagedata r:id="rId31" o:title=""/>
          </v:shape>
          <o:OLEObject Type="Embed" ProgID="Equation.DSMT4" ShapeID="_x0000_i1036" DrawAspect="Content" ObjectID="_1476801842"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commentRangeStart w:id="0"/>
      <w:del w:id="1" w:author="Gao Wang" w:date="2014-11-06T15:56:00Z">
        <w:r w:rsidR="00F815DF" w:rsidDel="006C0E95">
          <w:rPr>
            <w:rFonts w:ascii="Times New Roman" w:hAnsi="Times New Roman"/>
            <w:sz w:val="24"/>
          </w:rPr>
          <w:delText xml:space="preserve">Calculations </w:delText>
        </w:r>
      </w:del>
      <w:commentRangeEnd w:id="0"/>
      <w:r w:rsidR="00CD65A6">
        <w:rPr>
          <w:rStyle w:val="CommentReference"/>
        </w:rPr>
        <w:commentReference w:id="0"/>
      </w:r>
      <w:del w:id="2" w:author="Gao Wang" w:date="2014-11-06T15:56:00Z">
        <w:r w:rsidR="00F815DF" w:rsidDel="006C0E95">
          <w:rPr>
            <w:rFonts w:ascii="Times New Roman" w:hAnsi="Times New Roman"/>
            <w:sz w:val="24"/>
          </w:rPr>
          <w:delText>of haplotype pattern frequencies are based on population MAF</w:delText>
        </w:r>
        <w:r w:rsidR="00802DBE" w:rsidDel="006C0E95">
          <w:rPr>
            <w:rFonts w:ascii="Times New Roman" w:hAnsi="Times New Roman"/>
            <w:sz w:val="24"/>
          </w:rPr>
          <w:delText xml:space="preserve"> of rare variants</w:delText>
        </w:r>
        <w:r w:rsidR="00F815DF" w:rsidDel="006C0E95">
          <w:rPr>
            <w:rFonts w:ascii="Times New Roman" w:hAnsi="Times New Roman"/>
            <w:sz w:val="24"/>
          </w:rPr>
          <w:delText>; but in a given family where only limited haplotypes are observed,</w:delText>
        </w:r>
        <w:r w:rsidR="00A93C76" w:rsidDel="006C0E95">
          <w:rPr>
            <w:rFonts w:ascii="Times New Roman" w:hAnsi="Times New Roman"/>
            <w:sz w:val="24"/>
          </w:rPr>
          <w:delText xml:space="preserve"> haplotype pattern frequency should be adjusted to </w:delText>
        </w:r>
        <w:r w:rsidR="00851710" w:rsidDel="006C0E95">
          <w:rPr>
            <w:rFonts w:ascii="Times New Roman" w:hAnsi="Times New Roman"/>
            <w:sz w:val="24"/>
          </w:rPr>
          <w:delText>reflect the</w:delText>
        </w:r>
        <w:r w:rsidR="0039288A" w:rsidDel="006C0E95">
          <w:rPr>
            <w:rFonts w:ascii="Times New Roman" w:hAnsi="Times New Roman"/>
            <w:sz w:val="24"/>
          </w:rPr>
          <w:delText>ir</w:delText>
        </w:r>
        <w:r w:rsidR="00851710" w:rsidDel="006C0E95">
          <w:rPr>
            <w:rFonts w:ascii="Times New Roman" w:hAnsi="Times New Roman"/>
            <w:sz w:val="24"/>
          </w:rPr>
          <w:delText xml:space="preserve"> relative </w:delText>
        </w:r>
        <w:r w:rsidR="00F12926" w:rsidDel="006C0E95">
          <w:rPr>
            <w:rFonts w:ascii="Times New Roman" w:hAnsi="Times New Roman"/>
            <w:sz w:val="24"/>
          </w:rPr>
          <w:delText>probability</w:delText>
        </w:r>
        <w:r w:rsidR="00851710" w:rsidDel="006C0E95">
          <w:rPr>
            <w:rFonts w:ascii="Times New Roman" w:hAnsi="Times New Roman"/>
            <w:sz w:val="24"/>
          </w:rPr>
          <w:delText xml:space="preserve"> of occurrence in the family. Therefore </w:delText>
        </w:r>
        <w:r w:rsidR="00092649" w:rsidDel="006C0E95">
          <w:rPr>
            <w:rFonts w:ascii="Times New Roman" w:hAnsi="Times New Roman"/>
            <w:sz w:val="24"/>
          </w:rPr>
          <w:delText xml:space="preserve">for haplotypes in a family </w:delText>
        </w:r>
        <w:r w:rsidR="00851710" w:rsidDel="006C0E95">
          <w:rPr>
            <w:rFonts w:ascii="Times New Roman" w:hAnsi="Times New Roman"/>
            <w:sz w:val="24"/>
          </w:rPr>
          <w:delText xml:space="preserve">we normalize </w:delText>
        </w:r>
        <w:r w:rsidR="00AA19CE" w:rsidDel="006C0E95">
          <w:rPr>
            <w:rFonts w:ascii="Times New Roman" w:hAnsi="Times New Roman"/>
            <w:sz w:val="24"/>
          </w:rPr>
          <w:delText>the f</w:delText>
        </w:r>
        <w:r w:rsidR="00F35974" w:rsidDel="006C0E95">
          <w:rPr>
            <w:rFonts w:ascii="Times New Roman" w:hAnsi="Times New Roman"/>
            <w:sz w:val="24"/>
          </w:rPr>
          <w:delText>requencies</w:delText>
        </w:r>
        <w:r w:rsidR="00F721D8" w:rsidDel="006C0E95">
          <w:rPr>
            <w:rFonts w:ascii="Times New Roman" w:hAnsi="Times New Roman"/>
            <w:sz w:val="24"/>
          </w:rPr>
          <w:delText xml:space="preserve"> </w:delText>
        </w:r>
        <w:r w:rsidR="00851710" w:rsidDel="006C0E95">
          <w:rPr>
            <w:rFonts w:ascii="Times New Roman" w:hAnsi="Times New Roman"/>
            <w:sz w:val="24"/>
          </w:rPr>
          <w:delText>s</w:delText>
        </w:r>
        <w:r w:rsidR="00811B06" w:rsidDel="006C0E95">
          <w:rPr>
            <w:rFonts w:ascii="Times New Roman" w:hAnsi="Times New Roman"/>
            <w:sz w:val="24"/>
          </w:rPr>
          <w:delText>o</w:delText>
        </w:r>
        <w:r w:rsidR="00851710" w:rsidDel="006C0E95">
          <w:rPr>
            <w:rFonts w:ascii="Times New Roman" w:hAnsi="Times New Roman"/>
            <w:sz w:val="24"/>
          </w:rPr>
          <w:delText xml:space="preserve"> </w:delText>
        </w:r>
        <w:r w:rsidRPr="00566129" w:rsidDel="006C0E95">
          <w:rPr>
            <w:rFonts w:ascii="Times New Roman" w:hAnsi="Times New Roman"/>
            <w:sz w:val="24"/>
          </w:rPr>
          <w:delText>they sum to 1. The normalized c</w:delText>
        </w:r>
      </w:del>
      <w:ins w:id="3" w:author="Gao Wang" w:date="2014-11-06T15:56:00Z">
        <w:r w:rsidR="006C0E95">
          <w:rPr>
            <w:rFonts w:ascii="Times New Roman" w:hAnsi="Times New Roman"/>
            <w:sz w:val="24"/>
          </w:rPr>
          <w:t>C</w:t>
        </w:r>
      </w:ins>
      <w:r w:rsidRPr="00566129">
        <w:rPr>
          <w:rFonts w:ascii="Times New Roman" w:hAnsi="Times New Roman"/>
          <w:sz w:val="24"/>
        </w:rPr>
        <w:t xml:space="preserve">ollapsed haplotype pattern frequencies </w:t>
      </w:r>
      <w:ins w:id="4" w:author="Gao Wang" w:date="2014-11-06T15:57:00Z">
        <w:r w:rsidR="00874317">
          <w:rPr>
            <w:rFonts w:ascii="Times New Roman" w:hAnsi="Times New Roman"/>
            <w:sz w:val="24"/>
          </w:rPr>
          <w:t xml:space="preserve">thus computed </w:t>
        </w:r>
      </w:ins>
      <w:r w:rsidRPr="00566129">
        <w:rPr>
          <w:rFonts w:ascii="Times New Roman" w:hAnsi="Times New Roman"/>
          <w:sz w:val="24"/>
        </w:rPr>
        <w:t>are then used as the allele frequencies for the corresponding regional genotype markers.</w:t>
      </w:r>
    </w:p>
    <w:p w14:paraId="6647FAD1" w14:textId="77777777" w:rsidR="000758AF" w:rsidRDefault="000A70C3" w:rsidP="007C1BB5">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26E1909" w14:textId="02087E0F" w:rsidR="000758AF" w:rsidRDefault="00135840" w:rsidP="007C1BB5">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 xml:space="preserve">impairment </w:t>
      </w:r>
      <w:r w:rsidR="002E14F8">
        <w:rPr>
          <w:rFonts w:ascii="Times New Roman" w:hAnsi="Times New Roman"/>
          <w:sz w:val="24"/>
          <w:szCs w:val="24"/>
        </w:rPr>
        <w:lastRenderedPageBreak/>
        <w:t>(NSHI)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3 to 8 offspring in the 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r w:rsidR="00EF4EC2">
        <w:rPr>
          <w:rFonts w:ascii="Times New Roman" w:hAnsi="Times New Roman"/>
          <w:sz w:val="24"/>
          <w:szCs w:val="24"/>
        </w:rPr>
        <w:t xml:space="preserve"> (Table S</w:t>
      </w:r>
      <w:r w:rsidR="007E7563">
        <w:rPr>
          <w:rFonts w:ascii="Times New Roman" w:hAnsi="Times New Roman"/>
          <w:sz w:val="24"/>
          <w:szCs w:val="24"/>
        </w:rPr>
        <w:t>1</w:t>
      </w:r>
      <w:r w:rsidR="009064B5">
        <w:rPr>
          <w:rFonts w:ascii="Times New Roman" w:hAnsi="Times New Roman"/>
          <w:sz w:val="24"/>
          <w:szCs w:val="24"/>
        </w:rPr>
        <w:t>)</w:t>
      </w:r>
      <w:r w:rsidR="002E14F8">
        <w:rPr>
          <w:rFonts w:ascii="Times New Roman" w:hAnsi="Times New Roman"/>
          <w:sz w:val="24"/>
          <w:szCs w:val="24"/>
        </w:rPr>
        <w:t xml:space="preserve">. </w:t>
      </w:r>
    </w:p>
    <w:p w14:paraId="04C36ACE" w14:textId="289FD6C3" w:rsidR="000758AF" w:rsidRDefault="0009388F" w:rsidP="007C1BB5">
      <w:pPr>
        <w:spacing w:afterLines="280" w:after="672" w:line="480" w:lineRule="auto"/>
        <w:jc w:val="both"/>
        <w:rPr>
          <w:rFonts w:ascii="Times New Roman" w:hAnsi="Times New Roman"/>
          <w:sz w:val="24"/>
          <w:szCs w:val="24"/>
        </w:rPr>
      </w:pPr>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using Deafness Variation 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We simulate 500 replicates under each different setting of sample size, mode of inheritance, presence of allelic heterogeneity and locus heterogeneity. 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624265">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624265">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624265">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w14:anchorId="7879796A">
          <v:shape id="_x0000_i1037" type="#_x0000_t75" style="width:50.25pt;height:28.55pt" o:ole="">
            <v:imagedata r:id="rId35" o:title=""/>
          </v:shape>
          <o:OLEObject Type="Embed" ProgID="Equation.DSMT4" ShapeID="_x0000_i1037" DrawAspect="Content" ObjectID="_1476801843" r:id="rId36"/>
        </w:object>
      </w:r>
      <w:r w:rsidR="002E14F8">
        <w:rPr>
          <w:rFonts w:ascii="Times New Roman" w:hAnsi="Times New Roman"/>
          <w:sz w:val="24"/>
          <w:szCs w:val="24"/>
        </w:rPr>
        <w:t xml:space="preserve"> where the denominator is the total number of replicates and the </w:t>
      </w:r>
      <w:r w:rsidR="002E14F8">
        <w:rPr>
          <w:rFonts w:ascii="Times New Roman" w:hAnsi="Times New Roman"/>
          <w:sz w:val="24"/>
          <w:szCs w:val="24"/>
        </w:rPr>
        <w:lastRenderedPageBreak/>
        <w:t>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BF4C3B">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14:paraId="57E5101D" w14:textId="65C62783" w:rsidR="000758AF" w:rsidRDefault="007A6062" w:rsidP="007C1BB5">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w:t>
      </w:r>
      <w:r w:rsidR="001F2364">
        <w:rPr>
          <w:rFonts w:ascii="Times New Roman" w:hAnsi="Times New Roman"/>
          <w:sz w:val="24"/>
          <w:szCs w:val="24"/>
        </w:rPr>
        <w:t xml:space="preserve">sequences </w:t>
      </w:r>
      <w:r>
        <w:rPr>
          <w:rFonts w:ascii="Times New Roman" w:hAnsi="Times New Roman"/>
          <w:sz w:val="24"/>
          <w:szCs w:val="24"/>
        </w:rPr>
        <w:t xml:space="preserve">and demographic data, </w:t>
      </w:r>
      <w:r w:rsidR="00BF2CC8">
        <w:rPr>
          <w:rFonts w:ascii="Times New Roman" w:hAnsi="Times New Roman"/>
          <w:sz w:val="24"/>
          <w:szCs w:val="24"/>
        </w:rPr>
        <w:t xml:space="preserve">yet </w:t>
      </w:r>
      <w:r w:rsidR="00424604">
        <w:rPr>
          <w:rFonts w:ascii="Times New Roman" w:hAnsi="Times New Roman"/>
          <w:sz w:val="24"/>
          <w:szCs w:val="24"/>
        </w:rPr>
        <w:t>sim</w:t>
      </w:r>
      <w:r w:rsidR="00563AB9">
        <w:rPr>
          <w:rFonts w:ascii="Times New Roman" w:hAnsi="Times New Roman"/>
          <w:sz w:val="24"/>
          <w:szCs w:val="24"/>
        </w:rPr>
        <w:t>ulate</w:t>
      </w:r>
      <w:r w:rsidR="00424604">
        <w:rPr>
          <w:rFonts w:ascii="Times New Roman" w:hAnsi="Times New Roman"/>
          <w:sz w:val="24"/>
          <w:szCs w:val="24"/>
        </w:rPr>
        <w:t xml:space="preserve"> </w:t>
      </w:r>
      <w:r w:rsidR="00931EBC">
        <w:rPr>
          <w:rFonts w:ascii="Times New Roman" w:hAnsi="Times New Roman"/>
          <w:sz w:val="24"/>
          <w:szCs w:val="24"/>
        </w:rPr>
        <w:t xml:space="preserve">disease </w:t>
      </w:r>
      <w:r w:rsidR="00424604">
        <w:rPr>
          <w:rFonts w:ascii="Times New Roman" w:hAnsi="Times New Roman"/>
          <w:sz w:val="24"/>
          <w:szCs w:val="24"/>
        </w:rPr>
        <w:t xml:space="preserve">pedigrees </w:t>
      </w:r>
      <w:r w:rsidR="005F26B7">
        <w:rPr>
          <w:rFonts w:ascii="Times New Roman" w:hAnsi="Times New Roman"/>
          <w:sz w:val="24"/>
          <w:szCs w:val="24"/>
        </w:rPr>
        <w:t xml:space="preserve">under the null, i.e., </w:t>
      </w:r>
      <w:r w:rsidR="008414F7">
        <w:rPr>
          <w:rFonts w:ascii="Times New Roman" w:hAnsi="Times New Roman"/>
          <w:sz w:val="24"/>
          <w:szCs w:val="24"/>
        </w:rPr>
        <w:t xml:space="preserve">affection status not </w:t>
      </w:r>
      <w:r w:rsidR="00FA3970">
        <w:rPr>
          <w:rFonts w:ascii="Times New Roman" w:hAnsi="Times New Roman"/>
          <w:sz w:val="24"/>
          <w:szCs w:val="24"/>
        </w:rPr>
        <w:t xml:space="preserve">due to </w:t>
      </w:r>
      <w:r w:rsidR="008414F7">
        <w:rPr>
          <w:rFonts w:ascii="Times New Roman" w:hAnsi="Times New Roman"/>
          <w:sz w:val="24"/>
          <w:szCs w:val="24"/>
        </w:rPr>
        <w:t xml:space="preserve">any of the </w:t>
      </w:r>
      <w:r w:rsidR="00424604">
        <w:rPr>
          <w:rFonts w:ascii="Times New Roman" w:hAnsi="Times New Roman"/>
          <w:sz w:val="24"/>
          <w:szCs w:val="24"/>
        </w:rPr>
        <w:t>rare variant</w:t>
      </w:r>
      <w:r w:rsidR="00931EBC">
        <w:rPr>
          <w:rFonts w:ascii="Times New Roman" w:hAnsi="Times New Roman"/>
          <w:sz w:val="24"/>
          <w:szCs w:val="24"/>
        </w:rPr>
        <w:t>s in</w:t>
      </w:r>
      <w:r w:rsidR="00424604">
        <w:rPr>
          <w:rFonts w:ascii="Times New Roman" w:hAnsi="Times New Roman"/>
          <w:sz w:val="24"/>
          <w:szCs w:val="24"/>
        </w:rPr>
        <w:t xml:space="preserve"> the gene of in</w:t>
      </w:r>
      <w:r w:rsidR="008414F7">
        <w:rPr>
          <w:rFonts w:ascii="Times New Roman" w:hAnsi="Times New Roman"/>
          <w:sz w:val="24"/>
          <w:szCs w:val="24"/>
        </w:rPr>
        <w:t>terest</w:t>
      </w:r>
      <w:r w:rsidR="00322921">
        <w:rPr>
          <w:rFonts w:ascii="Times New Roman" w:hAnsi="Times New Roman"/>
          <w:sz w:val="24"/>
          <w:szCs w:val="24"/>
        </w:rPr>
        <w:t>.</w:t>
      </w:r>
      <w:r w:rsidR="008414F7">
        <w:rPr>
          <w:rFonts w:ascii="Times New Roman" w:hAnsi="Times New Roman"/>
          <w:sz w:val="24"/>
          <w:szCs w:val="24"/>
        </w:rPr>
        <w:t xml:space="preserve"> </w:t>
      </w:r>
      <w:r w:rsidR="00E261D4">
        <w:rPr>
          <w:rFonts w:ascii="Times New Roman" w:hAnsi="Times New Roman"/>
          <w:sz w:val="24"/>
          <w:szCs w:val="24"/>
        </w:rPr>
        <w:t xml:space="preserve">We </w:t>
      </w:r>
      <w:r w:rsidR="00AE35E0">
        <w:rPr>
          <w:rFonts w:ascii="Times New Roman" w:hAnsi="Times New Roman"/>
          <w:sz w:val="24"/>
          <w:szCs w:val="24"/>
        </w:rPr>
        <w:t>consider</w:t>
      </w:r>
      <w:r w:rsidR="00E261D4">
        <w:rPr>
          <w:rFonts w:ascii="Times New Roman" w:hAnsi="Times New Roman"/>
          <w:sz w:val="24"/>
          <w:szCs w:val="24"/>
        </w:rPr>
        <w:t xml:space="preserve"> different genetic architectures under the null including situations when </w:t>
      </w:r>
      <w:r w:rsidR="00E261D4" w:rsidRPr="00E261D4">
        <w:rPr>
          <w:rFonts w:ascii="Times New Roman" w:hAnsi="Times New Roman"/>
          <w:sz w:val="24"/>
          <w:szCs w:val="24"/>
        </w:rPr>
        <w:t xml:space="preserve">1) variants in the gene region are </w:t>
      </w:r>
      <w:r w:rsidR="0034309B">
        <w:rPr>
          <w:rFonts w:ascii="Times New Roman" w:hAnsi="Times New Roman"/>
          <w:sz w:val="24"/>
          <w:szCs w:val="24"/>
        </w:rPr>
        <w:t xml:space="preserve">in </w:t>
      </w:r>
      <w:r w:rsidR="00833915">
        <w:rPr>
          <w:rFonts w:ascii="Times New Roman" w:hAnsi="Times New Roman"/>
          <w:sz w:val="24"/>
          <w:szCs w:val="24"/>
        </w:rPr>
        <w:t>linkage equilibrium</w:t>
      </w:r>
      <w:r w:rsidR="00E261D4" w:rsidRPr="00E261D4">
        <w:rPr>
          <w:rFonts w:ascii="Times New Roman" w:hAnsi="Times New Roman"/>
          <w:sz w:val="24"/>
          <w:szCs w:val="24"/>
        </w:rPr>
        <w:t>, 2) ther</w:t>
      </w:r>
      <w:r w:rsidR="00E261D4">
        <w:rPr>
          <w:rFonts w:ascii="Times New Roman" w:hAnsi="Times New Roman"/>
          <w:sz w:val="24"/>
          <w:szCs w:val="24"/>
        </w:rPr>
        <w:t xml:space="preserve">e is </w:t>
      </w:r>
      <w:r w:rsidR="00B335BE">
        <w:rPr>
          <w:rFonts w:ascii="Times New Roman" w:hAnsi="Times New Roman"/>
          <w:sz w:val="24"/>
          <w:szCs w:val="24"/>
        </w:rPr>
        <w:t>complete</w:t>
      </w:r>
      <w:r w:rsidR="00E261D4">
        <w:rPr>
          <w:rFonts w:ascii="Times New Roman" w:hAnsi="Times New Roman"/>
          <w:sz w:val="24"/>
          <w:szCs w:val="24"/>
        </w:rPr>
        <w:t xml:space="preserve"> LD between variants </w:t>
      </w:r>
      <w:r w:rsidR="00E261D4" w:rsidRPr="00E261D4">
        <w:rPr>
          <w:rFonts w:ascii="Times New Roman" w:hAnsi="Times New Roman"/>
          <w:sz w:val="24"/>
          <w:szCs w:val="24"/>
        </w:rPr>
        <w:t xml:space="preserve">and 3) </w:t>
      </w:r>
      <w:r w:rsidR="006B6ED9">
        <w:rPr>
          <w:rFonts w:ascii="Times New Roman" w:hAnsi="Times New Roman"/>
          <w:sz w:val="24"/>
          <w:szCs w:val="24"/>
        </w:rPr>
        <w:t xml:space="preserve">under the extreme case where </w:t>
      </w:r>
      <w:r w:rsidR="00E261D4" w:rsidRPr="00E261D4">
        <w:rPr>
          <w:rFonts w:ascii="Times New Roman" w:hAnsi="Times New Roman"/>
          <w:sz w:val="24"/>
          <w:szCs w:val="24"/>
        </w:rPr>
        <w:t>there are recombi</w:t>
      </w:r>
      <w:r w:rsidR="00C441AD">
        <w:rPr>
          <w:rFonts w:ascii="Times New Roman" w:hAnsi="Times New Roman"/>
          <w:sz w:val="24"/>
          <w:szCs w:val="24"/>
        </w:rPr>
        <w:t xml:space="preserve">nation </w:t>
      </w:r>
      <w:r w:rsidR="00F6485C">
        <w:rPr>
          <w:rFonts w:ascii="Times New Roman" w:hAnsi="Times New Roman"/>
          <w:sz w:val="24"/>
          <w:szCs w:val="24"/>
        </w:rPr>
        <w:t>events</w:t>
      </w:r>
      <w:r w:rsidR="00C441AD">
        <w:rPr>
          <w:rFonts w:ascii="Times New Roman" w:hAnsi="Times New Roman"/>
          <w:sz w:val="24"/>
          <w:szCs w:val="24"/>
        </w:rPr>
        <w:t xml:space="preserve"> within a gene</w:t>
      </w:r>
      <w:r w:rsidR="00F6485C">
        <w:rPr>
          <w:rFonts w:ascii="Times New Roman" w:hAnsi="Times New Roman"/>
          <w:sz w:val="24"/>
          <w:szCs w:val="24"/>
        </w:rPr>
        <w:t xml:space="preserve"> </w:t>
      </w:r>
      <w:r w:rsidR="00E93EE9">
        <w:rPr>
          <w:rFonts w:ascii="Times New Roman" w:hAnsi="Times New Roman"/>
          <w:sz w:val="24"/>
          <w:szCs w:val="24"/>
        </w:rPr>
        <w:t>for</w:t>
      </w:r>
      <w:r w:rsidR="00F6485C">
        <w:rPr>
          <w:rFonts w:ascii="Times New Roman" w:hAnsi="Times New Roman"/>
          <w:sz w:val="24"/>
          <w:szCs w:val="24"/>
        </w:rPr>
        <w:t xml:space="preserve"> each meiosis </w:t>
      </w:r>
      <w:r w:rsidR="005276FA">
        <w:rPr>
          <w:rFonts w:ascii="Times New Roman" w:hAnsi="Times New Roman"/>
          <w:sz w:val="24"/>
          <w:szCs w:val="24"/>
        </w:rPr>
        <w:t xml:space="preserve">and </w:t>
      </w:r>
      <w:r w:rsidR="00F6485C">
        <w:rPr>
          <w:rFonts w:ascii="Times New Roman" w:hAnsi="Times New Roman"/>
          <w:sz w:val="24"/>
          <w:szCs w:val="24"/>
        </w:rPr>
        <w:t>recombination breakpoints are</w:t>
      </w:r>
      <w:r w:rsidR="00F2429E">
        <w:rPr>
          <w:rFonts w:ascii="Times New Roman" w:hAnsi="Times New Roman"/>
          <w:sz w:val="24"/>
          <w:szCs w:val="24"/>
        </w:rPr>
        <w:t xml:space="preserve"> different across </w:t>
      </w:r>
      <w:r w:rsidR="00E93EE9">
        <w:rPr>
          <w:rFonts w:ascii="Times New Roman" w:hAnsi="Times New Roman"/>
          <w:sz w:val="24"/>
          <w:szCs w:val="24"/>
        </w:rPr>
        <w:t xml:space="preserve">“ascertained” </w:t>
      </w:r>
      <w:r w:rsidR="00F2429E">
        <w:rPr>
          <w:rFonts w:ascii="Times New Roman" w:hAnsi="Times New Roman"/>
          <w:sz w:val="24"/>
          <w:szCs w:val="24"/>
        </w:rPr>
        <w:t>families</w:t>
      </w:r>
      <w:r w:rsidR="00E261D4" w:rsidRPr="00E261D4">
        <w:rPr>
          <w:rFonts w:ascii="Times New Roman" w:hAnsi="Times New Roman"/>
          <w:sz w:val="24"/>
          <w:szCs w:val="24"/>
        </w:rPr>
        <w:t>.</w:t>
      </w:r>
      <w:r w:rsidR="00C441AD">
        <w:rPr>
          <w:rFonts w:ascii="Times New Roman" w:hAnsi="Times New Roman"/>
          <w:sz w:val="24"/>
          <w:szCs w:val="24"/>
        </w:rPr>
        <w:t xml:space="preserve"> </w:t>
      </w:r>
      <w:r w:rsidR="00F4435D">
        <w:rPr>
          <w:rFonts w:ascii="Times New Roman" w:hAnsi="Times New Roman"/>
          <w:sz w:val="24"/>
          <w:szCs w:val="24"/>
        </w:rPr>
        <w:t xml:space="preserve">Simulating data based upon a </w:t>
      </w:r>
      <w:r w:rsidR="002D3393">
        <w:rPr>
          <w:rFonts w:ascii="Times New Roman" w:hAnsi="Times New Roman"/>
          <w:sz w:val="24"/>
          <w:szCs w:val="24"/>
        </w:rPr>
        <w:t xml:space="preserve">small </w:t>
      </w:r>
      <w:r w:rsidR="00F4435D">
        <w:rPr>
          <w:rFonts w:ascii="Times New Roman" w:hAnsi="Times New Roman"/>
          <w:sz w:val="24"/>
          <w:szCs w:val="24"/>
        </w:rPr>
        <w:t>realistic θ value</w:t>
      </w:r>
      <w:r w:rsidR="002D3393">
        <w:rPr>
          <w:rFonts w:ascii="Times New Roman" w:hAnsi="Times New Roman"/>
          <w:sz w:val="24"/>
          <w:szCs w:val="24"/>
        </w:rPr>
        <w:t xml:space="preserve"> </w:t>
      </w:r>
      <w:r w:rsidR="00F4435D">
        <w:rPr>
          <w:rFonts w:ascii="Times New Roman" w:hAnsi="Times New Roman"/>
          <w:sz w:val="24"/>
          <w:szCs w:val="24"/>
        </w:rPr>
        <w:t xml:space="preserve">within a gene region will introduce few or no recombination events within the generated families, therefore this extreme scenario is used to evaluate the effect of recombination events on type I error.  </w:t>
      </w:r>
      <w:r w:rsidR="00C441AD">
        <w:rPr>
          <w:rFonts w:ascii="Times New Roman" w:hAnsi="Times New Roman"/>
          <w:sz w:val="24"/>
          <w:szCs w:val="24"/>
        </w:rPr>
        <w:t xml:space="preserve">Additionally </w:t>
      </w:r>
      <w:r w:rsidR="003057CC">
        <w:rPr>
          <w:rFonts w:ascii="Times New Roman" w:hAnsi="Times New Roman"/>
          <w:sz w:val="24"/>
          <w:szCs w:val="24"/>
        </w:rPr>
        <w:t xml:space="preserve">we simulate scenarios when parental genotypes are missing to evaluate type I error when CHP marker frequencies have to be </w:t>
      </w:r>
      <w:r w:rsidR="00FD271D">
        <w:rPr>
          <w:rFonts w:ascii="Times New Roman" w:hAnsi="Times New Roman"/>
          <w:sz w:val="24"/>
          <w:szCs w:val="24"/>
        </w:rPr>
        <w:t>calculated</w:t>
      </w:r>
      <w:r w:rsidR="008E1EE9">
        <w:rPr>
          <w:rFonts w:ascii="Times New Roman" w:hAnsi="Times New Roman"/>
          <w:sz w:val="24"/>
          <w:szCs w:val="24"/>
        </w:rPr>
        <w:t xml:space="preserve"> using population MAF and LD estimated from data</w:t>
      </w:r>
      <w:r w:rsidR="003057CC">
        <w:rPr>
          <w:rFonts w:ascii="Times New Roman" w:hAnsi="Times New Roman"/>
          <w:sz w:val="24"/>
          <w:szCs w:val="24"/>
        </w:rPr>
        <w:t>.</w:t>
      </w:r>
      <w:r w:rsidR="00ED7D71">
        <w:rPr>
          <w:rFonts w:ascii="Times New Roman" w:hAnsi="Times New Roman"/>
          <w:sz w:val="24"/>
          <w:szCs w:val="24"/>
        </w:rPr>
        <w:t xml:space="preserve"> Type I error</w:t>
      </w:r>
      <w:r w:rsidR="00E75EC3">
        <w:rPr>
          <w:rFonts w:ascii="Times New Roman" w:hAnsi="Times New Roman"/>
          <w:sz w:val="24"/>
          <w:szCs w:val="24"/>
        </w:rPr>
        <w:t xml:space="preserve">s are computed for </w:t>
      </w:r>
      <w:r w:rsidR="00F75C4D">
        <w:rPr>
          <w:rFonts w:ascii="Times New Roman" w:hAnsi="Times New Roman"/>
          <w:sz w:val="24"/>
          <w:szCs w:val="24"/>
        </w:rPr>
        <w:t xml:space="preserve">cumulative </w:t>
      </w:r>
      <w:r w:rsidR="00D70592">
        <w:rPr>
          <w:rFonts w:ascii="Times New Roman" w:hAnsi="Times New Roman"/>
          <w:sz w:val="24"/>
          <w:szCs w:val="24"/>
        </w:rPr>
        <w:t xml:space="preserve">HLOD scores on gene </w:t>
      </w:r>
      <w:r w:rsidR="00D70592">
        <w:rPr>
          <w:rFonts w:ascii="Times New Roman" w:hAnsi="Times New Roman"/>
          <w:i/>
          <w:sz w:val="24"/>
          <w:szCs w:val="24"/>
        </w:rPr>
        <w:t xml:space="preserve">SLC26A4 </w:t>
      </w:r>
      <w:r w:rsidR="00F75C4D">
        <w:rPr>
          <w:rFonts w:ascii="Times New Roman" w:hAnsi="Times New Roman"/>
          <w:sz w:val="24"/>
          <w:szCs w:val="24"/>
        </w:rPr>
        <w:t>across</w:t>
      </w:r>
      <w:r w:rsidR="00D70592">
        <w:rPr>
          <w:rFonts w:ascii="Times New Roman" w:hAnsi="Times New Roman"/>
          <w:sz w:val="24"/>
          <w:szCs w:val="24"/>
        </w:rPr>
        <w:t xml:space="preserve"> 20 families using </w:t>
      </w:r>
      <w:r w:rsidR="00F75C4D">
        <w:rPr>
          <w:rFonts w:ascii="Times New Roman" w:hAnsi="Times New Roman"/>
          <w:sz w:val="24"/>
          <w:szCs w:val="24"/>
        </w:rPr>
        <w:t>500 replicates.</w:t>
      </w:r>
      <w:r w:rsidR="00423756">
        <w:rPr>
          <w:rFonts w:ascii="Times New Roman" w:hAnsi="Times New Roman"/>
          <w:sz w:val="24"/>
          <w:szCs w:val="24"/>
        </w:rPr>
        <w:t xml:space="preserve"> </w:t>
      </w:r>
    </w:p>
    <w:p w14:paraId="09A819FB" w14:textId="77777777" w:rsidR="000758AF" w:rsidRDefault="005A3A78" w:rsidP="007C1BB5">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4AC395CF" w14:textId="29B03A68" w:rsidR="000758AF" w:rsidRDefault="00006A31" w:rsidP="007C1BB5">
      <w:pPr>
        <w:spacing w:afterLines="280" w:after="672" w:line="480" w:lineRule="auto"/>
        <w:jc w:val="both"/>
        <w:rPr>
          <w:rFonts w:ascii="Times New Roman" w:hAnsi="Times New Roman"/>
          <w:sz w:val="24"/>
        </w:rPr>
      </w:pPr>
      <w:r>
        <w:rPr>
          <w:rFonts w:ascii="Times New Roman" w:hAnsi="Times New Roman"/>
          <w:sz w:val="24"/>
        </w:rPr>
        <w:t>Empirical type I error</w:t>
      </w:r>
      <w:r w:rsidR="008E5DE3">
        <w:rPr>
          <w:rFonts w:ascii="Times New Roman" w:hAnsi="Times New Roman"/>
          <w:sz w:val="24"/>
        </w:rPr>
        <w:t xml:space="preserve"> estimates</w:t>
      </w:r>
      <w:r>
        <w:rPr>
          <w:rFonts w:ascii="Times New Roman" w:hAnsi="Times New Roman"/>
          <w:sz w:val="24"/>
        </w:rPr>
        <w:t xml:space="preserve"> </w:t>
      </w:r>
      <w:r w:rsidR="001841D4">
        <w:rPr>
          <w:rFonts w:ascii="Times New Roman" w:hAnsi="Times New Roman"/>
          <w:sz w:val="24"/>
        </w:rPr>
        <w:t xml:space="preserve">are </w:t>
      </w:r>
      <w:r w:rsidR="00046042">
        <w:rPr>
          <w:rFonts w:ascii="Times New Roman" w:hAnsi="Times New Roman"/>
          <w:sz w:val="24"/>
        </w:rPr>
        <w:t>constantly</w:t>
      </w:r>
      <w:r w:rsidR="001841D4">
        <w:rPr>
          <w:rFonts w:ascii="Times New Roman" w:hAnsi="Times New Roman"/>
          <w:sz w:val="24"/>
        </w:rPr>
        <w:t xml:space="preserve"> zero </w:t>
      </w:r>
      <w:r w:rsidR="008E5DE3">
        <w:rPr>
          <w:rFonts w:ascii="Times New Roman" w:hAnsi="Times New Roman"/>
          <w:sz w:val="24"/>
        </w:rPr>
        <w:t xml:space="preserve">for all </w:t>
      </w:r>
      <w:r w:rsidR="005276FA">
        <w:rPr>
          <w:rFonts w:ascii="Times New Roman" w:hAnsi="Times New Roman"/>
          <w:sz w:val="24"/>
        </w:rPr>
        <w:t>test</w:t>
      </w:r>
      <w:r w:rsidR="00E93EE9">
        <w:rPr>
          <w:rFonts w:ascii="Times New Roman" w:hAnsi="Times New Roman"/>
          <w:sz w:val="24"/>
        </w:rPr>
        <w:t>ed</w:t>
      </w:r>
      <w:r w:rsidR="005276FA">
        <w:rPr>
          <w:rFonts w:ascii="Times New Roman" w:hAnsi="Times New Roman"/>
          <w:sz w:val="24"/>
        </w:rPr>
        <w:t xml:space="preserve"> </w:t>
      </w:r>
      <w:r w:rsidR="008E5DE3">
        <w:rPr>
          <w:rFonts w:ascii="Times New Roman" w:hAnsi="Times New Roman"/>
          <w:sz w:val="24"/>
        </w:rPr>
        <w:t>scenarios,</w:t>
      </w:r>
      <w:r>
        <w:rPr>
          <w:rFonts w:ascii="Times New Roman" w:hAnsi="Times New Roman"/>
          <w:sz w:val="24"/>
        </w:rPr>
        <w:t xml:space="preserve"> </w:t>
      </w:r>
      <w:r w:rsidR="005276FA">
        <w:rPr>
          <w:rFonts w:ascii="Times New Roman" w:hAnsi="Times New Roman"/>
          <w:sz w:val="24"/>
        </w:rPr>
        <w:t>assuring</w:t>
      </w:r>
      <w:r>
        <w:rPr>
          <w:rFonts w:ascii="Times New Roman" w:hAnsi="Times New Roman"/>
          <w:sz w:val="24"/>
        </w:rPr>
        <w:t xml:space="preserve"> </w:t>
      </w:r>
      <w:r w:rsidR="000B6E50">
        <w:rPr>
          <w:rFonts w:ascii="Times New Roman" w:hAnsi="Times New Roman"/>
          <w:sz w:val="24"/>
        </w:rPr>
        <w:t xml:space="preserve">that </w:t>
      </w:r>
      <w:r w:rsidR="00C454DF">
        <w:rPr>
          <w:rFonts w:ascii="Times New Roman" w:hAnsi="Times New Roman"/>
          <w:sz w:val="24"/>
        </w:rPr>
        <w:t xml:space="preserve">there is </w:t>
      </w:r>
      <w:r>
        <w:rPr>
          <w:rFonts w:ascii="Times New Roman" w:hAnsi="Times New Roman"/>
          <w:sz w:val="24"/>
        </w:rPr>
        <w:t>no in</w:t>
      </w:r>
      <w:r w:rsidR="00495B33">
        <w:rPr>
          <w:rFonts w:ascii="Times New Roman" w:hAnsi="Times New Roman"/>
          <w:sz w:val="24"/>
        </w:rPr>
        <w:t xml:space="preserve">flation of </w:t>
      </w:r>
      <w:r w:rsidR="005276FA">
        <w:rPr>
          <w:rFonts w:ascii="Times New Roman" w:hAnsi="Times New Roman"/>
          <w:sz w:val="24"/>
        </w:rPr>
        <w:t xml:space="preserve">the </w:t>
      </w:r>
      <w:r w:rsidR="00495B33">
        <w:rPr>
          <w:rFonts w:ascii="Times New Roman" w:hAnsi="Times New Roman"/>
          <w:sz w:val="24"/>
        </w:rPr>
        <w:t xml:space="preserve">test statistic in the presence of within-gene </w:t>
      </w:r>
      <w:r>
        <w:rPr>
          <w:rFonts w:ascii="Times New Roman" w:hAnsi="Times New Roman"/>
          <w:sz w:val="24"/>
        </w:rPr>
        <w:t>recombination</w:t>
      </w:r>
      <w:r w:rsidR="00495B33">
        <w:rPr>
          <w:rFonts w:ascii="Times New Roman" w:hAnsi="Times New Roman"/>
          <w:sz w:val="24"/>
        </w:rPr>
        <w:t>, strong inter-marker LD or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r>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w:t>
      </w:r>
      <w:r w:rsidR="00AB2E27">
        <w:rPr>
          <w:rFonts w:ascii="Times New Roman" w:hAnsi="Times New Roman"/>
          <w:sz w:val="24"/>
          <w:szCs w:val="24"/>
        </w:rPr>
        <w:lastRenderedPageBreak/>
        <w:t xml:space="preserve">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r w:rsidR="00063DF2">
        <w:rPr>
          <w:rFonts w:ascii="Times New Roman" w:hAnsi="Times New Roman"/>
          <w:sz w:val="24"/>
        </w:rPr>
        <w:t>2</w:t>
      </w:r>
      <w:r w:rsidR="002D18AA" w:rsidRPr="00A67DE9">
        <w:rPr>
          <w:rFonts w:ascii="Times New Roman" w:hAnsi="Times New Roman"/>
          <w:sz w:val="24"/>
        </w:rPr>
        <w:t>)</w:t>
      </w:r>
      <w:r w:rsidR="002D18AA">
        <w:rPr>
          <w:rFonts w:ascii="Times New Roman" w:hAnsi="Times New Roman"/>
          <w:sz w:val="24"/>
        </w:rPr>
        <w:t xml:space="preserve">.   </w:t>
      </w:r>
    </w:p>
    <w:p w14:paraId="4C56F759" w14:textId="0E658779" w:rsidR="000758AF" w:rsidRDefault="000F7592" w:rsidP="007C1BB5">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14:paraId="3F5BE04F" w14:textId="77777777" w:rsidR="000758AF" w:rsidRDefault="00942701" w:rsidP="007C1BB5">
      <w:pPr>
        <w:spacing w:afterLines="280" w:after="672" w:line="480" w:lineRule="auto"/>
        <w:jc w:val="both"/>
        <w:rPr>
          <w:rFonts w:ascii="Times New Roman" w:hAnsi="Times New Roman"/>
          <w:b/>
          <w:sz w:val="24"/>
        </w:rPr>
      </w:pPr>
      <w:r>
        <w:rPr>
          <w:rFonts w:ascii="Times New Roman" w:hAnsi="Times New Roman"/>
          <w:b/>
          <w:sz w:val="24"/>
        </w:rPr>
        <w:t>Discussion</w:t>
      </w:r>
    </w:p>
    <w:p w14:paraId="42B8FB69" w14:textId="213694B9" w:rsidR="000758AF" w:rsidRDefault="00BF16FA"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624265" w:rsidRPr="00624265">
        <w:rPr>
          <w:rFonts w:ascii="Times New Roman" w:hAnsi="Times New Roman"/>
          <w:sz w:val="24"/>
          <w:szCs w:val="24"/>
          <w:vertAlign w:val="superscript"/>
        </w:rPr>
        <w:t>14</w:t>
      </w:r>
      <w:r w:rsidR="00BF4C3B">
        <w:rPr>
          <w:rFonts w:ascii="Times New Roman" w:hAnsi="Times New Roman"/>
          <w:sz w:val="24"/>
        </w:rPr>
        <w:fldChar w:fldCharType="end"/>
      </w:r>
      <w:r w:rsidRPr="00BF16FA">
        <w:rPr>
          <w:rFonts w:ascii="Times New Roman" w:hAnsi="Times New Roman"/>
          <w:sz w:val="24"/>
        </w:rPr>
        <w:t xml:space="preserve">. 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For some populations MAF information may not be </w:t>
      </w:r>
      <w:r w:rsidRPr="00BF16FA">
        <w:rPr>
          <w:rFonts w:ascii="Times New Roman" w:hAnsi="Times New Roman"/>
          <w:sz w:val="24"/>
        </w:rPr>
        <w:lastRenderedPageBreak/>
        <w:t>available and frequencies estimated from founders have to be used.</w:t>
      </w:r>
      <w:r w:rsidR="00157690">
        <w:rPr>
          <w:rFonts w:ascii="Times New Roman" w:hAnsi="Times New Roman"/>
          <w:sz w:val="24"/>
        </w:rPr>
        <w:t xml:space="preserve"> </w:t>
      </w:r>
    </w:p>
    <w:p w14:paraId="4D91B446" w14:textId="5EECF341" w:rsidR="00594716" w:rsidRDefault="00C10BB5" w:rsidP="007C1BB5">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Pr="007708E6">
        <w:rPr>
          <w:rFonts w:ascii="Times New Roman" w:hAnsi="Times New Roman"/>
          <w:sz w:val="24"/>
        </w:rPr>
        <w:t xml:space="preserve">Therefore </w:t>
      </w:r>
      <w:r w:rsidR="00E522FF">
        <w:rPr>
          <w:rFonts w:ascii="Times New Roman" w:hAnsi="Times New Roman"/>
          <w:sz w:val="24"/>
        </w:rPr>
        <w:t>analyzing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causal rare variants are sequenced and haplotypes are directly used as markers.</w:t>
      </w:r>
      <w:r w:rsidR="004E5726">
        <w:rPr>
          <w:rFonts w:ascii="Times New Roman" w:hAnsi="Times New Roman"/>
          <w:sz w:val="24"/>
        </w:rPr>
        <w:t xml:space="preserve"> Common variants can be in strong LD with variants in neighboring regions</w:t>
      </w:r>
      <w:r w:rsidR="00C246C7">
        <w:rPr>
          <w:rFonts w:ascii="Times New Roman" w:hAnsi="Times New Roman"/>
          <w:sz w:val="24"/>
        </w:rPr>
        <w:t>; thus</w:t>
      </w:r>
      <w:r w:rsidR="004E5726">
        <w:rPr>
          <w:rFonts w:ascii="Times New Roman" w:hAnsi="Times New Roman"/>
          <w:sz w:val="24"/>
        </w:rPr>
        <w:t xml:space="preserve"> when the CHP method is used to construct the region marker</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regions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14:paraId="69BDC60E" w14:textId="77777777" w:rsidR="00594716" w:rsidRDefault="00056209" w:rsidP="007C1BB5">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 splice site and frameshift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14:paraId="11FBE926" w14:textId="3B18214E" w:rsidR="000758AF" w:rsidRDefault="002D18AA" w:rsidP="007C1BB5">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w:t>
      </w:r>
      <w:r w:rsidR="00F12BAD">
        <w:rPr>
          <w:rFonts w:ascii="Times New Roman" w:hAnsi="Times New Roman"/>
          <w:sz w:val="24"/>
        </w:rPr>
        <w:lastRenderedPageBreak/>
        <w:t>it 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linked variants </w:t>
      </w:r>
      <w:r w:rsidR="00CE3B22">
        <w:rPr>
          <w:rFonts w:ascii="Times New Roman" w:hAnsi="Times New Roman"/>
          <w:sz w:val="24"/>
        </w:rPr>
        <w:t xml:space="preserve">can </w:t>
      </w:r>
      <w:r w:rsidR="003D759B">
        <w:rPr>
          <w:rFonts w:ascii="Times New Roman" w:hAnsi="Times New Roman"/>
          <w:sz w:val="24"/>
        </w:rPr>
        <w:t xml:space="preserve"> 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17</w:t>
      </w:r>
      <w:r w:rsidR="00E52FA1">
        <w:rPr>
          <w:rFonts w:ascii="Times New Roman" w:hAnsi="Times New Roman"/>
          <w:sz w:val="24"/>
        </w:rPr>
        <w:fldChar w:fldCharType="end"/>
      </w:r>
      <w:r w:rsidR="00CE3B22">
        <w:rPr>
          <w:rFonts w:ascii="Times New Roman" w:hAnsi="Times New Roman"/>
          <w:sz w:val="24"/>
        </w:rPr>
        <w:t>, Vitesse</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18</w:t>
      </w:r>
      <w:r w:rsidR="00E52FA1">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14:paraId="082C1A2B" w14:textId="770B6D07" w:rsidR="000758AF" w:rsidRDefault="00524286"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37"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 xml:space="preserve">We recommend the use of </w:t>
      </w:r>
      <w:r w:rsidR="00BF16FA" w:rsidRPr="00BF16FA">
        <w:rPr>
          <w:rFonts w:ascii="Times New Roman" w:hAnsi="Times New Roman"/>
          <w:sz w:val="24"/>
        </w:rPr>
        <w:lastRenderedPageBreak/>
        <w:t>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1EF4A26A" w14:textId="77777777" w:rsidR="000758AF" w:rsidRDefault="00223ABA" w:rsidP="007C1BB5">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2A07783A" w14:textId="77777777" w:rsidR="000758AF" w:rsidRDefault="00DA2B4B" w:rsidP="007C1BB5">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7B9C19FD" w14:textId="77777777" w:rsidR="000758AF" w:rsidRDefault="00410402" w:rsidP="007C1BB5">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0B9F4DB3" w14:textId="77777777" w:rsidR="00321920" w:rsidRPr="00321920" w:rsidRDefault="00BF4C3B"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14:paraId="79747B2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14:paraId="04A59EE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14:paraId="60CC9CC3"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14:paraId="24A6D72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14:paraId="2F99E09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14:paraId="3D49FBB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14:paraId="5A4B574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14:paraId="1761166B"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14:paraId="02A5BA8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14:paraId="2AF079B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14:paraId="667B6589"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14:paraId="26F31EC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14:paraId="57EF6764"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14:paraId="165E57A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14:paraId="3C55397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14:paraId="2C8B8DD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14:paraId="00CD164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14:paraId="7FC04060" w14:textId="56DC3280" w:rsidR="00410402" w:rsidRPr="00524286" w:rsidRDefault="00BF4C3B" w:rsidP="00C45340">
      <w:pPr>
        <w:spacing w:afterLines="280" w:after="672" w:line="480" w:lineRule="auto"/>
        <w:jc w:val="both"/>
        <w:rPr>
          <w:rFonts w:ascii="Times New Roman" w:hAnsi="Times New Roman"/>
          <w:sz w:val="24"/>
        </w:rPr>
      </w:pPr>
      <w:r>
        <w:rPr>
          <w:rFonts w:ascii="Times New Roman" w:hAnsi="Times New Roman"/>
          <w:sz w:val="24"/>
        </w:rPr>
        <w:fldChar w:fldCharType="end"/>
      </w:r>
    </w:p>
    <w:p w14:paraId="0D728DE0" w14:textId="77777777" w:rsidR="000758AF" w:rsidRDefault="00BE17B5" w:rsidP="007C1B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7EB98C8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2F514C85"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CF161C2"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33402858" w14:textId="77777777"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lastRenderedPageBreak/>
        <w:t>NCBI ClinVar, https://www.ncbi.nlm.nih.gov/clinvar</w:t>
      </w:r>
      <w:r w:rsidR="00872E08">
        <w:rPr>
          <w:rFonts w:ascii="Times New Roman" w:hAnsi="Times New Roman"/>
          <w:b/>
          <w:sz w:val="28"/>
          <w:szCs w:val="28"/>
        </w:rPr>
        <w:br w:type="page"/>
      </w:r>
    </w:p>
    <w:p w14:paraId="3F587BC7" w14:textId="77777777"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409169E5" w14:textId="2E4E6B9D"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 xml:space="preserve">Three two-generational autosomal recessive pedigrees display the coding for a region marker </w:t>
      </w:r>
      <w:r w:rsidR="00BF03AF">
        <w:rPr>
          <w:rFonts w:ascii="Times New Roman" w:hAnsi="Times New Roman"/>
          <w:sz w:val="24"/>
          <w:szCs w:val="24"/>
        </w:rPr>
        <w:t>using information from</w:t>
      </w:r>
      <w:r w:rsidR="00BE1C1B">
        <w:rPr>
          <w:rFonts w:ascii="Times New Roman" w:hAnsi="Times New Roman"/>
          <w:sz w:val="24"/>
          <w:szCs w:val="24"/>
        </w:rPr>
        <w:t xml:space="preserve"> 6 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be combined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bookmarkStart w:id="5" w:name="_GoBack"/>
      <w:bookmarkEnd w:id="5"/>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1 and 4</w:t>
      </w:r>
      <w:r w:rsidR="00A455B1">
        <w:rPr>
          <w:rFonts w:ascii="Times New Roman" w:hAnsi="Times New Roman"/>
          <w:sz w:val="24"/>
          <w:szCs w:val="24"/>
        </w:rPr>
        <w:t>.</w:t>
      </w:r>
      <w:r w:rsidR="009A6C47">
        <w:rPr>
          <w:rFonts w:ascii="Times New Roman" w:hAnsi="Times New Roman"/>
          <w:sz w:val="24"/>
          <w:szCs w:val="24"/>
        </w:rPr>
        <w:t xml:space="preserve"> </w:t>
      </w:r>
    </w:p>
    <w:p w14:paraId="25983F8C" w14:textId="25B628AB" w:rsidR="001719DA" w:rsidRDefault="00CC032D" w:rsidP="00C45340">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 xml:space="preserve">recessive model </w:t>
      </w:r>
      <w:r w:rsidR="00A21474" w:rsidRPr="00F048FF">
        <w:rPr>
          <w:rFonts w:ascii="Times New Roman" w:hAnsi="Times New Roman"/>
          <w:sz w:val="24"/>
          <w:szCs w:val="24"/>
        </w:rPr>
        <w:lastRenderedPageBreak/>
        <w:t>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5CCAB107" w14:textId="77777777"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14:paraId="66F64B35" w14:textId="77777777" w:rsidR="00A72D0E" w:rsidRDefault="00A72D0E" w:rsidP="00C45340">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14:paraId="11B01F27" w14:textId="354224E7" w:rsidR="00695197" w:rsidRPr="00695197" w:rsidRDefault="00695197" w:rsidP="00C45340">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E9B5A73"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A7C80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BB26CFF"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70C370C"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AA89AF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14E5DEE"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766FF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68B338EA"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3007344F"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E9C7C4"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BA189C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F30C1B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7C843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7685674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76D8BA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7369770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2DECCF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6E978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0B83EA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7479AD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10C7A7B"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C39FF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69DDAE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788C00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2FF9D7CE"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CECA1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82C5F1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949347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86FD3F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3524614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4FB5E9B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10D3FF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2614B27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D8B4F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AA2DA8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4A6E18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12712E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30DAC8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6EA03A6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13EDD51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33D8FD0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0E5FC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97D677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AF79BC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81FCD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0715C8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69A819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0E247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5FADFFA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66EBBA6"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12190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FA58D2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D25E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335295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7FCF1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739639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17D03C0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35902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EE8AE0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F69AF7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47D4F8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61E70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4E80B3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150264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98A94C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9B3A3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0147AB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CB47D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333C24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3B0F2D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2660DB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CDD1C1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0C963FE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47AD0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69774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7B4BAD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13AAA8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62AC0E8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7DB607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4B4E0EA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1C89CE5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1DF26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6E86A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5D42D79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685506C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20F2F5F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23D2B22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6508C5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7EF083E3"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BDDC3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27B5E015"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07623ECE"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1008A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528C1C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079E408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5D1EBAC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135418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6C00979E"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DC587D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4DF98EF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79EF3C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9FD5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38191AD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36270E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2F1CD7EB"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C2A29DF"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18951061"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29A20DD7"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48F9B836"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00942638" w14:textId="77777777" w:rsidR="00A72D0E" w:rsidRPr="00836421" w:rsidRDefault="00A72D0E" w:rsidP="00C45340">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11-06T16:19:00Z" w:initials="gw">
    <w:p w14:paraId="12D1C5BA" w14:textId="2582941A" w:rsidR="00CD65A6" w:rsidRDefault="00CD65A6">
      <w:pPr>
        <w:pStyle w:val="CommentText"/>
      </w:pPr>
      <w:r>
        <w:rPr>
          <w:rStyle w:val="CommentReference"/>
        </w:rPr>
        <w:annotationRef/>
      </w:r>
      <w:r>
        <w:t>In the respond letter we say we agree with the reviewer and we delete these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1C5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F72A6" w14:textId="77777777" w:rsidR="0096423B" w:rsidRDefault="0096423B">
      <w:pPr>
        <w:spacing w:after="0" w:line="240" w:lineRule="auto"/>
      </w:pPr>
      <w:r>
        <w:separator/>
      </w:r>
    </w:p>
  </w:endnote>
  <w:endnote w:type="continuationSeparator" w:id="0">
    <w:p w14:paraId="036AE231" w14:textId="77777777" w:rsidR="0096423B" w:rsidRDefault="0096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3AC15" w14:textId="77777777" w:rsidR="0096423B" w:rsidRDefault="0096423B">
      <w:pPr>
        <w:spacing w:after="0" w:line="240" w:lineRule="auto"/>
      </w:pPr>
      <w:r>
        <w:separator/>
      </w:r>
    </w:p>
  </w:footnote>
  <w:footnote w:type="continuationSeparator" w:id="0">
    <w:p w14:paraId="1797E2C1" w14:textId="77777777" w:rsidR="0096423B" w:rsidRDefault="009642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101A"/>
    <w:rsid w:val="00021C21"/>
    <w:rsid w:val="00021F2C"/>
    <w:rsid w:val="00022DF8"/>
    <w:rsid w:val="0002432C"/>
    <w:rsid w:val="000262B9"/>
    <w:rsid w:val="00027566"/>
    <w:rsid w:val="0003004A"/>
    <w:rsid w:val="00030D34"/>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63E"/>
    <w:rsid w:val="000D1CB5"/>
    <w:rsid w:val="000D30A5"/>
    <w:rsid w:val="000D51D5"/>
    <w:rsid w:val="000D52E6"/>
    <w:rsid w:val="000D5458"/>
    <w:rsid w:val="000D54A4"/>
    <w:rsid w:val="000D7360"/>
    <w:rsid w:val="000E0184"/>
    <w:rsid w:val="000E08AC"/>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DE4"/>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5FFE"/>
    <w:rsid w:val="002C01D0"/>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179F"/>
    <w:rsid w:val="003F3016"/>
    <w:rsid w:val="003F5249"/>
    <w:rsid w:val="003F5DD0"/>
    <w:rsid w:val="003F6731"/>
    <w:rsid w:val="00400C86"/>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A31"/>
    <w:rsid w:val="00474DF1"/>
    <w:rsid w:val="004751AB"/>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CED"/>
    <w:rsid w:val="00913563"/>
    <w:rsid w:val="00914B5B"/>
    <w:rsid w:val="00914FF6"/>
    <w:rsid w:val="009156E9"/>
    <w:rsid w:val="00916BEE"/>
    <w:rsid w:val="00917770"/>
    <w:rsid w:val="00917F11"/>
    <w:rsid w:val="00917FA8"/>
    <w:rsid w:val="00921234"/>
    <w:rsid w:val="00924537"/>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EC3"/>
    <w:rsid w:val="00A46928"/>
    <w:rsid w:val="00A46DBA"/>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F66"/>
    <w:rsid w:val="00B80CEE"/>
    <w:rsid w:val="00B81189"/>
    <w:rsid w:val="00B812DF"/>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57BA"/>
    <w:rsid w:val="00D364F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5A0D"/>
    <w:rsid w:val="00EB68C2"/>
    <w:rsid w:val="00EB7063"/>
    <w:rsid w:val="00EB75F8"/>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2BAD"/>
    <w:rsid w:val="00F13B3F"/>
    <w:rsid w:val="00F14459"/>
    <w:rsid w:val="00F14AAA"/>
    <w:rsid w:val="00F14C5F"/>
    <w:rsid w:val="00F171EF"/>
    <w:rsid w:val="00F173C3"/>
    <w:rsid w:val="00F20465"/>
    <w:rsid w:val="00F231A7"/>
    <w:rsid w:val="00F23A75"/>
    <w:rsid w:val="00F2429E"/>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457D"/>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oNotEmbedSmartTags/>
  <w:decimalSymbol w:val="."/>
  <w:listSeparator w:val=","/>
  <w14:docId w14:val="03F3EBCA"/>
  <w15:docId w15:val="{70DA5C12-3AEE-4F50-A083-17D1B1BA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microsoft.com/office/2011/relationships/people" Target="people.xml"/><Relationship Id="rId21" Type="http://schemas.openxmlformats.org/officeDocument/2006/relationships/image" Target="media/image7.wmf"/><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yperlink" Target="http://bioinformatics.org/seqlin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3.wmf"/><Relationship Id="rId8" Type="http://schemas.openxmlformats.org/officeDocument/2006/relationships/hyperlink" Target="mailto:sleal@bcm.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A39A-D9CB-4C50-A179-997DBF03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9450</Words>
  <Characters>53868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63192</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8</cp:revision>
  <cp:lastPrinted>2013-06-06T18:11:00Z</cp:lastPrinted>
  <dcterms:created xsi:type="dcterms:W3CDTF">2014-11-07T01:29:00Z</dcterms:created>
  <dcterms:modified xsi:type="dcterms:W3CDTF">2014-11-07T01:57:00Z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