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04F106" w14:textId="77777777"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439F6AD7"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55D29704" w14:textId="77777777" w:rsidR="00067FAD" w:rsidRPr="003A6DC9" w:rsidRDefault="00067FAD" w:rsidP="00067FAD">
      <w:pPr>
        <w:tabs>
          <w:tab w:val="left" w:pos="6570"/>
        </w:tabs>
        <w:spacing w:line="480" w:lineRule="auto"/>
        <w:jc w:val="both"/>
        <w:rPr>
          <w:rFonts w:ascii="Times New Roman" w:hAnsi="Times New Roman"/>
          <w:sz w:val="24"/>
          <w:szCs w:val="24"/>
        </w:rPr>
      </w:pPr>
    </w:p>
    <w:p w14:paraId="0AF85749"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74395565" w14:textId="7777777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568E07A4"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21C7F37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0ED43B15"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7EEB4B1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3AD004F"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3EF1A4D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574E03F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66FB8448" w14:textId="77777777" w:rsidR="00C974D7" w:rsidRPr="00BF6CD2" w:rsidRDefault="003F035E"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5A0E9EAA" w14:textId="77777777"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7DE9B7CC" w14:textId="77777777"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0A3CF75C" w14:textId="77777777" w:rsidR="00C57DCF" w:rsidRPr="00C57DCF" w:rsidRDefault="009E501D" w:rsidP="00C45340">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5FEA4DC6" w14:textId="5C432D81" w:rsidR="007E05B7" w:rsidRPr="007E05B7" w:rsidRDefault="007E05B7" w:rsidP="00C45340">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BF4C3B">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BF4C3B">
        <w:rPr>
          <w:rFonts w:ascii="Times New Roman" w:hAnsi="Times New Roman"/>
          <w:sz w:val="24"/>
        </w:rPr>
        <w:fldChar w:fldCharType="separate"/>
      </w:r>
      <w:r w:rsidR="00B31847" w:rsidRPr="00B31847">
        <w:rPr>
          <w:rFonts w:ascii="Times New Roman" w:hAnsi="Times New Roman"/>
          <w:sz w:val="24"/>
          <w:szCs w:val="24"/>
          <w:vertAlign w:val="superscript"/>
        </w:rPr>
        <w:t>1</w:t>
      </w:r>
      <w:r w:rsidR="00BF4C3B">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2</w:t>
      </w:r>
      <w:r w:rsidR="00BF4C3B">
        <w:rPr>
          <w:rFonts w:ascii="Times New Roman" w:hAnsi="Times New Roman"/>
          <w:sz w:val="24"/>
        </w:rPr>
        <w:fldChar w:fldCharType="end"/>
      </w:r>
      <w:r w:rsidR="00B97214">
        <w:rPr>
          <w:rFonts w:ascii="Times New Roman" w:hAnsi="Times New Roman"/>
          <w:sz w:val="24"/>
        </w:rPr>
        <w:t xml:space="preserve">. </w:t>
      </w:r>
      <w:r w:rsidR="00C47D32">
        <w:rPr>
          <w:rFonts w:ascii="Times New Roman" w:hAnsi="Times New Roman"/>
          <w:sz w:val="24"/>
        </w:rPr>
        <w:t xml:space="preserve">There is also a great interest to directly perform linkage analysis on rare variants obtained from NGS data.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r w:rsidR="00C47D32">
        <w:rPr>
          <w:rFonts w:ascii="Times New Roman" w:hAnsi="Times New Roman"/>
          <w:sz w:val="24"/>
        </w:rPr>
        <w:t>NGS</w:t>
      </w:r>
      <w:r w:rsidRPr="007E05B7">
        <w:rPr>
          <w:rFonts w:ascii="Times New Roman" w:hAnsi="Times New Roman"/>
          <w:sz w:val="24"/>
        </w:rPr>
        <w:t xml:space="preserve"> data provides acceptable linkage results, due to low heterozygosity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3</w:t>
      </w:r>
      <w:r w:rsidR="00BF4C3B">
        <w:rPr>
          <w:rFonts w:ascii="Times New Roman" w:hAnsi="Times New Roman"/>
          <w:sz w:val="24"/>
        </w:rPr>
        <w:fldChar w:fldCharType="end"/>
      </w:r>
      <w:r w:rsidRPr="007E05B7">
        <w:rPr>
          <w:rFonts w:ascii="Times New Roman" w:hAnsi="Times New Roman"/>
          <w:sz w:val="24"/>
        </w:rPr>
        <w:t>.</w:t>
      </w:r>
    </w:p>
    <w:p w14:paraId="3AB69E77" w14:textId="23238F85" w:rsidR="000758AF" w:rsidRDefault="0026429E" w:rsidP="007C1BB5">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t>
      </w:r>
      <w:r w:rsidR="00914ED3">
        <w:rPr>
          <w:rFonts w:ascii="Times New Roman" w:hAnsi="Times New Roman"/>
          <w:sz w:val="24"/>
        </w:rPr>
        <w:t xml:space="preserve">is motivated by rare variant association methods </w:t>
      </w:r>
      <w:r w:rsidR="002445A7">
        <w:rPr>
          <w:rFonts w:ascii="Times New Roman" w:hAnsi="Times New Roman"/>
          <w:sz w:val="24"/>
        </w:rPr>
        <w:t xml:space="preserve">which analyze multiple rare variants within a region, which is often a gene.  The CHP method </w:t>
      </w:r>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t xml:space="preserve">have a higher </w:t>
      </w:r>
      <w:r w:rsidR="002E2BB2">
        <w:rPr>
          <w:rFonts w:ascii="Times New Roman" w:hAnsi="Times New Roman"/>
          <w:sz w:val="24"/>
        </w:rPr>
        <w:lastRenderedPageBreak/>
        <w:t xml:space="preserve">heterozygosity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r w:rsidR="00A458DF">
        <w:rPr>
          <w:rFonts w:ascii="Times New Roman" w:hAnsi="Times New Roman"/>
          <w:sz w:val="24"/>
        </w:rPr>
        <w:t xml:space="preserve">rare </w:t>
      </w:r>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4</w:t>
      </w:r>
      <w:r w:rsidR="00BF4C3B">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AEA0689" w14:textId="77777777" w:rsidR="000758AF" w:rsidRDefault="008349C9" w:rsidP="007C1BB5">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4F097E4D"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3A3F2338"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algorithm </w:t>
      </w:r>
      <w:r w:rsidRPr="000433E1">
        <w:rPr>
          <w:rFonts w:ascii="Times New Roman" w:hAnsi="Times New Roman"/>
          <w:sz w:val="24"/>
        </w:rPr>
        <w:lastRenderedPageBreak/>
        <w:t>for genetic phasing is applied to reconstruct haplotypes in the pedigrees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5</w:t>
      </w:r>
      <w:r w:rsidR="00BF4C3B">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For each pedigree, we first cluster variants on regional haplotypes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6</w:t>
      </w:r>
      <w:r w:rsidR="00BF4C3B">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2336ED9E" w14:textId="1058DC5E" w:rsidR="000758AF" w:rsidRDefault="00452CCB" w:rsidP="000758AF">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r w:rsidR="00A458DF">
        <w:rPr>
          <w:rFonts w:ascii="Times New Roman" w:hAnsi="Times New Roman"/>
          <w:sz w:val="24"/>
        </w:rPr>
        <w:t xml:space="preserve">still </w:t>
      </w:r>
      <w:r>
        <w:rPr>
          <w:rFonts w:ascii="Times New Roman" w:hAnsi="Times New Roman"/>
          <w:sz w:val="24"/>
        </w:rPr>
        <w:t>be combined.</w:t>
      </w:r>
    </w:p>
    <w:p w14:paraId="0D468AD0" w14:textId="658EE49D" w:rsidR="000758AF" w:rsidRDefault="00566129" w:rsidP="007C1BB5">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w14:anchorId="4E8AE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75pt" o:ole="">
            <v:imagedata r:id="rId9" o:title=""/>
          </v:shape>
          <o:OLEObject Type="Embed" ProgID="Equation.DSMT4" ShapeID="_x0000_i1025" DrawAspect="Content" ObjectID="_1483893458"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w14:anchorId="43180A05">
          <v:shape id="_x0000_i1026" type="#_x0000_t75" style="width:21.75pt;height:14.25pt" o:ole="">
            <v:imagedata r:id="rId11" o:title=""/>
          </v:shape>
          <o:OLEObject Type="Embed" ProgID="Equation.DSMT4" ShapeID="_x0000_i1026" DrawAspect="Content" ObjectID="_1483893459"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w14:anchorId="0C4543E7">
          <v:shape id="_x0000_i1027" type="#_x0000_t75" style="width:28.5pt;height:14.25pt" o:ole="">
            <v:imagedata r:id="rId13" o:title=""/>
          </v:shape>
          <o:OLEObject Type="Embed" ProgID="Equation.DSMT4" ShapeID="_x0000_i1027" DrawAspect="Content" ObjectID="_1483893460"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7</w:t>
      </w:r>
      <w:r w:rsidR="00BF4C3B">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w14:anchorId="584A9F7A">
          <v:shape id="_x0000_i1028" type="#_x0000_t75" style="width:14.25pt;height:14.25pt" o:ole="">
            <v:imagedata r:id="rId15" o:title=""/>
          </v:shape>
          <o:OLEObject Type="Embed" ProgID="Equation.DSMT4" ShapeID="_x0000_i1028" DrawAspect="Content" ObjectID="_1483893461"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w14:anchorId="41D4EBC1">
          <v:shape id="_x0000_i1029" type="#_x0000_t75" style="width:14.25pt;height:21.75pt" o:ole="">
            <v:imagedata r:id="rId17" o:title=""/>
          </v:shape>
          <o:OLEObject Type="Embed" ProgID="Equation.DSMT4" ShapeID="_x0000_i1029" DrawAspect="Content" ObjectID="_1483893462"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w14:anchorId="20651C30">
          <v:shape id="_x0000_i1030" type="#_x0000_t75" style="width:186.75pt;height:21.75pt" o:ole="">
            <v:imagedata r:id="rId19" o:title=""/>
          </v:shape>
          <o:OLEObject Type="Embed" ProgID="Equation.DSMT4" ShapeID="_x0000_i1030" DrawAspect="Content" ObjectID="_1483893463"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w14:anchorId="61F72571">
          <v:shape id="_x0000_i1031" type="#_x0000_t75" style="width:14.25pt;height:21.75pt" o:ole="">
            <v:imagedata r:id="rId21" o:title=""/>
          </v:shape>
          <o:OLEObject Type="Embed" ProgID="Equation.DSMT4" ShapeID="_x0000_i1031" DrawAspect="Content" ObjectID="_1483893464"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w14:anchorId="61644F3E">
          <v:shape id="_x0000_i1032" type="#_x0000_t75" style="width:14.25pt;height:14.25pt" o:ole="">
            <v:imagedata r:id="rId23" o:title=""/>
          </v:shape>
          <o:OLEObject Type="Embed" ProgID="Equation.DSMT4" ShapeID="_x0000_i1032" DrawAspect="Content" ObjectID="_1483893465"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w14:anchorId="6040ECA4">
          <v:shape id="_x0000_i1033" type="#_x0000_t75" style="width:14.25pt;height:14.25pt" o:ole="">
            <v:imagedata r:id="rId25" o:title=""/>
          </v:shape>
          <o:OLEObject Type="Embed" ProgID="Equation.DSMT4" ShapeID="_x0000_i1033" DrawAspect="Content" ObjectID="_1483893466"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w14:anchorId="35C337BB">
          <v:shape id="_x0000_i1034" type="#_x0000_t75" style="width:2in;height:14.25pt" o:ole="">
            <v:imagedata r:id="rId27" o:title=""/>
          </v:shape>
          <o:OLEObject Type="Embed" ProgID="Equation.DSMT4" ShapeID="_x0000_i1034" DrawAspect="Content" ObjectID="_1483893467"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w14:anchorId="1D3DC6D8">
          <v:shape id="_x0000_i1035" type="#_x0000_t75" style="width:1in;height:21.75pt" o:ole="">
            <v:imagedata r:id="rId29" o:title=""/>
          </v:shape>
          <o:OLEObject Type="Embed" ProgID="Equation.DSMT4" ShapeID="_x0000_i1035" DrawAspect="Content" ObjectID="_1483893468"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w14:anchorId="66021200">
          <v:shape id="_x0000_i1036" type="#_x0000_t75" style="width:122.25pt;height:21.75pt" o:ole="">
            <v:imagedata r:id="rId31" o:title=""/>
          </v:shape>
          <o:OLEObject Type="Embed" ProgID="Equation.DSMT4" ShapeID="_x0000_i1036" DrawAspect="Content" ObjectID="_1483893469"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haplotype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14:paraId="6647FAD1" w14:textId="77777777" w:rsidR="000758AF" w:rsidRDefault="000A70C3" w:rsidP="007C1BB5">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8</w:t>
      </w:r>
      <w:r w:rsidR="00BF4C3B">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9</w:t>
      </w:r>
      <w:r w:rsidR="00BF4C3B">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10</w:t>
      </w:r>
      <w:r w:rsidR="00BF4C3B">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11</w:t>
      </w:r>
      <w:r w:rsidR="00BF4C3B">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26E1909" w14:textId="02087E0F" w:rsidR="000758AF" w:rsidRDefault="00135840" w:rsidP="007C1BB5">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 xml:space="preserve">3 to 8 offspring in the </w:t>
      </w:r>
      <w:r w:rsidR="002E14F8">
        <w:rPr>
          <w:rFonts w:ascii="Times New Roman" w:hAnsi="Times New Roman"/>
          <w:sz w:val="24"/>
          <w:szCs w:val="24"/>
        </w:rPr>
        <w:lastRenderedPageBreak/>
        <w:t>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Exome Variant Server</w:t>
      </w:r>
      <w:del w:id="0" w:author="Gao Wang" w:date="2015-01-14T15:18:00Z">
        <w:r w:rsidR="00EF4EC2" w:rsidDel="0016402B">
          <w:rPr>
            <w:rFonts w:ascii="Times New Roman" w:hAnsi="Times New Roman"/>
            <w:sz w:val="24"/>
            <w:szCs w:val="24"/>
          </w:rPr>
          <w:delText xml:space="preserve"> (Table S</w:delText>
        </w:r>
        <w:r w:rsidR="007E7563" w:rsidDel="0016402B">
          <w:rPr>
            <w:rFonts w:ascii="Times New Roman" w:hAnsi="Times New Roman"/>
            <w:sz w:val="24"/>
            <w:szCs w:val="24"/>
          </w:rPr>
          <w:delText>1</w:delText>
        </w:r>
        <w:r w:rsidR="009064B5" w:rsidDel="0016402B">
          <w:rPr>
            <w:rFonts w:ascii="Times New Roman" w:hAnsi="Times New Roman"/>
            <w:sz w:val="24"/>
            <w:szCs w:val="24"/>
          </w:rPr>
          <w:delText>)</w:delText>
        </w:r>
      </w:del>
      <w:r w:rsidR="002E14F8">
        <w:rPr>
          <w:rFonts w:ascii="Times New Roman" w:hAnsi="Times New Roman"/>
          <w:sz w:val="24"/>
          <w:szCs w:val="24"/>
        </w:rPr>
        <w:t xml:space="preserve">. </w:t>
      </w:r>
    </w:p>
    <w:p w14:paraId="3559CA50" w14:textId="4101C440" w:rsidR="00A458DF" w:rsidRDefault="00A458DF" w:rsidP="00A458DF">
      <w:pPr>
        <w:spacing w:afterLines="280" w:after="672"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and 3)</w:t>
      </w:r>
      <w:ins w:id="1" w:author="Gao Wang" w:date="2015-01-14T15:16:00Z">
        <w:r w:rsidR="00175105">
          <w:rPr>
            <w:rFonts w:ascii="Times New Roman" w:hAnsi="Times New Roman"/>
            <w:sz w:val="24"/>
            <w:szCs w:val="24"/>
          </w:rPr>
          <w:t xml:space="preserve"> there exist</w:t>
        </w:r>
      </w:ins>
      <w:ins w:id="2" w:author="Gao Wang" w:date="2015-01-14T15:17:00Z">
        <w:r w:rsidR="00AE70A4">
          <w:rPr>
            <w:rFonts w:ascii="Times New Roman" w:hAnsi="Times New Roman"/>
            <w:sz w:val="24"/>
            <w:szCs w:val="24"/>
          </w:rPr>
          <w:t xml:space="preserve"> within gene</w:t>
        </w:r>
      </w:ins>
      <w:ins w:id="3" w:author="Gao Wang" w:date="2015-01-14T15:16:00Z">
        <w:r w:rsidR="00175105">
          <w:rPr>
            <w:rFonts w:ascii="Times New Roman" w:hAnsi="Times New Roman"/>
            <w:sz w:val="24"/>
            <w:szCs w:val="24"/>
          </w:rPr>
          <w:t xml:space="preserve"> recombination events</w:t>
        </w:r>
      </w:ins>
      <w:ins w:id="4" w:author="Gao Wang" w:date="2015-01-14T15:20:00Z">
        <w:r w:rsidR="00954FB2">
          <w:rPr>
            <w:rFonts w:ascii="Times New Roman" w:hAnsi="Times New Roman"/>
            <w:sz w:val="24"/>
            <w:szCs w:val="24"/>
          </w:rPr>
          <w:t xml:space="preserve"> in the generated </w:t>
        </w:r>
      </w:ins>
      <w:ins w:id="5" w:author="Gao Wang" w:date="2015-01-14T15:23:00Z">
        <w:r w:rsidR="00954FB2">
          <w:rPr>
            <w:rFonts w:ascii="Times New Roman" w:hAnsi="Times New Roman"/>
            <w:sz w:val="24"/>
            <w:szCs w:val="24"/>
          </w:rPr>
          <w:t>families</w:t>
        </w:r>
      </w:ins>
      <w:ins w:id="6" w:author="Gao Wang" w:date="2015-01-14T15:20:00Z">
        <w:r w:rsidR="00954FB2">
          <w:rPr>
            <w:rFonts w:ascii="Times New Roman" w:hAnsi="Times New Roman"/>
            <w:sz w:val="24"/>
            <w:szCs w:val="24"/>
          </w:rPr>
          <w:t>. R</w:t>
        </w:r>
        <w:r w:rsidR="00352794">
          <w:rPr>
            <w:rFonts w:ascii="Times New Roman" w:hAnsi="Times New Roman"/>
            <w:sz w:val="24"/>
            <w:szCs w:val="24"/>
          </w:rPr>
          <w:t xml:space="preserve">ecombination </w:t>
        </w:r>
      </w:ins>
      <w:ins w:id="7" w:author="Gao Wang" w:date="2015-01-14T15:21:00Z">
        <w:r w:rsidR="0097375A">
          <w:rPr>
            <w:rFonts w:ascii="Times New Roman" w:hAnsi="Times New Roman"/>
            <w:sz w:val="24"/>
            <w:szCs w:val="24"/>
          </w:rPr>
          <w:t>events</w:t>
        </w:r>
      </w:ins>
      <w:ins w:id="8" w:author="Gao Wang" w:date="2015-01-14T15:20:00Z">
        <w:r w:rsidR="00954FB2">
          <w:rPr>
            <w:rFonts w:ascii="Times New Roman" w:hAnsi="Times New Roman"/>
            <w:sz w:val="24"/>
            <w:szCs w:val="24"/>
          </w:rPr>
          <w:t xml:space="preserve"> </w:t>
        </w:r>
      </w:ins>
      <w:ins w:id="9" w:author="Gao Wang" w:date="2015-01-14T15:22:00Z">
        <w:r w:rsidR="00AE2F7B">
          <w:rPr>
            <w:rFonts w:ascii="Times New Roman" w:hAnsi="Times New Roman"/>
            <w:sz w:val="24"/>
            <w:szCs w:val="24"/>
          </w:rPr>
          <w:t xml:space="preserve">between variants </w:t>
        </w:r>
      </w:ins>
      <w:ins w:id="10" w:author="Gao Wang" w:date="2015-01-14T15:23:00Z">
        <w:r w:rsidR="00954FB2">
          <w:rPr>
            <w:rFonts w:ascii="Times New Roman" w:hAnsi="Times New Roman"/>
            <w:sz w:val="24"/>
            <w:szCs w:val="24"/>
          </w:rPr>
          <w:t>are simulated</w:t>
        </w:r>
      </w:ins>
      <w:ins w:id="11" w:author="Gao Wang" w:date="2015-01-14T15:20:00Z">
        <w:r w:rsidR="00352794">
          <w:rPr>
            <w:rFonts w:ascii="Times New Roman" w:hAnsi="Times New Roman"/>
            <w:sz w:val="24"/>
            <w:szCs w:val="24"/>
          </w:rPr>
          <w:t xml:space="preserve"> based on </w:t>
        </w:r>
      </w:ins>
      <w:ins w:id="12" w:author="Gao Wang" w:date="2015-01-14T15:22:00Z">
        <w:r w:rsidR="00675780">
          <w:rPr>
            <w:rFonts w:ascii="Times New Roman" w:hAnsi="Times New Roman"/>
            <w:sz w:val="24"/>
            <w:szCs w:val="24"/>
          </w:rPr>
          <w:t>rates obtained from</w:t>
        </w:r>
      </w:ins>
      <w:ins w:id="13" w:author="Gao Wang" w:date="2015-01-14T15:20:00Z">
        <w:r w:rsidR="00352794">
          <w:rPr>
            <w:rFonts w:ascii="Times New Roman" w:hAnsi="Times New Roman"/>
            <w:sz w:val="24"/>
            <w:szCs w:val="24"/>
          </w:rPr>
          <w:t xml:space="preserve"> Hapmap </w:t>
        </w:r>
      </w:ins>
      <w:ins w:id="14" w:author="Gao Wang" w:date="2015-01-14T15:17:00Z">
        <w:r w:rsidR="00352794">
          <w:rPr>
            <w:rFonts w:ascii="Times New Roman" w:hAnsi="Times New Roman"/>
            <w:sz w:val="24"/>
            <w:szCs w:val="24"/>
          </w:rPr>
          <w:t>Recombination R</w:t>
        </w:r>
        <w:r w:rsidR="00912A83">
          <w:rPr>
            <w:rFonts w:ascii="Times New Roman" w:hAnsi="Times New Roman"/>
            <w:sz w:val="24"/>
            <w:szCs w:val="24"/>
          </w:rPr>
          <w:t>ates</w:t>
        </w:r>
      </w:ins>
      <w:ins w:id="15" w:author="Gao Wang" w:date="2015-01-14T15:21:00Z">
        <w:r w:rsidR="00352794">
          <w:rPr>
            <w:rFonts w:ascii="Times New Roman" w:hAnsi="Times New Roman"/>
            <w:sz w:val="24"/>
            <w:szCs w:val="24"/>
          </w:rPr>
          <w:t xml:space="preserve"> and Hotspots database</w:t>
        </w:r>
        <w:r w:rsidR="00D327E0">
          <w:rPr>
            <w:rFonts w:ascii="Times New Roman" w:hAnsi="Times New Roman"/>
            <w:sz w:val="24"/>
            <w:szCs w:val="24"/>
          </w:rPr>
          <w:t xml:space="preserve"> (see Web Resources)</w:t>
        </w:r>
        <w:r w:rsidR="00352794">
          <w:rPr>
            <w:rFonts w:ascii="Times New Roman" w:hAnsi="Times New Roman"/>
            <w:sz w:val="24"/>
            <w:szCs w:val="24"/>
          </w:rPr>
          <w:t xml:space="preserve">. </w:t>
        </w:r>
      </w:ins>
      <w:del w:id="16" w:author="Gao Wang" w:date="2015-01-14T15:15:00Z">
        <w:r w:rsidRPr="00E261D4" w:rsidDel="00175105">
          <w:rPr>
            <w:rFonts w:ascii="Times New Roman" w:hAnsi="Times New Roman"/>
            <w:sz w:val="24"/>
            <w:szCs w:val="24"/>
          </w:rPr>
          <w:delText xml:space="preserve"> </w:delText>
        </w:r>
        <w:r w:rsidDel="00175105">
          <w:rPr>
            <w:rFonts w:ascii="Times New Roman" w:hAnsi="Times New Roman"/>
            <w:sz w:val="24"/>
            <w:szCs w:val="24"/>
          </w:rPr>
          <w:delText xml:space="preserve">under the extreme case where </w:delText>
        </w:r>
        <w:r w:rsidRPr="00E261D4" w:rsidDel="00175105">
          <w:rPr>
            <w:rFonts w:ascii="Times New Roman" w:hAnsi="Times New Roman"/>
            <w:sz w:val="24"/>
            <w:szCs w:val="24"/>
          </w:rPr>
          <w:delText>there are recombi</w:delText>
        </w:r>
        <w:r w:rsidDel="00175105">
          <w:rPr>
            <w:rFonts w:ascii="Times New Roman" w:hAnsi="Times New Roman"/>
            <w:sz w:val="24"/>
            <w:szCs w:val="24"/>
          </w:rPr>
          <w:delText>nation events within a gene for each meiosis and recombination breakpoints are different across “ascertained” families</w:delText>
        </w:r>
        <w:r w:rsidRPr="00E261D4" w:rsidDel="00175105">
          <w:rPr>
            <w:rFonts w:ascii="Times New Roman" w:hAnsi="Times New Roman"/>
            <w:sz w:val="24"/>
            <w:szCs w:val="24"/>
          </w:rPr>
          <w:delText>.</w:delText>
        </w:r>
        <w:r w:rsidDel="00175105">
          <w:rPr>
            <w:rFonts w:ascii="Times New Roman" w:hAnsi="Times New Roman"/>
            <w:sz w:val="24"/>
            <w:szCs w:val="24"/>
          </w:rPr>
          <w:delText xml:space="preserve"> Simulating data based upon a small realistic θ value within a gene region will introduce few or no recombination events within the generated families, therefore this extreme scenario is used to evaluate the effect of recombination events on type I error</w:delText>
        </w:r>
      </w:del>
      <w:r>
        <w:rPr>
          <w:rFonts w:ascii="Times New Roman" w:hAnsi="Times New Roman"/>
          <w:sz w:val="24"/>
          <w:szCs w:val="24"/>
        </w:rPr>
        <w:t xml:space="preserve">.  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w:t>
      </w:r>
      <w:del w:id="17" w:author="Gao Wang" w:date="2015-01-14T15:14:00Z">
        <w:r w:rsidDel="002F053E">
          <w:rPr>
            <w:rFonts w:ascii="Times New Roman" w:hAnsi="Times New Roman"/>
            <w:sz w:val="24"/>
            <w:szCs w:val="24"/>
          </w:rPr>
          <w:delText xml:space="preserve">500 </w:delText>
        </w:r>
      </w:del>
      <w:ins w:id="18" w:author="Gao Wang" w:date="2015-01-14T15:14:00Z">
        <w:r w:rsidR="002F053E">
          <w:rPr>
            <w:rFonts w:ascii="Times New Roman" w:hAnsi="Times New Roman"/>
            <w:sz w:val="24"/>
            <w:szCs w:val="24"/>
          </w:rPr>
          <w:t>2</w:t>
        </w:r>
      </w:ins>
      <w:ins w:id="19" w:author="mq" w:date="2015-01-27T19:42:00Z">
        <w:r w:rsidR="0010025A">
          <w:rPr>
            <w:rFonts w:ascii="Times New Roman" w:hAnsi="Times New Roman"/>
            <w:sz w:val="24"/>
            <w:szCs w:val="24"/>
          </w:rPr>
          <w:t>,00</w:t>
        </w:r>
      </w:ins>
      <w:ins w:id="20" w:author="Gao Wang" w:date="2015-01-14T15:14:00Z">
        <w:r w:rsidR="002F053E">
          <w:rPr>
            <w:rFonts w:ascii="Times New Roman" w:hAnsi="Times New Roman"/>
            <w:sz w:val="24"/>
            <w:szCs w:val="24"/>
          </w:rPr>
          <w:t xml:space="preserve">0,000 </w:t>
        </w:r>
      </w:ins>
      <w:r>
        <w:rPr>
          <w:rFonts w:ascii="Times New Roman" w:hAnsi="Times New Roman"/>
          <w:sz w:val="24"/>
          <w:szCs w:val="24"/>
        </w:rPr>
        <w:t xml:space="preserve">replicates. </w:t>
      </w:r>
    </w:p>
    <w:p w14:paraId="04C36ACE" w14:textId="5FC01B77" w:rsidR="000758AF" w:rsidRDefault="0009388F" w:rsidP="007C1BB5">
      <w:pPr>
        <w:spacing w:afterLines="280" w:after="672" w:line="480" w:lineRule="auto"/>
        <w:jc w:val="both"/>
        <w:rPr>
          <w:rFonts w:ascii="Times New Roman" w:hAnsi="Times New Roman"/>
          <w:sz w:val="24"/>
          <w:szCs w:val="24"/>
        </w:rPr>
      </w:pPr>
      <w:r>
        <w:rPr>
          <w:rFonts w:ascii="Times New Roman" w:hAnsi="Times New Roman"/>
          <w:sz w:val="24"/>
          <w:szCs w:val="24"/>
        </w:rPr>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 xml:space="preserve">using Deafness Variation </w:t>
      </w:r>
      <w:r w:rsidR="002E14F8">
        <w:rPr>
          <w:rFonts w:ascii="Times New Roman" w:hAnsi="Times New Roman"/>
          <w:sz w:val="24"/>
          <w:szCs w:val="24"/>
        </w:rPr>
        <w:lastRenderedPageBreak/>
        <w:t>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del w:id="21" w:author="Gao Wang" w:date="2015-01-14T15:19:00Z">
        <w:r w:rsidR="00A458DF" w:rsidDel="006377DE">
          <w:rPr>
            <w:rFonts w:ascii="Times New Roman" w:hAnsi="Times New Roman"/>
            <w:sz w:val="24"/>
            <w:szCs w:val="24"/>
          </w:rPr>
          <w:delText xml:space="preserve"> (</w:delText>
        </w:r>
      </w:del>
      <w:del w:id="22" w:author="Gao Wang" w:date="2015-01-14T15:18:00Z">
        <w:r w:rsidR="00A458DF" w:rsidDel="007024DB">
          <w:rPr>
            <w:rFonts w:ascii="Times New Roman" w:hAnsi="Times New Roman"/>
            <w:sz w:val="24"/>
            <w:szCs w:val="24"/>
          </w:rPr>
          <w:delText>Table S1</w:delText>
        </w:r>
      </w:del>
      <w:del w:id="23" w:author="Gao Wang" w:date="2015-01-14T15:19:00Z">
        <w:r w:rsidR="00A458DF" w:rsidDel="006377DE">
          <w:rPr>
            <w:rFonts w:ascii="Times New Roman" w:hAnsi="Times New Roman"/>
            <w:sz w:val="24"/>
            <w:szCs w:val="24"/>
          </w:rPr>
          <w:delText>)</w:delText>
        </w:r>
      </w:del>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t>
      </w:r>
      <w:r w:rsidR="00C131F6">
        <w:rPr>
          <w:rFonts w:ascii="Times New Roman" w:hAnsi="Times New Roman"/>
          <w:sz w:val="24"/>
          <w:szCs w:val="24"/>
        </w:rPr>
        <w:t xml:space="preserve"> </w:t>
      </w:r>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r w:rsidR="00C131F6">
        <w:rPr>
          <w:rFonts w:ascii="Times New Roman" w:hAnsi="Times New Roman"/>
          <w:sz w:val="24"/>
          <w:szCs w:val="24"/>
        </w:rPr>
        <w:t xml:space="preserve"> </w:t>
      </w:r>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r w:rsidR="00C131F6">
        <w:rPr>
          <w:rFonts w:ascii="Times New Roman" w:hAnsi="Times New Roman"/>
          <w:sz w:val="24"/>
          <w:szCs w:val="24"/>
        </w:rPr>
        <w:t xml:space="preserve"> </w:t>
      </w:r>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r w:rsidR="00C131F6">
        <w:rPr>
          <w:rFonts w:ascii="Times New Roman" w:hAnsi="Times New Roman"/>
          <w:sz w:val="24"/>
          <w:szCs w:val="24"/>
        </w:rPr>
        <w:t xml:space="preserve"> </w:t>
      </w:r>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624265">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624265">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624265">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w14:anchorId="7879796A">
          <v:shape id="_x0000_i1037" type="#_x0000_t75" style="width:50.25pt;height:28.5pt" o:ole="">
            <v:imagedata r:id="rId33" o:title=""/>
          </v:shape>
          <o:OLEObject Type="Embed" ProgID="Equation.DSMT4" ShapeID="_x0000_i1037" DrawAspect="Content" ObjectID="_1483893470" r:id="rId3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BF4C3B">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BF4C3B">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BF4C3B">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14:paraId="09A819FB" w14:textId="77777777" w:rsidR="000758AF" w:rsidRDefault="005A3A78" w:rsidP="007C1BB5">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4AC395CF" w14:textId="58BBE2E1" w:rsidR="000758AF" w:rsidRDefault="00015180" w:rsidP="007C1BB5">
      <w:pPr>
        <w:spacing w:afterLines="280" w:after="672" w:line="480" w:lineRule="auto"/>
        <w:jc w:val="both"/>
        <w:rPr>
          <w:rFonts w:ascii="Times New Roman" w:hAnsi="Times New Roman"/>
          <w:sz w:val="24"/>
        </w:rPr>
      </w:pPr>
      <w:ins w:id="24" w:author="mq" w:date="2015-01-27T19:43:00Z">
        <w:r>
          <w:rPr>
            <w:rFonts w:ascii="Times New Roman" w:hAnsi="Times New Roman"/>
            <w:sz w:val="24"/>
          </w:rPr>
          <w:t xml:space="preserve">Empirical type I error for the CHP </w:t>
        </w:r>
      </w:ins>
      <w:ins w:id="25" w:author="mq" w:date="2015-01-27T19:44:00Z">
        <w:r>
          <w:rPr>
            <w:rFonts w:ascii="Times New Roman" w:hAnsi="Times New Roman"/>
            <w:sz w:val="24"/>
          </w:rPr>
          <w:t xml:space="preserve">linkage statistic is </w:t>
        </w:r>
        <w:r w:rsidRPr="00914695">
          <w:rPr>
            <w:position w:val="-6"/>
          </w:rPr>
          <w:object w:dxaOrig="1320" w:dyaOrig="320" w14:anchorId="64D72925">
            <v:shape id="_x0000_i1039" type="#_x0000_t75" style="width:66pt;height:15.75pt" o:ole="">
              <v:imagedata r:id="rId35" o:title=""/>
            </v:shape>
            <o:OLEObject Type="Embed" ProgID="Equation.DSMT4" ShapeID="_x0000_i1039" DrawAspect="Content" ObjectID="_1483893471" r:id="rId36"/>
          </w:object>
        </w:r>
        <w:r>
          <w:t xml:space="preserve"> </w:t>
        </w:r>
        <w:r w:rsidRPr="00EE3FF5">
          <w:rPr>
            <w:rFonts w:ascii="Times New Roman" w:hAnsi="Times New Roman"/>
            <w:sz w:val="24"/>
          </w:rPr>
          <w:t>(</w:t>
        </w:r>
        <w:r w:rsidRPr="00EE3FF5">
          <w:rPr>
            <w:rFonts w:ascii="Times New Roman" w:hAnsi="Times New Roman"/>
            <w:sz w:val="24"/>
          </w:rPr>
          <w:t xml:space="preserve">95% CI: </w:t>
        </w:r>
      </w:ins>
      <w:ins w:id="26" w:author="mq" w:date="2015-01-27T19:44:00Z">
        <w:r w:rsidRPr="00847DE4">
          <w:rPr>
            <w:rFonts w:ascii="Times New Roman" w:hAnsi="Times New Roman"/>
            <w:sz w:val="24"/>
          </w:rPr>
          <w:object w:dxaOrig="2640" w:dyaOrig="320" w14:anchorId="2D525141">
            <v:shape id="_x0000_i1040" type="#_x0000_t75" style="width:132pt;height:15.75pt" o:ole="">
              <v:imagedata r:id="rId37" o:title=""/>
            </v:shape>
            <o:OLEObject Type="Embed" ProgID="Equation.DSMT4" ShapeID="_x0000_i1040" DrawAspect="Content" ObjectID="_1483893472" r:id="rId38"/>
          </w:object>
        </w:r>
        <w:r w:rsidR="007D4D61" w:rsidRPr="00EE3FF5">
          <w:rPr>
            <w:rFonts w:ascii="Times New Roman" w:hAnsi="Times New Roman"/>
            <w:sz w:val="24"/>
          </w:rPr>
          <w:t>)</w:t>
        </w:r>
        <w:r w:rsidR="00035388">
          <w:rPr>
            <w:rFonts w:ascii="Times New Roman" w:hAnsi="Times New Roman"/>
            <w:sz w:val="24"/>
          </w:rPr>
          <w:t xml:space="preserve">, </w:t>
        </w:r>
      </w:ins>
      <w:ins w:id="27" w:author="mq" w:date="2015-01-27T19:46:00Z">
        <w:r w:rsidR="00035388" w:rsidRPr="00847DE4">
          <w:rPr>
            <w:rFonts w:ascii="Times New Roman" w:hAnsi="Times New Roman"/>
            <w:sz w:val="24"/>
          </w:rPr>
          <w:t xml:space="preserve">demonstrating that type I error is well controlled at required </w:t>
        </w:r>
      </w:ins>
      <w:ins w:id="28" w:author="mq" w:date="2015-01-27T19:46:00Z">
        <w:r w:rsidR="00035388" w:rsidRPr="003F035E">
          <w:rPr>
            <w:rFonts w:ascii="Times New Roman" w:hAnsi="Times New Roman"/>
            <w:sz w:val="24"/>
          </w:rPr>
          <w:object w:dxaOrig="240" w:dyaOrig="220" w14:anchorId="0991E032">
            <v:shape id="_x0000_i1044" type="#_x0000_t75" style="width:12pt;height:11.25pt" o:ole="">
              <v:imagedata r:id="rId39" o:title=""/>
            </v:shape>
            <o:OLEObject Type="Embed" ProgID="Equation.DSMT4" ShapeID="_x0000_i1044" DrawAspect="Content" ObjectID="_1483893473" r:id="rId40"/>
          </w:object>
        </w:r>
        <w:r w:rsidR="00035388" w:rsidRPr="00847DE4">
          <w:rPr>
            <w:rFonts w:ascii="Times New Roman" w:hAnsi="Times New Roman"/>
            <w:sz w:val="24"/>
          </w:rPr>
          <w:t xml:space="preserve"> </w:t>
        </w:r>
        <w:r w:rsidR="00035388" w:rsidRPr="00847DE4">
          <w:rPr>
            <w:rFonts w:ascii="Times New Roman" w:hAnsi="Times New Roman"/>
            <w:sz w:val="24"/>
          </w:rPr>
          <w:t xml:space="preserve">level </w:t>
        </w:r>
        <w:r w:rsidR="00035388" w:rsidRPr="00847DE4">
          <w:rPr>
            <w:rFonts w:ascii="Times New Roman" w:hAnsi="Times New Roman"/>
            <w:sz w:val="24"/>
          </w:rPr>
          <w:lastRenderedPageBreak/>
          <w:t xml:space="preserve">of </w:t>
        </w:r>
      </w:ins>
      <w:ins w:id="29" w:author="mq" w:date="2015-01-27T19:46:00Z">
        <w:r w:rsidR="00035388" w:rsidRPr="003F035E">
          <w:rPr>
            <w:rFonts w:ascii="Times New Roman" w:hAnsi="Times New Roman"/>
            <w:sz w:val="24"/>
          </w:rPr>
          <w:object w:dxaOrig="940" w:dyaOrig="320" w14:anchorId="3C528953">
            <v:shape id="_x0000_i1045" type="#_x0000_t75" style="width:47.25pt;height:15.75pt" o:ole="">
              <v:imagedata r:id="rId41" o:title=""/>
            </v:shape>
            <o:OLEObject Type="Embed" ProgID="Equation.DSMT4" ShapeID="_x0000_i1045" DrawAspect="Content" ObjectID="_1483893474" r:id="rId42"/>
          </w:object>
        </w:r>
        <w:r w:rsidR="00035388" w:rsidRPr="00847DE4">
          <w:rPr>
            <w:rFonts w:ascii="Times New Roman" w:hAnsi="Times New Roman"/>
            <w:sz w:val="24"/>
          </w:rPr>
          <w:t xml:space="preserve"> </w:t>
        </w:r>
        <w:r w:rsidR="00035388" w:rsidRPr="00847DE4">
          <w:rPr>
            <w:rFonts w:ascii="Times New Roman" w:hAnsi="Times New Roman"/>
            <w:sz w:val="24"/>
          </w:rPr>
          <w:t>.</w:t>
        </w:r>
      </w:ins>
      <w:ins w:id="30" w:author="mq" w:date="2015-01-27T19:44:00Z">
        <w:r w:rsidR="00FD7625" w:rsidRPr="00EE3FF5">
          <w:rPr>
            <w:rFonts w:ascii="Times New Roman" w:hAnsi="Times New Roman"/>
            <w:sz w:val="24"/>
          </w:rPr>
          <w:t xml:space="preserve"> </w:t>
        </w:r>
      </w:ins>
      <w:ins w:id="31" w:author="Gao Wang" w:date="2015-01-14T15:26:00Z">
        <w:r w:rsidR="00925BCB">
          <w:rPr>
            <w:rFonts w:ascii="Times New Roman" w:hAnsi="Times New Roman"/>
            <w:sz w:val="24"/>
          </w:rPr>
          <w:t>Quantile-Quantile (QQ</w:t>
        </w:r>
        <w:r w:rsidR="0034658D">
          <w:rPr>
            <w:rFonts w:ascii="Times New Roman" w:hAnsi="Times New Roman"/>
            <w:sz w:val="24"/>
          </w:rPr>
          <w:t>) plots are generated to evaluate</w:t>
        </w:r>
        <w:r w:rsidR="00925BCB">
          <w:rPr>
            <w:rFonts w:ascii="Times New Roman" w:hAnsi="Times New Roman"/>
            <w:sz w:val="24"/>
          </w:rPr>
          <w:t xml:space="preserve"> </w:t>
        </w:r>
      </w:ins>
      <w:ins w:id="32" w:author="Gao Wang" w:date="2015-01-14T15:28:00Z">
        <w:r w:rsidR="00F2733D">
          <w:rPr>
            <w:rFonts w:ascii="Times New Roman" w:hAnsi="Times New Roman"/>
            <w:sz w:val="24"/>
          </w:rPr>
          <w:t xml:space="preserve">the </w:t>
        </w:r>
      </w:ins>
      <w:ins w:id="33" w:author="Gao Wang" w:date="2015-01-21T22:04:00Z">
        <w:r w:rsidR="0034658D">
          <w:rPr>
            <w:rFonts w:ascii="Times New Roman" w:hAnsi="Times New Roman"/>
            <w:sz w:val="24"/>
          </w:rPr>
          <w:t xml:space="preserve">null </w:t>
        </w:r>
      </w:ins>
      <w:ins w:id="34" w:author="Gao Wang" w:date="2015-01-14T15:28:00Z">
        <w:r w:rsidR="00F2733D">
          <w:rPr>
            <w:rFonts w:ascii="Times New Roman" w:hAnsi="Times New Roman"/>
            <w:sz w:val="24"/>
          </w:rPr>
          <w:t xml:space="preserve">distribution of </w:t>
        </w:r>
      </w:ins>
      <w:ins w:id="35" w:author="Gao Wang" w:date="2015-01-14T15:37:00Z">
        <w:r w:rsidR="00665759">
          <w:rPr>
            <w:rFonts w:ascii="Times New Roman" w:hAnsi="Times New Roman"/>
            <w:sz w:val="24"/>
          </w:rPr>
          <w:t xml:space="preserve">test statistic </w:t>
        </w:r>
      </w:ins>
      <w:del w:id="36" w:author="Gao Wang" w:date="2015-01-14T15:26:00Z">
        <w:r w:rsidR="008E5DE3" w:rsidDel="00925BCB">
          <w:rPr>
            <w:rFonts w:ascii="Times New Roman" w:hAnsi="Times New Roman"/>
            <w:sz w:val="24"/>
          </w:rPr>
          <w:delText>mates</w:delText>
        </w:r>
        <w:r w:rsidR="00006A31" w:rsidDel="00925BCB">
          <w:rPr>
            <w:rFonts w:ascii="Times New Roman" w:hAnsi="Times New Roman"/>
            <w:sz w:val="24"/>
          </w:rPr>
          <w:delText xml:space="preserve"> </w:delText>
        </w:r>
        <w:r w:rsidR="001841D4" w:rsidDel="00925BCB">
          <w:rPr>
            <w:rFonts w:ascii="Times New Roman" w:hAnsi="Times New Roman"/>
            <w:sz w:val="24"/>
          </w:rPr>
          <w:delText xml:space="preserve">are </w:delText>
        </w:r>
        <w:r w:rsidR="00046042" w:rsidDel="00925BCB">
          <w:rPr>
            <w:rFonts w:ascii="Times New Roman" w:hAnsi="Times New Roman"/>
            <w:sz w:val="24"/>
          </w:rPr>
          <w:delText>constantly</w:delText>
        </w:r>
        <w:r w:rsidR="001841D4" w:rsidDel="00925BCB">
          <w:rPr>
            <w:rFonts w:ascii="Times New Roman" w:hAnsi="Times New Roman"/>
            <w:sz w:val="24"/>
          </w:rPr>
          <w:delText xml:space="preserve"> zero </w:delText>
        </w:r>
        <w:r w:rsidR="008E5DE3" w:rsidDel="00925BCB">
          <w:rPr>
            <w:rFonts w:ascii="Times New Roman" w:hAnsi="Times New Roman"/>
            <w:sz w:val="24"/>
          </w:rPr>
          <w:delText xml:space="preserve">for all </w:delText>
        </w:r>
        <w:r w:rsidR="005276FA" w:rsidDel="00925BCB">
          <w:rPr>
            <w:rFonts w:ascii="Times New Roman" w:hAnsi="Times New Roman"/>
            <w:sz w:val="24"/>
          </w:rPr>
          <w:delText>test</w:delText>
        </w:r>
        <w:r w:rsidR="00E93EE9" w:rsidDel="00925BCB">
          <w:rPr>
            <w:rFonts w:ascii="Times New Roman" w:hAnsi="Times New Roman"/>
            <w:sz w:val="24"/>
          </w:rPr>
          <w:delText>ed</w:delText>
        </w:r>
        <w:r w:rsidR="005276FA" w:rsidDel="00925BCB">
          <w:rPr>
            <w:rFonts w:ascii="Times New Roman" w:hAnsi="Times New Roman"/>
            <w:sz w:val="24"/>
          </w:rPr>
          <w:delText xml:space="preserve"> </w:delText>
        </w:r>
        <w:r w:rsidR="008E5DE3" w:rsidDel="00925BCB">
          <w:rPr>
            <w:rFonts w:ascii="Times New Roman" w:hAnsi="Times New Roman"/>
            <w:sz w:val="24"/>
          </w:rPr>
          <w:delText>scenarios,</w:delText>
        </w:r>
      </w:del>
      <w:del w:id="37" w:author="Gao Wang" w:date="2015-01-14T15:37:00Z">
        <w:r w:rsidR="00006A31" w:rsidDel="00665759">
          <w:rPr>
            <w:rFonts w:ascii="Times New Roman" w:hAnsi="Times New Roman"/>
            <w:sz w:val="24"/>
          </w:rPr>
          <w:delText xml:space="preserve"> </w:delText>
        </w:r>
        <w:r w:rsidR="005276FA" w:rsidDel="00665759">
          <w:rPr>
            <w:rFonts w:ascii="Times New Roman" w:hAnsi="Times New Roman"/>
            <w:sz w:val="24"/>
          </w:rPr>
          <w:delText>assuring</w:delText>
        </w:r>
        <w:r w:rsidR="00006A31" w:rsidDel="00665759">
          <w:rPr>
            <w:rFonts w:ascii="Times New Roman" w:hAnsi="Times New Roman"/>
            <w:sz w:val="24"/>
          </w:rPr>
          <w:delText xml:space="preserve"> </w:delText>
        </w:r>
        <w:r w:rsidR="000B6E50" w:rsidDel="00665759">
          <w:rPr>
            <w:rFonts w:ascii="Times New Roman" w:hAnsi="Times New Roman"/>
            <w:sz w:val="24"/>
          </w:rPr>
          <w:delText xml:space="preserve">that </w:delText>
        </w:r>
        <w:r w:rsidR="00C454DF" w:rsidDel="00665759">
          <w:rPr>
            <w:rFonts w:ascii="Times New Roman" w:hAnsi="Times New Roman"/>
            <w:sz w:val="24"/>
          </w:rPr>
          <w:delText xml:space="preserve">there is </w:delText>
        </w:r>
        <w:r w:rsidR="00006A31" w:rsidDel="00665759">
          <w:rPr>
            <w:rFonts w:ascii="Times New Roman" w:hAnsi="Times New Roman"/>
            <w:sz w:val="24"/>
          </w:rPr>
          <w:delText>no in</w:delText>
        </w:r>
        <w:r w:rsidR="00495B33" w:rsidDel="00665759">
          <w:rPr>
            <w:rFonts w:ascii="Times New Roman" w:hAnsi="Times New Roman"/>
            <w:sz w:val="24"/>
          </w:rPr>
          <w:delText xml:space="preserve">flation of </w:delText>
        </w:r>
        <w:r w:rsidR="005276FA" w:rsidDel="00665759">
          <w:rPr>
            <w:rFonts w:ascii="Times New Roman" w:hAnsi="Times New Roman"/>
            <w:sz w:val="24"/>
          </w:rPr>
          <w:delText xml:space="preserve">the </w:delText>
        </w:r>
        <w:r w:rsidR="00495B33" w:rsidDel="00665759">
          <w:rPr>
            <w:rFonts w:ascii="Times New Roman" w:hAnsi="Times New Roman"/>
            <w:sz w:val="24"/>
          </w:rPr>
          <w:delText xml:space="preserve">test statistic </w:delText>
        </w:r>
      </w:del>
      <w:r w:rsidR="00495B33">
        <w:rPr>
          <w:rFonts w:ascii="Times New Roman" w:hAnsi="Times New Roman"/>
          <w:sz w:val="24"/>
        </w:rPr>
        <w:t xml:space="preserve">in the presence of within-gene </w:t>
      </w:r>
      <w:r w:rsidR="00006A31">
        <w:rPr>
          <w:rFonts w:ascii="Times New Roman" w:hAnsi="Times New Roman"/>
          <w:sz w:val="24"/>
        </w:rPr>
        <w:t>recombination</w:t>
      </w:r>
      <w:r w:rsidR="00495B33">
        <w:rPr>
          <w:rFonts w:ascii="Times New Roman" w:hAnsi="Times New Roman"/>
          <w:sz w:val="24"/>
        </w:rPr>
        <w:t>,</w:t>
      </w:r>
      <w:bookmarkStart w:id="38" w:name="_GoBack"/>
      <w:bookmarkEnd w:id="38"/>
      <w:r w:rsidR="00495B33">
        <w:rPr>
          <w:rFonts w:ascii="Times New Roman" w:hAnsi="Times New Roman"/>
          <w:sz w:val="24"/>
        </w:rPr>
        <w:t xml:space="preserve"> strong inter-marker LD </w:t>
      </w:r>
      <w:r w:rsidR="00DF4C4F">
        <w:rPr>
          <w:rFonts w:ascii="Times New Roman" w:hAnsi="Times New Roman"/>
          <w:sz w:val="24"/>
        </w:rPr>
        <w:t>and</w:t>
      </w:r>
      <w:r w:rsidR="00495B33">
        <w:rPr>
          <w:rFonts w:ascii="Times New Roman" w:hAnsi="Times New Roman"/>
          <w:sz w:val="24"/>
        </w:rPr>
        <w:t xml:space="preserve"> missing</w:t>
      </w:r>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ins w:id="39" w:author="Gao Wang" w:date="2015-01-14T15:37:00Z">
        <w:r w:rsidR="009F4C72">
          <w:rPr>
            <w:rFonts w:ascii="Times New Roman" w:hAnsi="Times New Roman"/>
            <w:sz w:val="24"/>
          </w:rPr>
          <w:t>; no sign of inflation is observed</w:t>
        </w:r>
      </w:ins>
      <w:ins w:id="40" w:author="Gao Wang" w:date="2015-01-21T22:06:00Z">
        <w:r w:rsidR="009F4C72">
          <w:rPr>
            <w:rFonts w:ascii="Times New Roman" w:hAnsi="Times New Roman"/>
            <w:sz w:val="24"/>
          </w:rPr>
          <w:t xml:space="preserve"> </w:t>
        </w:r>
      </w:ins>
      <w:ins w:id="41" w:author="Gao Wang" w:date="2015-01-14T15:40:00Z">
        <w:r w:rsidR="00B76545">
          <w:rPr>
            <w:rFonts w:ascii="Times New Roman" w:hAnsi="Times New Roman"/>
            <w:sz w:val="24"/>
          </w:rPr>
          <w:t>(Figure S1)</w:t>
        </w:r>
      </w:ins>
      <w:r w:rsidR="00006A31">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ins w:id="42" w:author="Gao Wang" w:date="2015-01-14T15:46:00Z">
        <w:r w:rsidR="001C2CC1">
          <w:rPr>
            <w:rFonts w:ascii="Times New Roman" w:hAnsi="Times New Roman"/>
            <w:sz w:val="24"/>
          </w:rPr>
          <w:t>1</w:t>
        </w:r>
      </w:ins>
      <w:del w:id="43" w:author="Gao Wang" w:date="2015-01-14T15:46:00Z">
        <w:r w:rsidR="00063DF2" w:rsidDel="001C2CC1">
          <w:rPr>
            <w:rFonts w:ascii="Times New Roman" w:hAnsi="Times New Roman"/>
            <w:sz w:val="24"/>
          </w:rPr>
          <w:delText>2</w:delText>
        </w:r>
      </w:del>
      <w:r w:rsidR="002D18AA" w:rsidRPr="00A67DE9">
        <w:rPr>
          <w:rFonts w:ascii="Times New Roman" w:hAnsi="Times New Roman"/>
          <w:sz w:val="24"/>
        </w:rPr>
        <w:t>)</w:t>
      </w:r>
      <w:r w:rsidR="002D18AA">
        <w:rPr>
          <w:rFonts w:ascii="Times New Roman" w:hAnsi="Times New Roman"/>
          <w:sz w:val="24"/>
        </w:rPr>
        <w:t xml:space="preserve">.   </w:t>
      </w:r>
    </w:p>
    <w:p w14:paraId="4C56F759" w14:textId="0E658779" w:rsidR="000758AF" w:rsidRDefault="000F7592" w:rsidP="007C1BB5">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14:paraId="3F5BE04F" w14:textId="77777777" w:rsidR="000758AF" w:rsidRDefault="00942701" w:rsidP="007C1BB5">
      <w:pPr>
        <w:spacing w:afterLines="280" w:after="672" w:line="480" w:lineRule="auto"/>
        <w:jc w:val="both"/>
        <w:rPr>
          <w:rFonts w:ascii="Times New Roman" w:hAnsi="Times New Roman"/>
          <w:b/>
          <w:sz w:val="24"/>
        </w:rPr>
      </w:pPr>
      <w:r>
        <w:rPr>
          <w:rFonts w:ascii="Times New Roman" w:hAnsi="Times New Roman"/>
          <w:b/>
          <w:sz w:val="24"/>
        </w:rPr>
        <w:t>Discussion</w:t>
      </w:r>
    </w:p>
    <w:p w14:paraId="42B8FB69" w14:textId="295246ED" w:rsidR="000758AF" w:rsidRDefault="00BF16FA" w:rsidP="007C1BB5">
      <w:pPr>
        <w:spacing w:afterLines="280" w:after="672" w:line="480" w:lineRule="auto"/>
        <w:jc w:val="both"/>
        <w:rPr>
          <w:rFonts w:ascii="Times New Roman" w:hAnsi="Times New Roman"/>
          <w:sz w:val="24"/>
        </w:rPr>
      </w:pPr>
      <w:r w:rsidRPr="00BF16FA">
        <w:rPr>
          <w:rFonts w:ascii="Times New Roman" w:hAnsi="Times New Roman"/>
          <w:sz w:val="24"/>
        </w:rPr>
        <w:lastRenderedPageBreak/>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BF4C3B">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BF4C3B">
        <w:rPr>
          <w:rFonts w:ascii="Times New Roman" w:hAnsi="Times New Roman"/>
          <w:sz w:val="24"/>
        </w:rPr>
        <w:fldChar w:fldCharType="separate"/>
      </w:r>
      <w:r w:rsidR="00624265" w:rsidRPr="00624265">
        <w:rPr>
          <w:rFonts w:ascii="Times New Roman" w:hAnsi="Times New Roman"/>
          <w:sz w:val="24"/>
          <w:szCs w:val="24"/>
          <w:vertAlign w:val="superscript"/>
        </w:rPr>
        <w:t>14</w:t>
      </w:r>
      <w:r w:rsidR="00BF4C3B">
        <w:rPr>
          <w:rFonts w:ascii="Times New Roman" w:hAnsi="Times New Roman"/>
          <w:sz w:val="24"/>
        </w:rPr>
        <w:fldChar w:fldCharType="end"/>
      </w:r>
      <w:r w:rsidRPr="00BF16FA">
        <w:rPr>
          <w:rFonts w:ascii="Times New Roman" w:hAnsi="Times New Roman"/>
          <w:sz w:val="24"/>
        </w:rPr>
        <w:t xml:space="preserve">. </w:t>
      </w:r>
      <w:r w:rsidR="00C131F6">
        <w:rPr>
          <w:rFonts w:ascii="Times New Roman" w:hAnsi="Times New Roman"/>
          <w:sz w:val="24"/>
        </w:rPr>
        <w:t xml:space="preserve"> </w:t>
      </w:r>
      <w:r w:rsidRPr="00BF16FA">
        <w:rPr>
          <w:rFonts w:ascii="Times New Roman" w:hAnsi="Times New Roman"/>
          <w:sz w:val="24"/>
        </w:rPr>
        <w:t xml:space="preserve">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w:t>
      </w:r>
      <w:r w:rsidR="00C131F6">
        <w:rPr>
          <w:rFonts w:ascii="Times New Roman" w:hAnsi="Times New Roman"/>
          <w:sz w:val="24"/>
        </w:rPr>
        <w:t xml:space="preserve"> </w:t>
      </w:r>
      <w:r w:rsidRPr="00BF16FA">
        <w:rPr>
          <w:rFonts w:ascii="Times New Roman" w:hAnsi="Times New Roman"/>
          <w:sz w:val="24"/>
        </w:rPr>
        <w:t>For some populations MAF information may not be available and frequencies estimated from founders have to be used.</w:t>
      </w:r>
      <w:r w:rsidR="00157690">
        <w:rPr>
          <w:rFonts w:ascii="Times New Roman" w:hAnsi="Times New Roman"/>
          <w:sz w:val="24"/>
        </w:rPr>
        <w:t xml:space="preserve"> </w:t>
      </w:r>
    </w:p>
    <w:p w14:paraId="4D91B446" w14:textId="3F80EB41" w:rsidR="00594716" w:rsidRDefault="00C10BB5" w:rsidP="007C1BB5">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00A458DF">
        <w:rPr>
          <w:rFonts w:ascii="Times New Roman" w:hAnsi="Times New Roman"/>
          <w:sz w:val="24"/>
        </w:rPr>
        <w:t>A</w:t>
      </w:r>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r w:rsidR="002B703F">
        <w:rPr>
          <w:rFonts w:ascii="Times New Roman" w:hAnsi="Times New Roman"/>
          <w:sz w:val="24"/>
        </w:rPr>
        <w:t xml:space="preserve">analyzed with </w:t>
      </w:r>
      <w:r w:rsidRPr="007708E6">
        <w:rPr>
          <w:rFonts w:ascii="Times New Roman" w:hAnsi="Times New Roman"/>
          <w:sz w:val="24"/>
        </w:rPr>
        <w:t>rare variants.</w:t>
      </w:r>
      <w:r w:rsidR="004E5726">
        <w:rPr>
          <w:rFonts w:ascii="Times New Roman" w:hAnsi="Times New Roman"/>
          <w:sz w:val="24"/>
        </w:rPr>
        <w:t xml:space="preserve"> Common variants can be in strong LD with variants in neighboring regions</w:t>
      </w:r>
      <w:r w:rsidR="002B703F">
        <w:rPr>
          <w:rFonts w:ascii="Times New Roman" w:hAnsi="Times New Roman"/>
          <w:sz w:val="24"/>
        </w:rPr>
        <w:t xml:space="preserve"> which may contain causal variants</w:t>
      </w:r>
      <w:r w:rsidR="00C246C7">
        <w:rPr>
          <w:rFonts w:ascii="Times New Roman" w:hAnsi="Times New Roman"/>
          <w:sz w:val="24"/>
        </w:rPr>
        <w:t>; thus</w:t>
      </w:r>
      <w:r w:rsidR="004E5726">
        <w:rPr>
          <w:rFonts w:ascii="Times New Roman" w:hAnsi="Times New Roman"/>
          <w:sz w:val="24"/>
        </w:rPr>
        <w:t xml:space="preserve"> when the CHP method is used to construct the region</w:t>
      </w:r>
      <w:r w:rsidR="002B703F">
        <w:rPr>
          <w:rFonts w:ascii="Times New Roman" w:hAnsi="Times New Roman"/>
          <w:sz w:val="24"/>
        </w:rPr>
        <w:t>al</w:t>
      </w:r>
      <w:r w:rsidR="004E5726">
        <w:rPr>
          <w:rFonts w:ascii="Times New Roman" w:hAnsi="Times New Roman"/>
          <w:sz w:val="24"/>
        </w:rPr>
        <w:t xml:space="preserve"> marker</w:t>
      </w:r>
      <w:r w:rsidR="002B703F">
        <w:rPr>
          <w:rFonts w:ascii="Times New Roman" w:hAnsi="Times New Roman"/>
          <w:sz w:val="24"/>
        </w:rPr>
        <w:t xml:space="preserve"> also using common variants</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w:t>
      </w:r>
      <w:r w:rsidR="00601DB3">
        <w:rPr>
          <w:rFonts w:ascii="Times New Roman" w:hAnsi="Times New Roman"/>
          <w:sz w:val="24"/>
        </w:rPr>
        <w:t>al</w:t>
      </w:r>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14:paraId="69BDC60E" w14:textId="2E49B7F3" w:rsidR="00594716" w:rsidRDefault="00056209" w:rsidP="007C1BB5">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r w:rsidR="00601DB3">
        <w:rPr>
          <w:rFonts w:ascii="Times New Roman" w:hAnsi="Times New Roman"/>
          <w:sz w:val="24"/>
        </w:rPr>
        <w:t xml:space="preserve"> and</w:t>
      </w:r>
      <w:r w:rsidR="00594716">
        <w:rPr>
          <w:rFonts w:ascii="Times New Roman" w:hAnsi="Times New Roman"/>
          <w:sz w:val="24"/>
        </w:rPr>
        <w:t xml:space="preserve"> splice site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w:t>
      </w:r>
      <w:r w:rsidR="00594716">
        <w:rPr>
          <w:rFonts w:ascii="Times New Roman" w:hAnsi="Times New Roman"/>
          <w:sz w:val="24"/>
        </w:rPr>
        <w:lastRenderedPageBreak/>
        <w:t xml:space="preserve">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14:paraId="11FBE926" w14:textId="2801220E" w:rsidR="000758AF" w:rsidRDefault="002D18AA" w:rsidP="007C1BB5">
      <w:pPr>
        <w:spacing w:afterLines="280" w:after="672"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it </w:t>
      </w:r>
      <w:r w:rsidR="00601DB3">
        <w:rPr>
          <w:rFonts w:ascii="Times New Roman" w:hAnsi="Times New Roman"/>
          <w:sz w:val="24"/>
        </w:rPr>
        <w:t xml:space="preserve">also </w:t>
      </w:r>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variants </w:t>
      </w:r>
      <w:r w:rsidR="00A47305">
        <w:rPr>
          <w:rFonts w:ascii="Times New Roman" w:hAnsi="Times New Roman"/>
          <w:sz w:val="24"/>
        </w:rPr>
        <w:t xml:space="preserve">in LD </w:t>
      </w:r>
      <w:r w:rsidR="00CE3B22">
        <w:rPr>
          <w:rFonts w:ascii="Times New Roman" w:hAnsi="Times New Roman"/>
          <w:sz w:val="24"/>
        </w:rPr>
        <w:t xml:space="preserve">can </w:t>
      </w:r>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BF4C3B">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BF4C3B">
        <w:rPr>
          <w:rFonts w:ascii="Times New Roman" w:hAnsi="Times New Roman"/>
          <w:sz w:val="24"/>
        </w:rPr>
        <w:fldChar w:fldCharType="separate"/>
      </w:r>
      <w:r w:rsidR="00CE3B22" w:rsidRPr="000369EA">
        <w:rPr>
          <w:rFonts w:ascii="Times New Roman" w:hAnsi="Times New Roman"/>
          <w:sz w:val="24"/>
          <w:szCs w:val="24"/>
          <w:vertAlign w:val="superscript"/>
        </w:rPr>
        <w:t>15,16</w:t>
      </w:r>
      <w:r w:rsidR="00BF4C3B">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17</w:t>
      </w:r>
      <w:r w:rsidR="00E52FA1">
        <w:rPr>
          <w:rFonts w:ascii="Times New Roman" w:hAnsi="Times New Roman"/>
          <w:sz w:val="24"/>
        </w:rPr>
        <w:fldChar w:fldCharType="end"/>
      </w:r>
      <w:r w:rsidR="00CE3B22">
        <w:rPr>
          <w:rFonts w:ascii="Times New Roman" w:hAnsi="Times New Roman"/>
          <w:sz w:val="24"/>
        </w:rPr>
        <w:t>, Vitesse</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18</w:t>
      </w:r>
      <w:r w:rsidR="00E52FA1">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14:paraId="082C1A2B" w14:textId="770B6D07" w:rsidR="000758AF" w:rsidRDefault="00524286"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43"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w:t>
      </w:r>
      <w:r w:rsidR="00BF16FA" w:rsidRPr="00BF16FA">
        <w:rPr>
          <w:rFonts w:ascii="Times New Roman" w:hAnsi="Times New Roman"/>
          <w:sz w:val="24"/>
        </w:rPr>
        <w:lastRenderedPageBreak/>
        <w:t xml:space="preserve">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1EF4A26A" w14:textId="77777777" w:rsidR="000758AF" w:rsidRDefault="00223ABA" w:rsidP="007C1BB5">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2A07783A" w14:textId="77777777" w:rsidR="000758AF" w:rsidRDefault="00DA2B4B" w:rsidP="007C1BB5">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7B9C19FD" w14:textId="77777777" w:rsidR="000758AF" w:rsidRDefault="00410402" w:rsidP="007C1BB5">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0B9F4DB3" w14:textId="77777777" w:rsidR="00321920" w:rsidRPr="00321920" w:rsidRDefault="00BF4C3B" w:rsidP="00321920">
      <w:pPr>
        <w:pStyle w:val="Bibliography"/>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14:paraId="79747B2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14:paraId="04A59EE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14:paraId="60CC9CC3"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14:paraId="24A6D72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14:paraId="2F99E09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14:paraId="3D49FBB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14:paraId="5A4B574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14:paraId="1761166B"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14:paraId="02A5BA8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14:paraId="2AF079B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14:paraId="667B6589"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14:paraId="26F31EC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14:paraId="57EF6764"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14:paraId="165E57A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14:paraId="3C55397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14:paraId="2C8B8DD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14:paraId="00CD164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14:paraId="7FC04060" w14:textId="56DC3280" w:rsidR="00410402" w:rsidRPr="00524286" w:rsidRDefault="00BF4C3B" w:rsidP="00C45340">
      <w:pPr>
        <w:spacing w:afterLines="280" w:after="672" w:line="480" w:lineRule="auto"/>
        <w:jc w:val="both"/>
        <w:rPr>
          <w:rFonts w:ascii="Times New Roman" w:hAnsi="Times New Roman"/>
          <w:sz w:val="24"/>
        </w:rPr>
      </w:pPr>
      <w:r>
        <w:rPr>
          <w:rFonts w:ascii="Times New Roman" w:hAnsi="Times New Roman"/>
          <w:sz w:val="24"/>
        </w:rPr>
        <w:fldChar w:fldCharType="end"/>
      </w:r>
    </w:p>
    <w:p w14:paraId="0D728DE0" w14:textId="77777777" w:rsidR="000758AF" w:rsidRDefault="00BE17B5" w:rsidP="007C1B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7EB98C8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2F514C85"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CF161C2"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2DBEA48B" w14:textId="5DCAAD21" w:rsidR="003F5A05" w:rsidRDefault="00F87BBA" w:rsidP="005323C3">
      <w:pPr>
        <w:tabs>
          <w:tab w:val="left" w:pos="7800"/>
        </w:tabs>
        <w:spacing w:after="0" w:line="480" w:lineRule="auto"/>
        <w:rPr>
          <w:rFonts w:ascii="Times New Roman" w:hAnsi="Times New Roman"/>
          <w:sz w:val="24"/>
          <w:szCs w:val="24"/>
        </w:rPr>
      </w:pPr>
      <w:r w:rsidRPr="00F87BBA">
        <w:rPr>
          <w:rFonts w:ascii="Times New Roman" w:hAnsi="Times New Roman"/>
          <w:sz w:val="24"/>
          <w:szCs w:val="24"/>
        </w:rPr>
        <w:lastRenderedPageBreak/>
        <w:t xml:space="preserve">NCBI ClinVar, </w:t>
      </w:r>
      <w:r w:rsidR="00E46978" w:rsidRPr="00E46978">
        <w:rPr>
          <w:rFonts w:ascii="Times New Roman" w:hAnsi="Times New Roman"/>
          <w:sz w:val="24"/>
          <w:szCs w:val="24"/>
        </w:rPr>
        <w:t>https://www.ncbi.nlm.nih.gov/clinvar</w:t>
      </w:r>
    </w:p>
    <w:p w14:paraId="33402858" w14:textId="3D4583DA" w:rsidR="00FF5B33" w:rsidRPr="004751AB" w:rsidRDefault="003F5A05" w:rsidP="005323C3">
      <w:pPr>
        <w:tabs>
          <w:tab w:val="left" w:pos="7800"/>
        </w:tabs>
        <w:spacing w:after="0" w:line="480" w:lineRule="auto"/>
        <w:rPr>
          <w:rFonts w:ascii="Times New Roman" w:hAnsi="Times New Roman"/>
          <w:b/>
          <w:sz w:val="24"/>
          <w:szCs w:val="24"/>
        </w:rPr>
      </w:pPr>
      <w:r>
        <w:rPr>
          <w:rFonts w:ascii="Times New Roman" w:hAnsi="Times New Roman"/>
          <w:sz w:val="24"/>
          <w:szCs w:val="24"/>
        </w:rPr>
        <w:t>Hapmap Recombination Rates and Hotspots databas</w:t>
      </w:r>
      <w:r w:rsidR="00400A7F">
        <w:rPr>
          <w:rFonts w:ascii="Times New Roman" w:hAnsi="Times New Roman"/>
          <w:sz w:val="24"/>
          <w:szCs w:val="24"/>
        </w:rPr>
        <w:t xml:space="preserve">e, </w:t>
      </w:r>
      <w:r w:rsidR="00E46978" w:rsidRPr="00E46978">
        <w:rPr>
          <w:rFonts w:ascii="Times New Roman" w:hAnsi="Times New Roman"/>
          <w:sz w:val="24"/>
          <w:szCs w:val="24"/>
        </w:rPr>
        <w:t xml:space="preserve">http://hapmap.ncbi.nlm.nih.gov/downloads/recombination/latest/rates/ </w:t>
      </w:r>
      <w:r w:rsidR="00872E08">
        <w:rPr>
          <w:rFonts w:ascii="Times New Roman" w:hAnsi="Times New Roman"/>
          <w:b/>
          <w:sz w:val="28"/>
          <w:szCs w:val="28"/>
        </w:rPr>
        <w:br w:type="page"/>
      </w:r>
    </w:p>
    <w:p w14:paraId="3F587BC7" w14:textId="77777777"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409169E5" w14:textId="3DFF22A7"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r w:rsidR="00A47305">
        <w:rPr>
          <w:rFonts w:ascii="Times New Roman" w:hAnsi="Times New Roman"/>
          <w:sz w:val="24"/>
          <w:szCs w:val="24"/>
        </w:rPr>
        <w:t>al</w:t>
      </w:r>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r w:rsidR="00A47305">
        <w:rPr>
          <w:rFonts w:ascii="Times New Roman" w:hAnsi="Times New Roman"/>
          <w:sz w:val="24"/>
          <w:szCs w:val="24"/>
        </w:rPr>
        <w:t xml:space="preserve">six </w:t>
      </w:r>
      <w:r w:rsidR="00BE1C1B">
        <w:rPr>
          <w:rFonts w:ascii="Times New Roman" w:hAnsi="Times New Roman"/>
          <w:sz w:val="24"/>
          <w:szCs w:val="24"/>
        </w:rPr>
        <w:t xml:space="preserve">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r w:rsidR="00A47305">
        <w:rPr>
          <w:rFonts w:ascii="Times New Roman" w:hAnsi="Times New Roman"/>
          <w:sz w:val="24"/>
          <w:szCs w:val="24"/>
        </w:rPr>
        <w:t>summed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w:t>
      </w:r>
      <w:r w:rsidR="00030431">
        <w:rPr>
          <w:rFonts w:ascii="Times New Roman" w:hAnsi="Times New Roman"/>
          <w:sz w:val="24"/>
          <w:szCs w:val="24"/>
        </w:rPr>
        <w:t>II:</w:t>
      </w:r>
      <w:r w:rsidR="009A6C47">
        <w:rPr>
          <w:rFonts w:ascii="Times New Roman" w:hAnsi="Times New Roman"/>
          <w:sz w:val="24"/>
          <w:szCs w:val="24"/>
        </w:rPr>
        <w:t xml:space="preserve">1 and </w:t>
      </w:r>
      <w:r w:rsidR="00030431">
        <w:rPr>
          <w:rFonts w:ascii="Times New Roman" w:hAnsi="Times New Roman"/>
          <w:sz w:val="24"/>
          <w:szCs w:val="24"/>
        </w:rPr>
        <w:t>II:</w:t>
      </w:r>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14:paraId="25983F8C" w14:textId="25B628AB" w:rsidR="001719DA" w:rsidRDefault="00CC032D" w:rsidP="00C45340">
      <w:pPr>
        <w:spacing w:afterLines="280" w:after="672"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 xml:space="preserve">recessive model </w:t>
      </w:r>
      <w:r w:rsidR="00A21474" w:rsidRPr="00F048FF">
        <w:rPr>
          <w:rFonts w:ascii="Times New Roman" w:hAnsi="Times New Roman"/>
          <w:sz w:val="24"/>
          <w:szCs w:val="24"/>
        </w:rPr>
        <w:lastRenderedPageBreak/>
        <w:t>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5CCAB107" w14:textId="77777777"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14:paraId="66F64B35" w14:textId="77777777" w:rsidR="00A72D0E" w:rsidRDefault="00A72D0E" w:rsidP="00C45340">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14:paraId="11B01F27" w14:textId="354224E7" w:rsidR="00695197" w:rsidRPr="00695197" w:rsidRDefault="00695197" w:rsidP="00C45340">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14:paraId="3E9B5A73" w14:textId="7777777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A7C80D"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3BB26CFF"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470C370C"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AA89AFB"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14E5DEE"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66766FFD"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68B338EA"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14:paraId="3007344F"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E9C7C4"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BA189C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2F30C1B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7C84322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7685674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76D8BA2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7369770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14:paraId="2DECCF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6E978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0B83EA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7479AD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10C7A7B"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6C39FF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69DDAEE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788C001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14:paraId="2FF9D7CE"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CECA1B"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482C5F1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949347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386FD3F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3524614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4FB5E9B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10D3FF6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14:paraId="2614B271"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D8B4F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AA2DA8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4A6E18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212712E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30DAC8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6EA03A6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13EDD51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14:paraId="33D8FD00"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0E5FC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597D677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3AF79BC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81FCD5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0715C8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69A819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70E247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14:paraId="5FADFFA7"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66EBBA6"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012190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FA58D2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D25E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335295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7FCF1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2739639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14:paraId="17D03C0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35902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EE8AE0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F69AF7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47D4F8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61E703"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44E80B3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1502645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14:paraId="798A94C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9B3A33"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0147AB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CB47D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333C24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33B0F2D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2660DBC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6CDD1C1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14:paraId="0C963FE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47AD05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069774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7B4BAD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13AAA8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62AC0E8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7DB6079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4B4E0EA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14:paraId="1C89CE5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1DF261"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46E86A4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5D42D79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685506CE"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20F2F5F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23D2B22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6508C56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14:paraId="7EF083E3"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BDDC3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27B5E015"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07623ECE"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F1008A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528C1C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079E408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5D1EBAC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14:paraId="135418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6C00979E"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6DC587D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4DF98EF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79EF3CD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9FD5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38191AD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36270E1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14:paraId="2F1CD7EB"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1C2A29DF" w14:textId="77777777"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18951061"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29A20DD7"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48F9B836" w14:textId="77777777"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00942638" w14:textId="77777777" w:rsidR="00A72D0E" w:rsidRPr="00836421" w:rsidRDefault="00A72D0E" w:rsidP="00C45340">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8242C" w14:textId="77777777" w:rsidR="0072311F" w:rsidRDefault="0072311F">
      <w:pPr>
        <w:spacing w:after="0" w:line="240" w:lineRule="auto"/>
      </w:pPr>
      <w:r>
        <w:separator/>
      </w:r>
    </w:p>
  </w:endnote>
  <w:endnote w:type="continuationSeparator" w:id="0">
    <w:p w14:paraId="11C722DD" w14:textId="77777777" w:rsidR="0072311F" w:rsidRDefault="007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47917" w14:textId="77777777" w:rsidR="0072311F" w:rsidRDefault="0072311F">
      <w:pPr>
        <w:spacing w:after="0" w:line="240" w:lineRule="auto"/>
      </w:pPr>
      <w:r>
        <w:separator/>
      </w:r>
    </w:p>
  </w:footnote>
  <w:footnote w:type="continuationSeparator" w:id="0">
    <w:p w14:paraId="110F1F97" w14:textId="77777777" w:rsidR="0072311F" w:rsidRDefault="00723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rson w15:author="mq">
    <w15:presenceInfo w15:providerId="None" w15:userId="m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575"/>
    <w:rsid w:val="00011D46"/>
    <w:rsid w:val="00011FFE"/>
    <w:rsid w:val="000127C9"/>
    <w:rsid w:val="000128E6"/>
    <w:rsid w:val="000128EF"/>
    <w:rsid w:val="00012C1F"/>
    <w:rsid w:val="00013F0C"/>
    <w:rsid w:val="000140DF"/>
    <w:rsid w:val="0001512B"/>
    <w:rsid w:val="00015180"/>
    <w:rsid w:val="0001522E"/>
    <w:rsid w:val="000170B7"/>
    <w:rsid w:val="000170D3"/>
    <w:rsid w:val="00017345"/>
    <w:rsid w:val="00017FA9"/>
    <w:rsid w:val="00020BF3"/>
    <w:rsid w:val="0002101A"/>
    <w:rsid w:val="00021C21"/>
    <w:rsid w:val="00021F2C"/>
    <w:rsid w:val="00022DF8"/>
    <w:rsid w:val="0002432C"/>
    <w:rsid w:val="000262B9"/>
    <w:rsid w:val="00027566"/>
    <w:rsid w:val="0003004A"/>
    <w:rsid w:val="00030431"/>
    <w:rsid w:val="00030D34"/>
    <w:rsid w:val="000312E8"/>
    <w:rsid w:val="000321D9"/>
    <w:rsid w:val="00032A0C"/>
    <w:rsid w:val="00033BB5"/>
    <w:rsid w:val="00033DA4"/>
    <w:rsid w:val="00034677"/>
    <w:rsid w:val="00034993"/>
    <w:rsid w:val="00034F82"/>
    <w:rsid w:val="00035388"/>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25A"/>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02B"/>
    <w:rsid w:val="0016487C"/>
    <w:rsid w:val="00164B6D"/>
    <w:rsid w:val="00164DC1"/>
    <w:rsid w:val="00165A56"/>
    <w:rsid w:val="00165E83"/>
    <w:rsid w:val="00167219"/>
    <w:rsid w:val="00170725"/>
    <w:rsid w:val="00170DB5"/>
    <w:rsid w:val="001714E9"/>
    <w:rsid w:val="001719DA"/>
    <w:rsid w:val="0017354C"/>
    <w:rsid w:val="00173A4A"/>
    <w:rsid w:val="00173A76"/>
    <w:rsid w:val="00175105"/>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2CC1"/>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0D05"/>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4BCE"/>
    <w:rsid w:val="002B5FFE"/>
    <w:rsid w:val="002B703F"/>
    <w:rsid w:val="002C01D0"/>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53E"/>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658D"/>
    <w:rsid w:val="00347268"/>
    <w:rsid w:val="00347866"/>
    <w:rsid w:val="003504AB"/>
    <w:rsid w:val="003504C0"/>
    <w:rsid w:val="00350BCC"/>
    <w:rsid w:val="00351E2B"/>
    <w:rsid w:val="00352406"/>
    <w:rsid w:val="00352794"/>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035E"/>
    <w:rsid w:val="003F179F"/>
    <w:rsid w:val="003F3016"/>
    <w:rsid w:val="003F5249"/>
    <w:rsid w:val="003F5A05"/>
    <w:rsid w:val="003F5DD0"/>
    <w:rsid w:val="003F6731"/>
    <w:rsid w:val="00400A7F"/>
    <w:rsid w:val="00400C86"/>
    <w:rsid w:val="00401C70"/>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8F"/>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B93"/>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3B7"/>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176B"/>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377DE"/>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65759"/>
    <w:rsid w:val="0067376B"/>
    <w:rsid w:val="0067435B"/>
    <w:rsid w:val="00675780"/>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4DB"/>
    <w:rsid w:val="007025B4"/>
    <w:rsid w:val="0070380E"/>
    <w:rsid w:val="00703CAC"/>
    <w:rsid w:val="00704FE1"/>
    <w:rsid w:val="00705169"/>
    <w:rsid w:val="00707DB8"/>
    <w:rsid w:val="00711FF0"/>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463E"/>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5AD8"/>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D4D61"/>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66F"/>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47DE4"/>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3706"/>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A83"/>
    <w:rsid w:val="00912CED"/>
    <w:rsid w:val="00913563"/>
    <w:rsid w:val="00914B5B"/>
    <w:rsid w:val="00914ED3"/>
    <w:rsid w:val="00914FF6"/>
    <w:rsid w:val="009156E9"/>
    <w:rsid w:val="00916BEE"/>
    <w:rsid w:val="00917770"/>
    <w:rsid w:val="00917F11"/>
    <w:rsid w:val="00917FA8"/>
    <w:rsid w:val="00921234"/>
    <w:rsid w:val="00924537"/>
    <w:rsid w:val="00925BCB"/>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737"/>
    <w:rsid w:val="00954AA7"/>
    <w:rsid w:val="00954FB2"/>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75A"/>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4C72"/>
    <w:rsid w:val="009F5106"/>
    <w:rsid w:val="009F5638"/>
    <w:rsid w:val="009F5998"/>
    <w:rsid w:val="009F6E13"/>
    <w:rsid w:val="009F6F5F"/>
    <w:rsid w:val="00A00008"/>
    <w:rsid w:val="00A0001D"/>
    <w:rsid w:val="00A01017"/>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867"/>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2F7B"/>
    <w:rsid w:val="00AE320D"/>
    <w:rsid w:val="00AE33DD"/>
    <w:rsid w:val="00AE35E0"/>
    <w:rsid w:val="00AE4340"/>
    <w:rsid w:val="00AE48BD"/>
    <w:rsid w:val="00AE5456"/>
    <w:rsid w:val="00AE5D08"/>
    <w:rsid w:val="00AE6CAF"/>
    <w:rsid w:val="00AE6D05"/>
    <w:rsid w:val="00AE6DDD"/>
    <w:rsid w:val="00AE6F70"/>
    <w:rsid w:val="00AE70A4"/>
    <w:rsid w:val="00AF1480"/>
    <w:rsid w:val="00AF18A1"/>
    <w:rsid w:val="00AF247F"/>
    <w:rsid w:val="00AF3CE6"/>
    <w:rsid w:val="00AF4289"/>
    <w:rsid w:val="00AF4E3C"/>
    <w:rsid w:val="00AF5791"/>
    <w:rsid w:val="00AF5D23"/>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34C6"/>
    <w:rsid w:val="00B4447C"/>
    <w:rsid w:val="00B44A4B"/>
    <w:rsid w:val="00B459B8"/>
    <w:rsid w:val="00B461CC"/>
    <w:rsid w:val="00B4690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AF5"/>
    <w:rsid w:val="00B74F66"/>
    <w:rsid w:val="00B76545"/>
    <w:rsid w:val="00B80CEE"/>
    <w:rsid w:val="00B81189"/>
    <w:rsid w:val="00B812DF"/>
    <w:rsid w:val="00B8142D"/>
    <w:rsid w:val="00B81D1A"/>
    <w:rsid w:val="00B83162"/>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A66"/>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27E0"/>
    <w:rsid w:val="00D357BA"/>
    <w:rsid w:val="00D364FA"/>
    <w:rsid w:val="00D3688B"/>
    <w:rsid w:val="00D36E3C"/>
    <w:rsid w:val="00D37303"/>
    <w:rsid w:val="00D378D4"/>
    <w:rsid w:val="00D37C3B"/>
    <w:rsid w:val="00D37FD8"/>
    <w:rsid w:val="00D40FEA"/>
    <w:rsid w:val="00D43A7E"/>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4C4F"/>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6978"/>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49DF"/>
    <w:rsid w:val="00EB5A0D"/>
    <w:rsid w:val="00EB68C2"/>
    <w:rsid w:val="00EB7063"/>
    <w:rsid w:val="00EB75F8"/>
    <w:rsid w:val="00EC05FD"/>
    <w:rsid w:val="00EC141A"/>
    <w:rsid w:val="00EC2603"/>
    <w:rsid w:val="00EC2E88"/>
    <w:rsid w:val="00EC2EC9"/>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3FF5"/>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1D9B"/>
    <w:rsid w:val="00F1218D"/>
    <w:rsid w:val="00F12926"/>
    <w:rsid w:val="00F12BAD"/>
    <w:rsid w:val="00F13B3F"/>
    <w:rsid w:val="00F14459"/>
    <w:rsid w:val="00F14AAA"/>
    <w:rsid w:val="00F14C5F"/>
    <w:rsid w:val="00F171EF"/>
    <w:rsid w:val="00F173C3"/>
    <w:rsid w:val="00F17D28"/>
    <w:rsid w:val="00F20465"/>
    <w:rsid w:val="00F231A7"/>
    <w:rsid w:val="00F23A75"/>
    <w:rsid w:val="00F2429E"/>
    <w:rsid w:val="00F2488F"/>
    <w:rsid w:val="00F24C55"/>
    <w:rsid w:val="00F25438"/>
    <w:rsid w:val="00F25AB5"/>
    <w:rsid w:val="00F2733D"/>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3272"/>
    <w:rsid w:val="00F7457D"/>
    <w:rsid w:val="00F75153"/>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47"/>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D7625"/>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oNotEmbedSmartTags/>
  <w:decimalSymbol w:val="."/>
  <w:listSeparator w:val=","/>
  <w14:docId w14:val="03F3EBCA"/>
  <w15:docId w15:val="{0CD89630-1927-4727-9CA1-D5E09D5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leal@bcm.edu"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yperlink" Target="http://bioinformatics.org/seq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B1A4-BC3D-41C2-B770-017FF6B4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Pages>
  <Words>9544</Words>
  <Characters>54405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63822</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 Wang</dc:creator>
  <cp:lastModifiedBy>mq</cp:lastModifiedBy>
  <cp:revision>220</cp:revision>
  <cp:lastPrinted>2014-11-07T18:18:00Z</cp:lastPrinted>
  <dcterms:created xsi:type="dcterms:W3CDTF">2014-11-07T18:02:00Z</dcterms:created>
  <dcterms:modified xsi:type="dcterms:W3CDTF">2015-01-28T03:48:00Z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