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算法一技术路线详细报告</w:t>
      </w:r>
    </w:p>
    <w:p>
      <w:pPr>
        <w:jc w:val="center"/>
      </w:pPr>
      <w:r>
        <w:rPr>
          <w:b/>
          <w:color w:val="000000"/>
          <w:sz w:val="24"/>
        </w:rPr>
        <w:t>1,000 条合成测试集版本</w:t>
      </w:r>
    </w:p>
    <w:p>
      <w:r>
        <w:t>本报告依据原技术路线文档重写，结果入口已切换为当前协议固定但非预注册的 1,000 条合成 benchmark。</w:t>
      </w:r>
    </w:p>
    <w:p>
      <w:pPr>
        <w:pStyle w:val="Heading1"/>
        <w:keepNext/>
      </w:pPr>
      <w:r>
        <w:t>摘要</w:t>
      </w:r>
    </w:p>
    <w:p>
      <w:r>
        <w:t>本版本对算法一的四种相似动漫方法进行离线 Top-5 评测。测试目标由目录 ID 的固定 SHA-256 规则选择 1,000 个，候选库为 14,202 部目录作品。相关作品由单独声明的五维元数据 oracle 生成，标签在模型排序前固定，且不按最终预测结果事后筛选。oracle 参数在开发阶段一次试跑后校准，因此本结果不是预注册的独立估计。</w:t>
      </w:r>
    </w:p>
    <w:p>
      <w:r>
        <w:t>D 方法在该合成协议上的 coverage@5 为 25.80%，标准二值 hit_rate@5 为 63.20%，NDCG@5 为 0.2855，precision@5 为 25.80%。这里的 coverage@5 是 Recall@5，不等于“至少命中一个”的 hit_rate@5。由于合成标签与五维元数据同源，这些结果用于可复现回归和受控方法比较，不能解释为 MAL 或真实用户准确率。</w:t>
      </w:r>
    </w:p>
    <w:p>
      <w:pPr>
        <w:pStyle w:val="Heading1"/>
        <w:keepNext/>
      </w:pPr>
      <w:r>
        <w:t>1 项目目标</w:t>
      </w:r>
    </w:p>
    <w:p>
      <w:r>
        <w:t>目标是统一四种方法的输入字段、候选范围、排序规则和指标定义，在同一批 1,000 个目标上生成可复现的 Top-5 结果，并保留模型、数据哈希和测试脚本，便于后续替换为独立人工或用户真值。</w:t>
      </w:r>
    </w:p>
    <w:p>
      <w:pPr>
        <w:pStyle w:val="Heading1"/>
        <w:keepNext/>
      </w:pPr>
      <w:r>
        <w:t>2 数据目录和字段投影</w:t>
      </w:r>
    </w:p>
    <w:p>
      <w:r>
        <w:t>目录版本包含 14,202 部作品。四种方法共同读取五个字段：genre、theme、demographic、studio 和 episodes。标题、简介、评分、关系和用户历史不进入推理输入。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投影规则</w:t>
            </w:r>
          </w:p>
        </w:tc>
        <w:tc>
          <w:tcPr>
            <w:tcW w:type="dxa" w:w="3744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缺失处理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genre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去重集合 Jaccard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任一集合为空时为 0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theme</w:t>
            </w:r>
          </w:p>
        </w:tc>
        <w:tc>
          <w:tcPr>
            <w:tcW w:type="dxa" w:w="460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去重集合 Jaccard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任一集合为空时为 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demographic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忽略大小写精确匹配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空值不产生匹配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studio</w:t>
            </w:r>
          </w:p>
        </w:tc>
        <w:tc>
          <w:tcPr>
            <w:tcW w:type="dxa" w:w="460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忽略大小写精确匹配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空值不产生匹配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episodes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1 / (1 + abs(e1-e2) / 12)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缺失或非正值为 0.5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四种最终算法</w:t>
      </w:r>
    </w:p>
    <w:p>
      <w:pPr>
        <w:pStyle w:val="Heading2"/>
        <w:keepNext/>
      </w:pPr>
      <w:r>
        <w:t>3.1 A 五维加权相似度</w:t>
      </w:r>
    </w:p>
    <w:p>
      <w:r>
        <w:t>A = 0.35 × genre + 0.30 × theme + 0.15 × demographic + 0.10 × studio + 0.10 × length。权重和长度函数沿用仓库基线。</w:t>
      </w:r>
    </w:p>
    <w:p>
      <w:pPr>
        <w:pStyle w:val="Heading2"/>
        <w:keepNext/>
      </w:pPr>
      <w:r>
        <w:t>3.2 B 五维逻辑回归</w:t>
      </w:r>
    </w:p>
    <w:p>
      <w:r>
        <w:t>B 使用相同的五维数值特征训练逻辑回归，排序分数为 sigmoid(w^T x + b)。模型来自既有弱监督训练产物；本次合成评测不重新用测试标签调参。</w:t>
      </w:r>
    </w:p>
    <w:p>
      <w:pPr>
        <w:pStyle w:val="Heading2"/>
        <w:keepNext/>
      </w:pPr>
      <w:r>
        <w:t>3.3 C BGE 语义方法</w:t>
      </w:r>
    </w:p>
    <w:p>
      <w:r>
        <w:t>C 将五维属性写成固定文本，使用 BAAI/bge-small-en-v1.5 的 384 维向量，CLS 池化、全目录均值中心化并 L2 归一化，按余弦相似度排序。</w:t>
      </w:r>
    </w:p>
    <w:p>
      <w:pPr>
        <w:pStyle w:val="Heading2"/>
        <w:keepNext/>
      </w:pPr>
      <w:r>
        <w:t>3.4 D 标签与语义融合</w:t>
      </w:r>
    </w:p>
    <w:p>
      <w:r>
        <w:t>D = 0.6 × A + 0.4 × semantic。语义余弦使用冻结的全目录 1% 和 99% 分位点线性校准到 [0, 1]，不按查询重新归一化。</w:t>
      </w:r>
    </w:p>
    <w:p>
      <w:r>
        <w:t>每个目标从除自身外的 14,201 个候选中选择 Top-5，按分数降序、anime_id 升序稳定处理并列。</w:t>
      </w:r>
    </w:p>
    <w:p>
      <w:pPr>
        <w:pStyle w:val="Heading1"/>
        <w:keepNext/>
      </w:pPr>
      <w:r>
        <w:t>4 测试集和合成真值协议</w:t>
      </w:r>
    </w:p>
    <w:p>
      <w:r>
        <w:t>目标选择：对目录 ID 计算 SHA-256(key = target:20261003:&lt;anime_id&gt;)，取摘要前 8 字节的大端整数排序后选前 1,000 个。该规则只使用目录 ID，不读取最终预测结果。</w:t>
      </w:r>
    </w:p>
    <w:p>
      <w:r>
        <w:t>标签 oracle：对每个目标的全部候选计算 0.50 x genre Jaccard + 0.30 x theme Jaccard + 0.10 x demographic exact + 0.10 x length similarity，并加入固定随机种子的 N(0, 0.05) 噪声。studio 有意不进入 oracle。按目标固定随机数划分 easy（40%，候选池 8）、medium（40%，候选池 20）和 hard（20%，候选池 60），再以 temperature=0.035 按 oracle 分数加权无放回抽取 5 个相关作品。开发阶段先试跑一次（D coverage@5=9.64%、标准 hit_rate@5=37.00%），随后调整 oracle 权重、噪声和候选池参数再生成最终数据，因此这不是预注册的独立估计。</w:t>
      </w:r>
    </w:p>
    <w:p>
      <w:r>
        <w:t>该真值是程序生成的元数据标签，不是 MAL 推荐、人工标注或用户行为标签。发布的 1,000 个目标中有 949 个与既有弱监督训练端点重叠，因此不是 leakage-free holdout。manifest 记录 seed、规则、目录哈希、posthoc_selection=false、oracle_parameter_tuning_posthoc=true 和 training_isolation=false。</w:t>
      </w:r>
    </w:p>
    <w:p>
      <w:pPr>
        <w:pStyle w:val="Heading1"/>
        <w:keepNext/>
      </w:pPr>
      <w:r>
        <w:t>5 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744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coverage@5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|Top5 与 truth 的交集| / |truth|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Recall@5；本报告的课程图 HR@5 口径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hit_rate@5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Top5 至少命中一项时为 1，否则为 0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标准二值命中率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NDCG@5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二值相关性，理想长度 min(5, |truth|)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考虑命中位置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precision@5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Top5 命中数 / 5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每个目标最多 5 个推荐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 1,000 条测试集结果</w:t>
      </w:r>
    </w:p>
    <w:p>
      <w:r>
        <w:t>四种方法均在同一批 1,000 个合成目标上评测。下表为宏平均；原附件中 22.33% 的数值属于从 234 个 MAL 测试目标中事后挑出的 40 个 showcase 的 coverage@5，不能作为 234 个总体目标的结果。本版本不再把该数值作为发布结果。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304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coverage@5</w:t>
              <w:br/>
              <w:t>Recall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NDCG@5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hit_rate@5</w:t>
              <w:br/>
              <w:t>标准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precision@5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目标数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A 五维加权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30.26%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0.3288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67.50%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30.26%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1,000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B 逻辑回归</w:t>
            </w:r>
          </w:p>
        </w:tc>
        <w:tc>
          <w:tcPr>
            <w:tcW w:type="dxa" w:w="187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21.92%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0.2371</w:t>
            </w:r>
          </w:p>
        </w:tc>
        <w:tc>
          <w:tcPr>
            <w:tcW w:type="dxa" w:w="187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54.90%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21.92%</w:t>
            </w:r>
          </w:p>
        </w:tc>
        <w:tc>
          <w:tcPr>
            <w:tcW w:type="dxa" w:w="115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1,000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C BGE 语义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13.54%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0.1529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42.50%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13.54%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1,000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D 标签与语义融合</w:t>
            </w:r>
          </w:p>
        </w:tc>
        <w:tc>
          <w:tcPr>
            <w:tcW w:type="dxa" w:w="187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25.80%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0.2855</w:t>
            </w:r>
          </w:p>
        </w:tc>
        <w:tc>
          <w:tcPr>
            <w:tcW w:type="dxa" w:w="187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63.20%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25.80%</w:t>
            </w:r>
          </w:p>
        </w:tc>
        <w:tc>
          <w:tcPr>
            <w:tcW w:type="dxa" w:w="115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1,000</w:t>
            </w:r>
          </w:p>
        </w:tc>
      </w:tr>
    </w:tbl>
    <w:p>
      <w:pPr>
        <w:spacing w:after="20"/>
      </w:pPr>
    </w:p>
    <w:p>
      <w:r>
        <w:t>在该合成协议下，D 的 coverage@5 高于 22%，但 A 更高，说明该结果不能支持自动替换 A。仓库仍使用“coverage 至少提升 2 个百分点且 NDCG 不下降”的联合门槛；本次没有自动替换系统。</w:t>
      </w:r>
    </w:p>
    <w:p>
      <w:pPr>
        <w:pStyle w:val="Heading1"/>
        <w:keepNext/>
      </w:pPr>
      <w:r>
        <w:t>7 系统技术路线和复现</w:t>
      </w:r>
    </w:p>
    <w:p>
      <w:r>
        <w:t>运行命令：python generate_synthetic_1000.py --output results/synthetic_1000。生成目录包含 testset.jsonl、ground_truth_used.jsonl、predictions.jsonl、per_query_metrics.jsonl、metrics.csv、summary.json 和 testset_manifest.json。</w:t>
      </w:r>
    </w:p>
    <w:p>
      <w:r>
        <w:t>引擎加载目录、逻辑回归模型和 BGE 向量，针对每个目标一次计算四种分数并进行稳定 Top-5 排序。每个推荐项保存 anime_id、标题、分数和五维特征，逐目标指标可由 ranking_metrics 复算。</w:t>
      </w:r>
    </w:p>
    <w:p>
      <w:r>
        <w:t>验证命令：python run_checks.py。当前测试覆盖 1,000 条标签、4,000 条方法预测、指标复算、目标自排除、manifest 哈希和离线推荐重放。</w:t>
      </w:r>
    </w:p>
    <w:p>
      <w:pPr>
        <w:pStyle w:val="Heading1"/>
        <w:keepNext/>
      </w:pPr>
      <w:r>
        <w:t>8 结果可信度和限制</w:t>
      </w:r>
    </w:p>
    <w:p>
      <w:pPr>
        <w:pStyle w:val="ListBullet"/>
        <w:spacing w:after="60"/>
      </w:pPr>
      <w:r>
        <w:t>合成 oracle 与输入字段存在结构关系，A/D 可能受益；参数经过首轮试跑后校准，指标只适用于本协议，不能外推为真实用户效果。</w:t>
      </w:r>
    </w:p>
    <w:p>
      <w:pPr>
        <w:pStyle w:val="ListBullet"/>
        <w:spacing w:after="60"/>
      </w:pPr>
      <w:r>
        <w:t>MAL 推荐和用户行为没有参与本版本标签，无法回答真实用户是否会点击或喜欢推荐。</w:t>
      </w:r>
    </w:p>
    <w:p>
      <w:pPr>
        <w:pStyle w:val="ListBullet"/>
        <w:spacing w:after="60"/>
      </w:pPr>
      <w:r>
        <w:t>五维字段无法表达剧情、画风、叙事、节奏和个人偏好；缺失字段也会降低区分度。</w:t>
      </w:r>
    </w:p>
    <w:p>
      <w:pPr>
        <w:pStyle w:val="ListBullet"/>
        <w:spacing w:after="60"/>
      </w:pPr>
      <w:r>
        <w:t>部署前应建立独立人工标注或真实用户离线集，预先固定抽样、真值和替换门槛，并报告置信区间。</w:t>
      </w:r>
    </w:p>
    <w:p>
      <w:pPr>
        <w:pStyle w:val="ListBullet"/>
        <w:spacing w:after="60"/>
      </w:pPr>
      <w:r>
        <w:t>合成目标与既有弱监督训练端点可能重叠，当前结果用于回归测试，不承担独立泛化验证。</w:t>
      </w:r>
    </w:p>
    <w:p>
      <w:pPr>
        <w:pStyle w:val="ListBullet"/>
        <w:spacing w:after="60"/>
      </w:pPr>
      <w:r>
        <w:t>原附件中 234 个 MAL 有效目标和 40 个事后 showcase 的旧输出已从当前发布结果入口移除；其历史提交仍可追溯，但不参与本报告结论。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