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880" w:after="360"/>
        <w:jc w:val="center"/>
      </w:pPr>
      <w:r>
        <w:rPr>
          <w:rFonts w:ascii="Calibri" w:hAnsi="Calibri" w:eastAsia="Microsoft YaHei"/>
          <w:b/>
          <w:color w:val="2E74B5"/>
          <w:sz w:val="18"/>
        </w:rPr>
        <w:t>INTELLIGENT INDUSTRIAL ALARM · VALIDATION BRIEF</w:t>
      </w:r>
    </w:p>
    <w:p>
      <w:pPr>
        <w:keepNext/>
        <w:spacing w:after="260"/>
        <w:jc w:val="center"/>
      </w:pPr>
      <w:r>
        <w:rPr>
          <w:rFonts w:ascii="Calibri" w:hAnsi="Calibri" w:eastAsia="Microsoft YaHei"/>
          <w:b/>
          <w:color w:val="17365D"/>
          <w:sz w:val="56"/>
        </w:rPr>
        <w:t>IIA Benchmark 单变量与多变量报警验证、分布分析及适应性改进报告</w:t>
      </w:r>
    </w:p>
    <w:p>
      <w:pPr>
        <w:spacing w:after="360"/>
        <w:jc w:val="center"/>
      </w:pPr>
      <w:r>
        <w:rPr>
          <w:rFonts w:ascii="Calibri" w:hAnsi="Calibri" w:eastAsia="Microsoft YaHei"/>
          <w:color w:val="2E74B5"/>
          <w:sz w:val="18"/>
        </w:rPr>
        <w:t>━━━━━━━━━━━━━━━━━━</w:t>
      </w:r>
    </w:p>
    <w:p>
      <w:pPr>
        <w:spacing w:after="100"/>
        <w:jc w:val="center"/>
      </w:pPr>
      <w:r>
        <w:rPr>
          <w:rFonts w:ascii="Calibri" w:hAnsi="Calibri" w:eastAsia="Microsoft YaHei"/>
          <w:b/>
          <w:sz w:val="21"/>
        </w:rPr>
        <w:t>报告日期：</w:t>
      </w:r>
      <w:r>
        <w:rPr>
          <w:rFonts w:ascii="Calibri" w:hAnsi="Calibri" w:eastAsia="Microsoft YaHei"/>
          <w:sz w:val="21"/>
        </w:rPr>
        <w:t xml:space="preserve"> 2026-09-03</w:t>
      </w:r>
    </w:p>
    <w:p>
      <w:pPr>
        <w:spacing w:after="100"/>
        <w:jc w:val="center"/>
      </w:pPr>
      <w:r>
        <w:rPr>
          <w:rFonts w:ascii="Calibri" w:hAnsi="Calibri" w:eastAsia="Microsoft YaHei"/>
          <w:b/>
          <w:sz w:val="21"/>
        </w:rPr>
        <w:t>项目仓库：</w:t>
      </w:r>
      <w:r>
        <w:rPr>
          <w:rFonts w:ascii="Calibri" w:hAnsi="Calibri" w:eastAsia="Microsoft YaHei"/>
          <w:sz w:val="21"/>
        </w:rPr>
        <w:t xml:space="preserve"> https://github.com/gaoxingkele/IIA_benchmark</w:t>
      </w:r>
    </w:p>
    <w:p>
      <w:pPr>
        <w:spacing w:after="100"/>
        <w:jc w:val="center"/>
      </w:pPr>
      <w:r>
        <w:rPr>
          <w:rFonts w:ascii="Calibri" w:hAnsi="Calibri" w:eastAsia="Microsoft YaHei"/>
          <w:b/>
          <w:sz w:val="21"/>
        </w:rPr>
        <w:t>验证范围：</w:t>
      </w:r>
      <w:r>
        <w:rPr>
          <w:rFonts w:ascii="Calibri" w:hAnsi="Calibri" w:eastAsia="Microsoft YaHei"/>
          <w:sz w:val="21"/>
        </w:rPr>
        <w:t xml:space="preserve"> 书籍 Chapter 2 单变量报警、Chapter 3 多变量报警、经典基线及分布适配层</w:t>
      </w:r>
    </w:p>
    <w:p>
      <w:pPr>
        <w:spacing w:after="100"/>
        <w:jc w:val="center"/>
      </w:pPr>
      <w:r>
        <w:rPr>
          <w:rFonts w:ascii="Calibri" w:hAnsi="Calibri" w:eastAsia="Microsoft YaHei"/>
          <w:b/>
          <w:sz w:val="21"/>
        </w:rPr>
        <w:t>证据边界：</w:t>
      </w:r>
      <w:r>
        <w:rPr>
          <w:rFonts w:ascii="Calibri" w:hAnsi="Calibri" w:eastAsia="Microsoft YaHei"/>
          <w:sz w:val="21"/>
        </w:rPr>
        <w:t xml:space="preserve"> 真实公开数据上的工程迁移验证（M2/P1）与书籍公式/命名条目验证；不将合成 smoke 或代理数据结果表述为论文原分数复现</w:t>
      </w:r>
    </w:p>
    <w:tbl>
      <w:tblPr>
        <w:tblW w:type="dxa" w:w="7600"/>
        <w:jc w:val="center"/>
        <w:tblLayout w:type="fixed"/>
        <w:tblLook w:firstColumn="1" w:firstRow="1" w:lastColumn="0" w:lastRow="0" w:noHBand="0" w:noVBand="1" w:val="04A0"/>
        <w:tblInd w:w="220" w:type="dxa"/>
      </w:tblPr>
      <w:tblGrid>
        <w:gridCol w:w="7600"/>
      </w:tblGrid>
      <w:tr>
        <w:trPr>
          <w:tblHeader w:val="true"/>
        </w:trPr>
        <w:tc>
          <w:tcPr>
            <w:tcW w:type="dxa" w:w="7600"/>
            <w:shd w:fill="DDEBF7"/>
            <w:tcMar>
              <w:top w:w="160" w:type="dxa"/>
              <w:start w:w="220" w:type="dxa"/>
              <w:bottom w:w="160" w:type="dxa"/>
              <w:end w:w="2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1"/>
              </w:rPr>
              <w:t>结论导向：适配层可以降低部分数据集的阈值错配，但不能替代工况建模、动态残差与显式拒绝。</w:t>
            </w:r>
          </w:p>
        </w:tc>
      </w:tr>
    </w:tbl>
    <w:p>
      <w:pPr>
        <w:spacing w:before="280"/>
        <w:jc w:val="center"/>
      </w:pPr>
      <w:r>
        <w:rPr>
          <w:rFonts w:ascii="Calibri" w:hAnsi="Calibri" w:eastAsia="Microsoft YaHei"/>
          <w:color w:val="667085"/>
          <w:sz w:val="19"/>
        </w:rPr>
        <w:t>真实公开数据工程迁移验证 · 三数据集 · 三随机种子 · 点级/事件级/不确定性联合报告</w:t>
      </w:r>
    </w:p>
    <w:p>
      <w:r>
        <w:br w:type="page"/>
      </w:r>
    </w:p>
    <w:p>
      <w:pPr>
        <w:pStyle w:val="Heading1"/>
        <w:keepNext/>
      </w:pPr>
      <w:r>
        <w:t>1. 执行摘要</w:t>
      </w:r>
    </w:p>
    <w:p>
      <w:pPr>
        <w:keepLines w:val="0"/>
        <w:widowControl/>
      </w:pPr>
      <w:r>
        <w:rPr>
          <w:rFonts w:ascii="Calibri" w:hAnsi="Calibri" w:eastAsia="Microsoft YaHei"/>
        </w:rPr>
        <w:t xml:space="preserve">本轮完成了四项工作：第一，重新核对书籍 Chapter 2 的四类单变量算法和 Chapter 3 的五类多变量算法是否具有可调用实现、配置、测试、数据和实验记录；第二，在 TEP Classic、PRONTO、SKAB 的冻结分区上分析边际分布、位置、协方差、相关结构、有效秩和时间依赖；第三，对单变量方法验证 ECDF、稳健缩放、近期窗口、block delay、污染保护和自动拒绝等适配策略；第四，新建多变量稳健收缩 Mahalanobis、近期 block 校准和 </w:t>
      </w:r>
      <w:r>
        <w:rPr>
          <w:rFonts w:ascii="Consolas" w:hAnsi="Consolas" w:eastAsia="Microsoft YaHei"/>
          <w:color w:val="1F4D78"/>
          <w:sz w:val="20"/>
        </w:rPr>
        <w:t>static/adapt/reject</w:t>
      </w:r>
      <w:r>
        <w:rPr>
          <w:rFonts w:ascii="Calibri" w:hAnsi="Calibri" w:eastAsia="Microsoft YaHei"/>
        </w:rPr>
        <w:t xml:space="preserve"> 路由，并完成三数据集、三种子、逐点/事件/不确定性验证。</w:t>
      </w:r>
    </w:p>
    <w:p>
      <w:pPr>
        <w:keepLines/>
        <w:widowControl/>
      </w:pPr>
      <w:r>
        <w:rPr>
          <w:rFonts w:ascii="Calibri" w:hAnsi="Calibri" w:eastAsia="Microsoft YaHei"/>
        </w:rPr>
        <w:t>最重要的结论不是“适配一定提高性能”，而是不同数据集需要不同级别的适配：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TEP 的分布迁移最轻。</w:t>
      </w:r>
      <w:r>
        <w:rPr>
          <w:rFonts w:ascii="Calibri" w:hAnsi="Calibri" w:eastAsia="Microsoft YaHei"/>
        </w:rPr>
        <w:t xml:space="preserve"> 单变量双侧 ECDF 将 F1 从 0.8678 提高到 0.9502，同时把 MAR 从 0.1840 降到 0.0458；多变量传统 Mahalanobis 仍优于新增稳健/block 适配。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PRONTO 的主要矛盾是强时间依赖和异常阶段漂移。</w:t>
      </w:r>
      <w:r>
        <w:rPr>
          <w:rFonts w:ascii="Calibri" w:hAnsi="Calibri" w:eastAsia="Microsoft YaHei"/>
        </w:rPr>
        <w:t xml:space="preserve"> 单变量 block 适配能提高召回，但 FAR 升至 0.4313；多变量 block 适配 F1 从 0.7229 降到 0.5640。只在正常训练段上重校准，无法预见未来工况变化。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SKAB 的主要矛盾是正常基线、协方差与相关结构同时改变。</w:t>
      </w:r>
      <w:r>
        <w:rPr>
          <w:rFonts w:ascii="Calibri" w:hAnsi="Calibri" w:eastAsia="Microsoft YaHei"/>
        </w:rPr>
        <w:t xml:space="preserve"> 单变量近期窗口将 FAR 从 0.5949 降到 0.1446，但仍约有 55.1 次虚警事件/小时；多变量 M2 的 FAR 反而从 0.8965 升至 0.9414。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稳健缩放和协方差收缩只能解决尺度与病态矩阵，不能解决正常流形整体移动。</w:t>
      </w:r>
      <w:r>
        <w:rPr>
          <w:rFonts w:ascii="Calibri" w:hAnsi="Calibri" w:eastAsia="Microsoft YaHei"/>
        </w:rPr>
        <w:t xml:space="preserve"> 多变量 M1/M2 在三个数据集上均未超过 M0，必须保留这一负结果。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b/>
        </w:rPr>
        <w:t>自动拒绝是必要能力。</w:t>
      </w:r>
      <w:r>
        <w:rPr>
          <w:rFonts w:ascii="Calibri" w:hAnsi="Calibri" w:eastAsia="Microsoft YaHei"/>
        </w:rPr>
        <w:t xml:space="preserve"> 单变量路由拒绝全部 TEP d11 单元；多变量路由同样拒绝三个 d11 seed 单元。选择性 F1 不能与全覆盖方法直接比较，报告必须同时给出 coverage。</w:t>
      </w:r>
    </w:p>
    <w:p>
      <w:pPr>
        <w:keepLines/>
        <w:widowControl/>
      </w:pPr>
      <w:r>
        <w:rPr>
          <w:rFonts w:ascii="Calibri" w:hAnsi="Calibri" w:eastAsia="Microsoft YaHei"/>
        </w:rPr>
        <w:t>因此，下一阶段的优先级应从“继续统一调阈值”转为：工况识别与条件化模型、多源正常域训练、动态残差建模、事件级校准，以及在无法证明适用时回退到多变量或显式拒绝。</w:t>
      </w:r>
    </w:p>
    <w:p>
      <w:pPr>
        <w:pStyle w:val="Heading1"/>
        <w:keepNext/>
      </w:pPr>
      <w:r>
        <w:t>2. 为什么要这样验证</w:t>
      </w:r>
    </w:p>
    <w:p>
      <w:pPr>
        <w:pStyle w:val="Heading2"/>
        <w:keepNext/>
      </w:pPr>
      <w:r>
        <w:t>2.1 原问题</w:t>
      </w:r>
    </w:p>
    <w:p>
      <w:pPr>
        <w:keepLines/>
        <w:widowControl/>
      </w:pPr>
      <w:r>
        <w:rPr>
          <w:rFonts w:ascii="Calibri" w:hAnsi="Calibri" w:eastAsia="Microsoft YaHei"/>
        </w:rPr>
        <w:t>早期结果表明，相同单变量算法在 TEP、PRONTO、SKAB 上差异极大；多变量 NOZ、Mahalanobis 和变化方向方法也出现“一侧低 FAR、另一侧高 MAR”或近乎持续报警。这种现象既可能来自实现错误，也可能来自数据分布、标签定义、采样周期、工况混合和时序结构不一致。</w:t>
      </w:r>
    </w:p>
    <w:p>
      <w:pPr>
        <w:keepLines/>
        <w:widowControl/>
      </w:pPr>
      <w:r>
        <w:rPr>
          <w:rFonts w:ascii="Calibri" w:hAnsi="Calibri" w:eastAsia="Microsoft YaHei"/>
        </w:rPr>
        <w:t>若不先拆分原因，继续调参会产生三类错误结论：</w:t>
      </w:r>
    </w:p>
    <w:p>
      <w:pPr>
        <w:pStyle w:val="ListBullet"/>
      </w:pPr>
      <w:r>
        <w:rPr>
          <w:rFonts w:ascii="Calibri" w:hAnsi="Calibri" w:eastAsia="Microsoft YaHei"/>
        </w:rPr>
        <w:t>用测试集选择变量或阈值，形成数据泄漏；</w:t>
      </w:r>
    </w:p>
    <w:p>
      <w:pPr>
        <w:pStyle w:val="ListBullet"/>
      </w:pPr>
      <w:r>
        <w:rPr>
          <w:rFonts w:ascii="Calibri" w:hAnsi="Calibri" w:eastAsia="Microsoft YaHei"/>
        </w:rPr>
        <w:t>把高召回但持续报警误称为性能优秀；</w:t>
      </w:r>
    </w:p>
    <w:p>
      <w:pPr>
        <w:pStyle w:val="ListBullet"/>
      </w:pPr>
      <w:r>
        <w:rPr>
          <w:rFonts w:ascii="Calibri" w:hAnsi="Calibri" w:eastAsia="Microsoft YaHei"/>
        </w:rPr>
        <w:t>把代理数据迁移结果误称为书籍或论文原实验复现。</w:t>
      </w:r>
    </w:p>
    <w:p>
      <w:pPr>
        <w:pStyle w:val="Heading2"/>
        <w:keepNext/>
      </w:pPr>
      <w:r>
        <w:t>2.2 本轮采用的验证原则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0"/>
        </w:rPr>
        <w:t>configs/</w:t>
      </w:r>
      <w:r>
        <w:rPr>
          <w:rFonts w:ascii="Calibri" w:hAnsi="Calibri" w:eastAsia="Microsoft YaHei"/>
        </w:rPr>
        <w:t xml:space="preserve"> 是唯一协议来源，模型中不硬编码数据路径。</w:t>
      </w:r>
    </w:p>
    <w:p>
      <w:pPr>
        <w:pStyle w:val="ListBullet"/>
      </w:pPr>
      <w:r>
        <w:rPr>
          <w:rFonts w:ascii="Calibri" w:hAnsi="Calibri" w:eastAsia="Microsoft YaHei"/>
        </w:rPr>
        <w:t>原始书籍和下载数据只读；实验只写入 harness 与 report 目录。</w:t>
      </w:r>
    </w:p>
    <w:p>
      <w:pPr>
        <w:pStyle w:val="ListBullet"/>
      </w:pPr>
      <w:r>
        <w:rPr>
          <w:rFonts w:ascii="Calibri" w:hAnsi="Calibri" w:eastAsia="Microsoft YaHei"/>
        </w:rPr>
        <w:t>正常训练、异常校准、正常评估、异常评估严格分离。</w:t>
      </w:r>
    </w:p>
    <w:p>
      <w:pPr>
        <w:pStyle w:val="ListBullet"/>
      </w:pPr>
      <w:r>
        <w:rPr>
          <w:rFonts w:ascii="Calibri" w:hAnsi="Calibri" w:eastAsia="Microsoft YaHei"/>
        </w:rPr>
        <w:t>变量选择、方向、阈值、delay 和路由只读训练/校准分区。</w:t>
      </w:r>
    </w:p>
    <w:p>
      <w:pPr>
        <w:pStyle w:val="ListBullet"/>
      </w:pPr>
      <w:r>
        <w:rPr>
          <w:rFonts w:ascii="Calibri" w:hAnsi="Calibri" w:eastAsia="Microsoft YaHei"/>
        </w:rPr>
        <w:t>测试分布统计是冻结后的解释性证据，不反向调参。</w:t>
      </w:r>
    </w:p>
    <w:p>
      <w:pPr>
        <w:pStyle w:val="ListBullet"/>
      </w:pPr>
      <w:r>
        <w:rPr>
          <w:rFonts w:ascii="Calibri" w:hAnsi="Calibri" w:eastAsia="Microsoft YaHei"/>
        </w:rPr>
        <w:t>三个随机种子为 1103、2207、3301；同一物理 episode 的多 seed 只反映算法随机性，不冒充独立工业样本。</w:t>
      </w:r>
    </w:p>
    <w:p>
      <w:pPr>
        <w:pStyle w:val="ListBullet"/>
      </w:pPr>
      <w:r>
        <w:rPr>
          <w:rFonts w:ascii="Calibri" w:hAnsi="Calibri" w:eastAsia="Microsoft YaHei"/>
        </w:rPr>
        <w:t>同时报告 FAR、MAR、F1、AAD、事件召回、FAR/hour、报警持续时间和 moving-block bootstrap。</w:t>
      </w:r>
    </w:p>
    <w:p>
      <w:pPr>
        <w:pStyle w:val="ListBullet"/>
      </w:pPr>
      <w:r>
        <w:rPr>
          <w:rFonts w:ascii="Calibri" w:hAnsi="Calibri" w:eastAsia="Microsoft YaHei"/>
        </w:rPr>
        <w:t>synthetic 只验证公式和管线，不计入公开数据性能结论。</w:t>
      </w:r>
    </w:p>
    <w:p>
      <w:pPr>
        <w:pStyle w:val="Heading1"/>
        <w:keepNext/>
      </w:pPr>
      <w:r>
        <w:t>3. 数据集与任务匹配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DD"/>
          <w:left w:val="single" w:sz="4" w:color="B7C9DD"/>
          <w:bottom w:val="single" w:sz="4" w:color="B7C9DD"/>
          <w:right w:val="single" w:sz="4" w:color="B7C9DD"/>
          <w:insideH w:val="single" w:sz="4" w:color="B7C9DD"/>
          <w:insideV w:val="single" w:sz="4" w:color="B7C9DD"/>
        </w:tblBorders>
      </w:tblPr>
      <w:tblGrid>
        <w:gridCol w:w="1774"/>
        <w:gridCol w:w="1040"/>
        <w:gridCol w:w="1774"/>
        <w:gridCol w:w="1835"/>
        <w:gridCol w:w="1101"/>
        <w:gridCol w:w="1836"/>
      </w:tblGrid>
      <w:tr>
        <w:trPr>
          <w:tblHeader w:val="true"/>
          <w:cantSplit/>
        </w:trPr>
        <w:tc>
          <w:tcPr>
            <w:tcW w:type="dxa" w:w="17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数据集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连续变量</w:t>
            </w:r>
          </w:p>
        </w:tc>
        <w:tc>
          <w:tcPr>
            <w:tcW w:type="dxa" w:w="17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采样特征</w:t>
            </w:r>
          </w:p>
        </w:tc>
        <w:tc>
          <w:tcPr>
            <w:tcW w:type="dxa" w:w="1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本轮用法</w:t>
            </w:r>
          </w:p>
        </w:tc>
        <w:tc>
          <w:tcPr>
            <w:tcW w:type="dxa" w:w="1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优点</w:t>
            </w:r>
          </w:p>
        </w:tc>
        <w:tc>
          <w:tcPr>
            <w:tcW w:type="dxa" w:w="18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主要局限</w:t>
            </w:r>
          </w:p>
        </w:tc>
      </w:tr>
      <w:tr>
        <w:trPr>
          <w:cantSplit/>
        </w:trPr>
        <w:tc>
          <w:tcPr>
            <w:tcW w:type="dxa" w:w="17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TEP Classic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52</w:t>
            </w:r>
          </w:p>
        </w:tc>
        <w:tc>
          <w:tcPr>
            <w:tcW w:type="dxa" w:w="17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约 180 秒/点；独立正常训练/测试文件</w:t>
            </w:r>
          </w:p>
        </w:tc>
        <w:tc>
          <w:tcPr>
            <w:tcW w:type="dxa" w:w="1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d01、d04、d11；单变量 T1、多变量 T2</w:t>
            </w:r>
          </w:p>
        </w:tc>
        <w:tc>
          <w:tcPr>
            <w:tcW w:type="dxa" w:w="1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故障定义稳定、分区清晰、便于机制对照</w:t>
            </w:r>
          </w:p>
        </w:tc>
        <w:tc>
          <w:tcPr>
            <w:tcW w:type="dxa" w:w="18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仿真过程，不是专家确认的真实报警载荷</w:t>
            </w:r>
          </w:p>
        </w:tc>
      </w:tr>
      <w:tr>
        <w:trPr>
          <w:cantSplit/>
        </w:trPr>
        <w:tc>
          <w:tcPr>
            <w:tcW w:type="dxa" w:w="17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PRONTO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17 个过程变量，另含报警/控制列</w:t>
            </w:r>
          </w:p>
        </w:tc>
        <w:tc>
          <w:tcPr>
            <w:tcW w:type="dxa" w:w="17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约 1 秒/点；Testday2/3/4</w:t>
            </w:r>
          </w:p>
        </w:tc>
        <w:tc>
          <w:tcPr>
            <w:tcW w:type="dxa" w:w="1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Air blockage、Air leakage、Slugging</w:t>
            </w:r>
          </w:p>
        </w:tc>
        <w:tc>
          <w:tcPr>
            <w:tcW w:type="dxa" w:w="1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真实试验过程、具有工况和故障阶段</w:t>
            </w:r>
          </w:p>
        </w:tc>
        <w:tc>
          <w:tcPr>
            <w:tcW w:type="dxa" w:w="18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正常段短、强自相关、同一天内复用，不能进严格 leaderboard</w:t>
            </w:r>
          </w:p>
        </w:tc>
      </w:tr>
      <w:tr>
        <w:trPr>
          <w:cantSplit/>
        </w:trPr>
        <w:tc>
          <w:tcPr>
            <w:tcW w:type="dxa" w:w="17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SKAB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8</w:t>
            </w:r>
          </w:p>
        </w:tc>
        <w:tc>
          <w:tcPr>
            <w:tcW w:type="dxa" w:w="17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约 1 秒/点；anomaly-free 与多故障 run</w:t>
            </w:r>
          </w:p>
        </w:tc>
        <w:tc>
          <w:tcPr>
            <w:tcW w:type="dxa" w:w="1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valve1/0、valve1/1、valve2/0；扩展验证覆盖 34 run</w:t>
            </w:r>
          </w:p>
        </w:tc>
        <w:tc>
          <w:tcPr>
            <w:tcW w:type="dxa" w:w="1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多传感器、点级异常标签、公开可重复</w:t>
            </w:r>
          </w:p>
        </w:tc>
        <w:tc>
          <w:tcPr>
            <w:tcW w:type="dxa" w:w="18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正常基线明显漂移、异常比例低、同一 anomaly-free 文件再切分</w:t>
            </w:r>
          </w:p>
        </w:tc>
      </w:tr>
      <w:tr>
        <w:trPr>
          <w:cantSplit/>
        </w:trPr>
        <w:tc>
          <w:tcPr>
            <w:tcW w:type="dxa" w:w="17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Chapter 3 condenser synthetic</w:t>
            </w:r>
          </w:p>
        </w:tc>
        <w:tc>
          <w:tcPr>
            <w:tcW w:type="dxa" w:w="1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4 个物理量</w:t>
            </w:r>
          </w:p>
        </w:tc>
        <w:tc>
          <w:tcPr>
            <w:tcW w:type="dxa" w:w="17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按书中参数采样</w:t>
            </w:r>
          </w:p>
        </w:tc>
        <w:tc>
          <w:tcPr>
            <w:tcW w:type="dxa" w:w="183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仅验证 3.90-3.103 方程和区间计算</w:t>
            </w:r>
          </w:p>
        </w:tc>
        <w:tc>
          <w:tcPr>
            <w:tcW w:type="dxa" w:w="11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可验证单位、拟合和边界公式</w:t>
            </w:r>
          </w:p>
        </w:tc>
        <w:tc>
          <w:tcPr>
            <w:tcW w:type="dxa" w:w="18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不是 300 MW 机组工业结果，不能计入真实性能</w:t>
            </w:r>
          </w:p>
        </w:tc>
      </w:tr>
    </w:tbl>
    <w:p>
      <w:pPr>
        <w:spacing w:after="0"/>
      </w:pPr>
    </w:p>
    <w:p>
      <w:pPr>
        <w:keepLines/>
        <w:widowControl/>
      </w:pPr>
      <w:r>
        <w:rPr>
          <w:rFonts w:ascii="Calibri" w:hAnsi="Calibri" w:eastAsia="Microsoft YaHei"/>
        </w:rPr>
        <w:t>Chapter 2/3 多数据集协议均选择三个数据集的三个 episode，再在三个种子上重复，共 27 个 episode-seed 单元。多变量每个单元由异常校准段选择四个变量；正常评估和异常评估保持冻结。</w:t>
      </w:r>
    </w:p>
    <w:p>
      <w:pPr>
        <w:pStyle w:val="Heading1"/>
        <w:keepNext/>
      </w:pPr>
      <w:r>
        <w:t>4. 已验证的算法</w:t>
      </w:r>
    </w:p>
    <w:p>
      <w:pPr>
        <w:pStyle w:val="Heading2"/>
        <w:keepNext/>
      </w:pPr>
      <w:r>
        <w:t>4.1 单变量算法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DD"/>
          <w:left w:val="single" w:sz="4" w:color="B7C9DD"/>
          <w:bottom w:val="single" w:sz="4" w:color="B7C9DD"/>
          <w:right w:val="single" w:sz="4" w:color="B7C9DD"/>
          <w:insideH w:val="single" w:sz="4" w:color="B7C9DD"/>
          <w:insideV w:val="single" w:sz="4" w:color="B7C9DD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ID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章节/论文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落地内容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当前证据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1F4D78"/>
                <w:sz w:val="15"/>
              </w:rPr>
              <w:t>book_2_1_iid_delay_timer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2.1；Xu et al. 2012，DOI 10.1109/TASE.2011.2176490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IID FAR/MAR/AAD、on/off delay、设计搜索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E4：Examples 1-2 与 Table VII 数值复现；三数据集迁移完成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1F4D78"/>
                <w:sz w:val="15"/>
              </w:rPr>
              <w:t>book_2_2_non_iid_delay_timer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2.2；Wang et al. 2022，DOI 10.1016/j.jprocont.2022.01.002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报警持续/间隔 PMF 与 non-IID delay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E2：可执行；19/27 单元触发零事件退化，不能给完整激活信用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1F4D78"/>
                <w:sz w:val="15"/>
              </w:rPr>
              <w:t>book_2_3_non_iid_deadband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2.3；Wang et al. 2023，DOI 10.1109/TCST.2023.3240020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最大幅值偏差、Beta 后验、deadband 宽度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E2：仅 7/27 单元满足机制前提；其余保留拒绝/退化状态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1F4D78"/>
                <w:sz w:val="15"/>
              </w:rPr>
              <w:t>book_2_4_alarm_probability_plot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2.4；Yu et al. 2017，DOI 10.1109/TIE.2017.2682783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APP 状态、转移矩阵与 trippoint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E3 negative：可运行但跨数据 FAR 偏高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1F4D78"/>
                <w:sz w:val="15"/>
              </w:rPr>
              <w:t>AdaptiveUnivariateAlarmRouter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适配层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稳健缩放、ECDF、block/recent、safe rolling、Page/CUSUM、时间 delay、拒绝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三数据集三种子 B0-B7 消融与不确定性完成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4.2 多变量算法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DD"/>
          <w:left w:val="single" w:sz="4" w:color="B7C9DD"/>
          <w:bottom w:val="single" w:sz="4" w:color="B7C9DD"/>
          <w:right w:val="single" w:sz="4" w:color="B7C9DD"/>
          <w:insideH w:val="single" w:sz="4" w:color="B7C9DD"/>
          <w:insideV w:val="single" w:sz="4" w:color="B7C9DD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ID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章节/论文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落地内容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当前证据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1F4D78"/>
                <w:sz w:val="15"/>
              </w:rPr>
              <w:t>book_3_1_convex_noz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3.1.2；Yu et al. 2020，DOI 10.1109/TCST.2019.2943469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凸包 NOZ、fitness、最近正常点与动态限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E3：Figure 3.2 精确通过；三数据迁移未胜 Mahalanobis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1F4D78"/>
                <w:sz w:val="15"/>
              </w:rPr>
              <w:t>book_3_1_nonconvex_noz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3.1.3；Wang et al. 2024，DOI 10.1109/TASE.2022.3222413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搜索锥、角度分区、径向 membership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E3 negative：执行完整但 PRONTO/SKAB FAR 高；原 CSTR 序列缺失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1F4D78"/>
                <w:sz w:val="15"/>
              </w:rPr>
              <w:t>book_3_2_variation_direction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3.2；Chen et al. 2017，DOI 10.1016/j.cherd.2017.04.011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自适应时间梯度与方向规则矩阵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E2：书中方向例通过；代理数据 MAR 接近 1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1F4D78"/>
                <w:sz w:val="15"/>
              </w:rPr>
              <w:t>book_3_3_electrical_pump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3.3；Xiong et al. 2018，DOI 10.1109/TII.2017.2749332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Bayesian 窗口回归、异常冻结、R²/正态门禁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E2：可执行；仅 4/27 统计激活，0/27 获得泵领域信用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1F4D78"/>
                <w:sz w:val="15"/>
              </w:rPr>
              <w:t>book_3_4_condenser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3.4；Wang et al. 2024，DOI 10.1109/TCST.2024.3370036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物理压力模型、NOZ、Beta-binomial 最坏 FAR/MAR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E2 synthetic：拟合 &gt;0.99998，但 99% FAR 上界 0.3500 未通过；工业数据缺失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1F4D78"/>
                <w:sz w:val="15"/>
              </w:rPr>
              <w:t>MahalanobisAlarm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经典 MSPC 基线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全局均值、协方差逆与经验分位数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TEP/PRONTO/SKAB 多协议验证完成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onsolas" w:hAnsi="Consolas" w:eastAsia="Microsoft YaHei"/>
                <w:color w:val="1F4D78"/>
                <w:sz w:val="15"/>
              </w:rPr>
              <w:t>AdaptiveMultivariateAlarmRouter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本轮适配层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median/MAD、收缩协方差、近期 block 校准、延迟和拒绝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真实三数据集三种子 M0-M3 验证完成；总体为负结果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统计分布分析</w:t>
      </w:r>
    </w:p>
    <w:p>
      <w:pPr>
        <w:pStyle w:val="Heading2"/>
        <w:keepNext/>
      </w:pPr>
      <w:r>
        <w:t>5.1 单变量分布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374136"/>
            <wp:docPr id="1" name="Picture 1" descr="图 1　单变量数据集分布漂移审计（测试统计仅用于冻结后的解释）" title="5.1 单变量分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74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1　单变量数据集分布漂移审计（测试统计仅用于冻结后的解释）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DD"/>
          <w:left w:val="single" w:sz="4" w:color="B7C9DD"/>
          <w:bottom w:val="single" w:sz="4" w:color="B7C9DD"/>
          <w:right w:val="single" w:sz="4" w:color="B7C9DD"/>
          <w:insideH w:val="single" w:sz="4" w:color="B7C9DD"/>
          <w:insideV w:val="single" w:sz="4" w:color="B7C9DD"/>
        </w:tblBorders>
      </w:tblPr>
      <w:tblGrid>
        <w:gridCol w:w="720"/>
        <w:gridCol w:w="1717"/>
        <w:gridCol w:w="1546"/>
        <w:gridCol w:w="1202"/>
        <w:gridCol w:w="1202"/>
        <w:gridCol w:w="720"/>
        <w:gridCol w:w="2253"/>
      </w:tblGrid>
      <w:tr>
        <w:trPr>
          <w:tblHeader w:val="true"/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数据集</w:t>
            </w:r>
          </w:p>
        </w:tc>
        <w:tc>
          <w:tcPr>
            <w:tcW w:type="dxa" w:w="17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正常 train-eval KS 中位数</w:t>
            </w:r>
          </w:p>
        </w:tc>
        <w:tc>
          <w:tcPr>
            <w:tcW w:type="dxa" w:w="15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异常 cal-eval KS 中位数</w:t>
            </w:r>
          </w:p>
        </w:tc>
        <w:tc>
          <w:tcPr>
            <w:tcW w:type="dxa" w:w="12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评估 AUC 中位数（最低）</w:t>
            </w:r>
          </w:p>
        </w:tc>
        <w:tc>
          <w:tcPr>
            <w:tcW w:type="dxa" w:w="12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正常 lag-1 特征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异常比例中位数</w:t>
            </w:r>
          </w:p>
        </w:tc>
        <w:tc>
          <w:tcPr>
            <w:tcW w:type="dxa" w:w="22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解释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TEP</w:t>
            </w:r>
          </w:p>
        </w:tc>
        <w:tc>
          <w:tcPr>
            <w:tcW w:type="dxa" w:w="17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0.0547</w:t>
            </w:r>
          </w:p>
        </w:tc>
        <w:tc>
          <w:tcPr>
            <w:tcW w:type="dxa" w:w="15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0.0990</w:t>
            </w:r>
          </w:p>
        </w:tc>
        <w:tc>
          <w:tcPr>
            <w:tcW w:type="dxa" w:w="12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1.0000（0.5127）</w:t>
            </w:r>
          </w:p>
        </w:tc>
        <w:tc>
          <w:tcPr>
            <w:tcW w:type="dxa" w:w="12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多数较弱，部分可达 0.68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0.3333</w:t>
            </w:r>
          </w:p>
        </w:tc>
        <w:tc>
          <w:tcPr>
            <w:tcW w:type="dxa" w:w="22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正常分布相对稳定；d11 单变量可分性不足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PRONTO</w:t>
            </w:r>
          </w:p>
        </w:tc>
        <w:tc>
          <w:tcPr>
            <w:tcW w:type="dxa" w:w="17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0.3649</w:t>
            </w:r>
          </w:p>
        </w:tc>
        <w:tc>
          <w:tcPr>
            <w:tcW w:type="dxa" w:w="15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0.8876</w:t>
            </w:r>
          </w:p>
        </w:tc>
        <w:tc>
          <w:tcPr>
            <w:tcW w:type="dxa" w:w="12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0.5343（0.1338）</w:t>
            </w:r>
          </w:p>
        </w:tc>
        <w:tc>
          <w:tcPr>
            <w:tcW w:type="dxa" w:w="12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中位数 0.9916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0.4738</w:t>
            </w:r>
          </w:p>
        </w:tc>
        <w:tc>
          <w:tcPr>
            <w:tcW w:type="dxa" w:w="22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正常漂移、异常前后阶段变化及强自相关同时存在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SKAB</w:t>
            </w:r>
          </w:p>
        </w:tc>
        <w:tc>
          <w:tcPr>
            <w:tcW w:type="dxa" w:w="17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0.4777</w:t>
            </w:r>
          </w:p>
        </w:tc>
        <w:tc>
          <w:tcPr>
            <w:tcW w:type="dxa" w:w="15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0.1440</w:t>
            </w:r>
          </w:p>
        </w:tc>
        <w:tc>
          <w:tcPr>
            <w:tcW w:type="dxa" w:w="12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1.0000（1.0000）</w:t>
            </w:r>
          </w:p>
        </w:tc>
        <w:tc>
          <w:tcPr>
            <w:tcW w:type="dxa" w:w="12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约 0.7660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0.0487</w:t>
            </w:r>
          </w:p>
        </w:tc>
        <w:tc>
          <w:tcPr>
            <w:tcW w:type="dxa" w:w="22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排序可分但阈值失配；低 prevalence 放大虚警负担</w:t>
            </w:r>
          </w:p>
        </w:tc>
      </w:tr>
    </w:tbl>
    <w:p>
      <w:pPr>
        <w:spacing w:after="0"/>
      </w:pPr>
    </w:p>
    <w:p>
      <w:pPr>
        <w:keepLines/>
        <w:widowControl/>
      </w:pPr>
      <w:r>
        <w:rPr>
          <w:rFonts w:ascii="Calibri" w:hAnsi="Calibri" w:eastAsia="Microsoft YaHei"/>
        </w:rPr>
        <w:t>这些统计量解释了为什么“同一阈值 + 同一 delay”不能迁移。TEP 主要是少数故障不可分；PRONTO 的异常校准段和评估段并非同分布；SKAB 虽然 AUC=1，正常基线却跨越了训练阈值，因此 AUC 高并不代表 FAR 可控。</w:t>
      </w:r>
    </w:p>
    <w:p>
      <w:pPr>
        <w:pStyle w:val="Heading2"/>
        <w:keepNext/>
      </w:pPr>
      <w:r>
        <w:t>5.2 多变量分布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2747876"/>
            <wp:docPr id="2" name="Picture 2" descr="图 2　多变量正常 train→evaluation 分布与相关结构漂移" title="5.2 多变量分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747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2　多变量正常 train→evaluation 分布与相关结构漂移</w:t>
      </w:r>
    </w:p>
    <w:p>
      <w:pPr>
        <w:keepLines/>
        <w:widowControl/>
      </w:pPr>
      <w:r>
        <w:rPr>
          <w:rFonts w:ascii="Calibri" w:hAnsi="Calibri" w:eastAsia="Microsoft YaHei"/>
        </w:rPr>
        <w:t>下表基于每个 episode 的四个校准期选中变量，汇总正常 train→evaluation 的中位数。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DD"/>
          <w:left w:val="single" w:sz="4" w:color="B7C9DD"/>
          <w:bottom w:val="single" w:sz="4" w:color="B7C9DD"/>
          <w:right w:val="single" w:sz="4" w:color="B7C9DD"/>
          <w:insideH w:val="single" w:sz="4" w:color="B7C9DD"/>
          <w:insideV w:val="single" w:sz="4" w:color="B7C9DD"/>
        </w:tblBorders>
      </w:tblPr>
      <w:tblGrid>
        <w:gridCol w:w="874"/>
        <w:gridCol w:w="874"/>
        <w:gridCol w:w="1248"/>
        <w:gridCol w:w="2246"/>
        <w:gridCol w:w="2122"/>
        <w:gridCol w:w="874"/>
        <w:gridCol w:w="1122"/>
      </w:tblGrid>
      <w:tr>
        <w:trPr>
          <w:tblHeader w:val="true"/>
          <w:cantSplit/>
        </w:trPr>
        <w:tc>
          <w:tcPr>
            <w:tcW w:type="dxa" w:w="8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数据集</w:t>
            </w:r>
          </w:p>
        </w:tc>
        <w:tc>
          <w:tcPr>
            <w:tcW w:type="dxa" w:w="8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边际 KS</w:t>
            </w:r>
          </w:p>
        </w:tc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最大标准化中位数漂移</w:t>
            </w:r>
          </w:p>
        </w:tc>
        <w:tc>
          <w:tcPr>
            <w:tcW w:type="dxa" w:w="22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协方差相对 Frobenius 漂移</w:t>
            </w:r>
          </w:p>
        </w:tc>
        <w:tc>
          <w:tcPr>
            <w:tcW w:type="dxa" w:w="21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最大相关系数漂移</w:t>
            </w:r>
          </w:p>
        </w:tc>
        <w:tc>
          <w:tcPr>
            <w:tcW w:type="dxa" w:w="8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评估有效秩/4</w:t>
            </w:r>
          </w:p>
        </w:tc>
        <w:tc>
          <w:tcPr>
            <w:tcW w:type="dxa" w:w="11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lag-1 中位数</w:t>
            </w:r>
          </w:p>
        </w:tc>
      </w:tr>
      <w:tr>
        <w:trPr>
          <w:cantSplit/>
        </w:trPr>
        <w:tc>
          <w:tcPr>
            <w:tcW w:type="dxa" w:w="8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TEP</w:t>
            </w:r>
          </w:p>
        </w:tc>
        <w:tc>
          <w:tcPr>
            <w:tcW w:type="dxa" w:w="8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0.0930</w:t>
            </w:r>
          </w:p>
        </w:tc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0.5116</w:t>
            </w:r>
          </w:p>
        </w:tc>
        <w:tc>
          <w:tcPr>
            <w:tcW w:type="dxa" w:w="22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0.5141</w:t>
            </w:r>
          </w:p>
        </w:tc>
        <w:tc>
          <w:tcPr>
            <w:tcW w:type="dxa" w:w="21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0.1184</w:t>
            </w:r>
          </w:p>
        </w:tc>
        <w:tc>
          <w:tcPr>
            <w:tcW w:type="dxa" w:w="8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3.27</w:t>
            </w:r>
          </w:p>
        </w:tc>
        <w:tc>
          <w:tcPr>
            <w:tcW w:type="dxa" w:w="11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0.7343</w:t>
            </w:r>
          </w:p>
        </w:tc>
      </w:tr>
      <w:tr>
        <w:trPr>
          <w:cantSplit/>
        </w:trPr>
        <w:tc>
          <w:tcPr>
            <w:tcW w:type="dxa" w:w="8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PRONTO</w:t>
            </w:r>
          </w:p>
        </w:tc>
        <w:tc>
          <w:tcPr>
            <w:tcW w:type="dxa" w:w="8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0.3126</w:t>
            </w:r>
          </w:p>
        </w:tc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0.3474</w:t>
            </w:r>
          </w:p>
        </w:tc>
        <w:tc>
          <w:tcPr>
            <w:tcW w:type="dxa" w:w="22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0.2394</w:t>
            </w:r>
          </w:p>
        </w:tc>
        <w:tc>
          <w:tcPr>
            <w:tcW w:type="dxa" w:w="21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0.2864（最大 1.0296）</w:t>
            </w:r>
          </w:p>
        </w:tc>
        <w:tc>
          <w:tcPr>
            <w:tcW w:type="dxa" w:w="8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1.52</w:t>
            </w:r>
          </w:p>
        </w:tc>
        <w:tc>
          <w:tcPr>
            <w:tcW w:type="dxa" w:w="11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0.9917</w:t>
            </w:r>
          </w:p>
        </w:tc>
      </w:tr>
      <w:tr>
        <w:trPr>
          <w:cantSplit/>
        </w:trPr>
        <w:tc>
          <w:tcPr>
            <w:tcW w:type="dxa" w:w="8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SKAB</w:t>
            </w:r>
          </w:p>
        </w:tc>
        <w:tc>
          <w:tcPr>
            <w:tcW w:type="dxa" w:w="8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0.5690</w:t>
            </w:r>
          </w:p>
        </w:tc>
        <w:tc>
          <w:tcPr>
            <w:tcW w:type="dxa" w:w="1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1.3154</w:t>
            </w:r>
          </w:p>
        </w:tc>
        <w:tc>
          <w:tcPr>
            <w:tcW w:type="dxa" w:w="22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0.9458</w:t>
            </w:r>
          </w:p>
        </w:tc>
        <w:tc>
          <w:tcPr>
            <w:tcW w:type="dxa" w:w="21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1.3411</w:t>
            </w:r>
          </w:p>
        </w:tc>
        <w:tc>
          <w:tcPr>
            <w:tcW w:type="dxa" w:w="8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2.91</w:t>
            </w:r>
          </w:p>
        </w:tc>
        <w:tc>
          <w:tcPr>
            <w:tcW w:type="dxa" w:w="112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0.7476</w:t>
            </w:r>
          </w:p>
        </w:tc>
      </w:tr>
    </w:tbl>
    <w:p>
      <w:pPr>
        <w:spacing w:after="0"/>
      </w:pPr>
    </w:p>
    <w:p>
      <w:pPr>
        <w:keepLines/>
        <w:widowControl/>
      </w:pPr>
      <w:r>
        <w:rPr>
          <w:rFonts w:ascii="Calibri" w:hAnsi="Calibri" w:eastAsia="Microsoft YaHei"/>
        </w:rPr>
        <w:t>含义如下：</w:t>
      </w:r>
    </w:p>
    <w:p>
      <w:pPr>
        <w:pStyle w:val="ListBullet"/>
      </w:pPr>
      <w:r>
        <w:rPr>
          <w:rFonts w:ascii="Calibri" w:hAnsi="Calibri" w:eastAsia="Microsoft YaHei"/>
        </w:rPr>
        <w:t>TEP 的边际漂移较小，但协方差变化约为训练协方差范数的 51%，因此“静态椭球”仍有误差；不过漂移尚不足以抵消传统 Mahalanobis 的优势。</w:t>
      </w:r>
    </w:p>
    <w:p>
      <w:pPr>
        <w:pStyle w:val="ListBullet"/>
      </w:pPr>
      <w:r>
        <w:rPr>
          <w:rFonts w:ascii="Calibri" w:hAnsi="Calibri" w:eastAsia="Microsoft YaHei"/>
        </w:rPr>
        <w:t>PRONTO 的有效秩只有约 1.52/4，说明四个选中变量高度共线；lag-1 约 0.992，逐点 IID 假设严重不成立。收缩协方差能改善数值条件，但不能恢复未来故障阶段。</w:t>
      </w:r>
    </w:p>
    <w:p>
      <w:pPr>
        <w:pStyle w:val="ListBullet"/>
      </w:pPr>
      <w:r>
        <w:rPr>
          <w:rFonts w:ascii="Calibri" w:hAnsi="Calibri" w:eastAsia="Microsoft YaHei"/>
        </w:rPr>
        <w:t>SKAB 同时出现位置、协方差和相关结构的大幅变化。单一全局椭球、凸包和搜索锥都会把新的正常工况判到 NOZ 外，因此出现 0.90 以上 FAR。</w:t>
      </w:r>
    </w:p>
    <w:p>
      <w:pPr>
        <w:pStyle w:val="Heading1"/>
        <w:keepNext/>
      </w:pPr>
      <w:r>
        <w:t>6. 单变量实验结果</w:t>
      </w:r>
    </w:p>
    <w:p>
      <w:pPr>
        <w:pStyle w:val="Heading2"/>
        <w:keepNext/>
      </w:pPr>
      <w:r>
        <w:t>6.1 书籍原方法迁移基线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DD"/>
          <w:left w:val="single" w:sz="4" w:color="B7C9DD"/>
          <w:bottom w:val="single" w:sz="4" w:color="B7C9DD"/>
          <w:right w:val="single" w:sz="4" w:color="B7C9DD"/>
          <w:insideH w:val="single" w:sz="4" w:color="B7C9DD"/>
          <w:insideV w:val="single" w:sz="4" w:color="B7C9DD"/>
        </w:tblBorders>
      </w:tblPr>
      <w:tblGrid>
        <w:gridCol w:w="720"/>
        <w:gridCol w:w="2181"/>
        <w:gridCol w:w="2181"/>
        <w:gridCol w:w="2181"/>
        <w:gridCol w:w="2097"/>
      </w:tblGrid>
      <w:tr>
        <w:trPr>
          <w:tblHeader w:val="true"/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数据集</w:t>
            </w:r>
          </w:p>
        </w:tc>
        <w:tc>
          <w:tcPr>
            <w:tcW w:type="dxa" w:w="21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IID F1/FAR/MAR</w:t>
            </w:r>
          </w:p>
        </w:tc>
        <w:tc>
          <w:tcPr>
            <w:tcW w:type="dxa" w:w="21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non-IID F1/FAR/MAR</w:t>
            </w:r>
          </w:p>
        </w:tc>
        <w:tc>
          <w:tcPr>
            <w:tcW w:type="dxa" w:w="21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deadband F1/FAR/MAR</w:t>
            </w:r>
          </w:p>
        </w:tc>
        <w:tc>
          <w:tcPr>
            <w:tcW w:type="dxa" w:w="20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APP F1/FAR/MAR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TEP</w:t>
            </w:r>
          </w:p>
        </w:tc>
        <w:tc>
          <w:tcPr>
            <w:tcW w:type="dxa" w:w="21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0.8678 / 0.0067 / 0.1840</w:t>
            </w:r>
          </w:p>
        </w:tc>
        <w:tc>
          <w:tcPr>
            <w:tcW w:type="dxa" w:w="21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0.7231 / 0.2190 / 0.1993</w:t>
            </w:r>
          </w:p>
        </w:tc>
        <w:tc>
          <w:tcPr>
            <w:tcW w:type="dxa" w:w="21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0.8480 / 0.0044 / 0.2049</w:t>
            </w:r>
          </w:p>
        </w:tc>
        <w:tc>
          <w:tcPr>
            <w:tcW w:type="dxa" w:w="20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0.5780 / 0.6472 / 0.1579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PRONTO</w:t>
            </w:r>
          </w:p>
        </w:tc>
        <w:tc>
          <w:tcPr>
            <w:tcW w:type="dxa" w:w="21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0.3011 / 0.1119 / 0.7905</w:t>
            </w:r>
          </w:p>
        </w:tc>
        <w:tc>
          <w:tcPr>
            <w:tcW w:type="dxa" w:w="21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0.3332 / 0.1214 / 0.7211</w:t>
            </w:r>
          </w:p>
        </w:tc>
        <w:tc>
          <w:tcPr>
            <w:tcW w:type="dxa" w:w="21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0.0479 / 0.1207 / 0.9730</w:t>
            </w:r>
          </w:p>
        </w:tc>
        <w:tc>
          <w:tcPr>
            <w:tcW w:type="dxa" w:w="20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0.2311 / 0.1161 / 0.8496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SKAB</w:t>
            </w:r>
          </w:p>
        </w:tc>
        <w:tc>
          <w:tcPr>
            <w:tcW w:type="dxa" w:w="21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0.1448 / 0.5949 / 0.0125</w:t>
            </w:r>
          </w:p>
        </w:tc>
        <w:tc>
          <w:tcPr>
            <w:tcW w:type="dxa" w:w="21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0.1093 / 0.8277 / 0.0130</w:t>
            </w:r>
          </w:p>
        </w:tc>
        <w:tc>
          <w:tcPr>
            <w:tcW w:type="dxa" w:w="21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0.3095 / 0.2283 / 0.0000</w:t>
            </w:r>
          </w:p>
        </w:tc>
        <w:tc>
          <w:tcPr>
            <w:tcW w:type="dxa" w:w="20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0.1545 / 0.5586 / 0.0000</w:t>
            </w:r>
          </w:p>
        </w:tc>
      </w:tr>
    </w:tbl>
    <w:p>
      <w:pPr>
        <w:spacing w:after="0"/>
      </w:pPr>
    </w:p>
    <w:p>
      <w:pPr>
        <w:keepLines/>
        <w:widowControl/>
      </w:pPr>
      <w:r>
        <w:rPr>
          <w:rFonts w:ascii="Calibri" w:hAnsi="Calibri" w:eastAsia="Microsoft YaHei"/>
        </w:rPr>
        <w:t>结论：原始书籍机制具有明确的前提。TEP 上 IID 方法有效；PRONTO 上所有方法均存在严重漏报；SKAB 的低 MAR 主要由大量报警换来。APP、non-IID 和 deadband 的机制激活状态必须与分数一同报告。</w:t>
      </w:r>
    </w:p>
    <w:p>
      <w:pPr>
        <w:pStyle w:val="Heading2"/>
        <w:keepNext/>
      </w:pPr>
      <w:r>
        <w:t>6.2 分布适配消融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058129"/>
            <wp:docPr id="3" name="Picture 3" descr="图 3　单变量适配消融：F1、FAR、MAR 与选择性覆盖率" title="6.2 分布适配消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58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3　单变量适配消融：F1、FAR、MAR 与选择性覆盖率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DD"/>
          <w:left w:val="single" w:sz="4" w:color="B7C9DD"/>
          <w:bottom w:val="single" w:sz="4" w:color="B7C9DD"/>
          <w:right w:val="single" w:sz="4" w:color="B7C9DD"/>
          <w:insideH w:val="single" w:sz="4" w:color="B7C9DD"/>
          <w:insideV w:val="single" w:sz="4" w:color="B7C9DD"/>
        </w:tblBorders>
      </w:tblPr>
      <w:tblGrid>
        <w:gridCol w:w="874"/>
        <w:gridCol w:w="874"/>
        <w:gridCol w:w="2870"/>
        <w:gridCol w:w="874"/>
        <w:gridCol w:w="874"/>
        <w:gridCol w:w="874"/>
        <w:gridCol w:w="2120"/>
      </w:tblGrid>
      <w:tr>
        <w:trPr>
          <w:tblHeader w:val="true"/>
          <w:cantSplit/>
        </w:trPr>
        <w:tc>
          <w:tcPr>
            <w:tcW w:type="dxa" w:w="8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数据集</w:t>
            </w:r>
          </w:p>
        </w:tc>
        <w:tc>
          <w:tcPr>
            <w:tcW w:type="dxa" w:w="8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B0 冻结基线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最佳工程候选</w:t>
            </w:r>
          </w:p>
        </w:tc>
        <w:tc>
          <w:tcPr>
            <w:tcW w:type="dxa" w:w="8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候选 F1</w:t>
            </w:r>
          </w:p>
        </w:tc>
        <w:tc>
          <w:tcPr>
            <w:tcW w:type="dxa" w:w="8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候选 FAR</w:t>
            </w:r>
          </w:p>
        </w:tc>
        <w:tc>
          <w:tcPr>
            <w:tcW w:type="dxa" w:w="8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候选 MAR</w:t>
            </w:r>
          </w:p>
        </w:tc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判断</w:t>
            </w:r>
          </w:p>
        </w:tc>
      </w:tr>
      <w:tr>
        <w:trPr>
          <w:cantSplit/>
        </w:trPr>
        <w:tc>
          <w:tcPr>
            <w:tcW w:type="dxa" w:w="8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TEP</w:t>
            </w:r>
          </w:p>
        </w:tc>
        <w:tc>
          <w:tcPr>
            <w:tcW w:type="dxa" w:w="8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0.8678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B2 双侧 ECDF</w:t>
            </w:r>
          </w:p>
        </w:tc>
        <w:tc>
          <w:tcPr>
            <w:tcW w:type="dxa" w:w="8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0.9502</w:t>
            </w:r>
          </w:p>
        </w:tc>
        <w:tc>
          <w:tcPr>
            <w:tcW w:type="dxa" w:w="8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0.0271</w:t>
            </w:r>
          </w:p>
        </w:tc>
        <w:tc>
          <w:tcPr>
            <w:tcW w:type="dxa" w:w="8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0.0458</w:t>
            </w:r>
          </w:p>
        </w:tc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性能保持门禁通过</w:t>
            </w:r>
          </w:p>
        </w:tc>
      </w:tr>
      <w:tr>
        <w:trPr>
          <w:cantSplit/>
        </w:trPr>
        <w:tc>
          <w:tcPr>
            <w:tcW w:type="dxa" w:w="8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PRONTO</w:t>
            </w:r>
          </w:p>
        </w:tc>
        <w:tc>
          <w:tcPr>
            <w:tcW w:type="dxa" w:w="8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0.3011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B5 block-recent 双侧 ECDF</w:t>
            </w:r>
          </w:p>
        </w:tc>
        <w:tc>
          <w:tcPr>
            <w:tcW w:type="dxa" w:w="8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0.6738</w:t>
            </w:r>
          </w:p>
        </w:tc>
        <w:tc>
          <w:tcPr>
            <w:tcW w:type="dxa" w:w="8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0.4313</w:t>
            </w:r>
          </w:p>
        </w:tc>
        <w:tc>
          <w:tcPr>
            <w:tcW w:type="dxa" w:w="8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0.2824</w:t>
            </w:r>
          </w:p>
        </w:tc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召回改善但 FAR≤0.15 失败</w:t>
            </w:r>
          </w:p>
        </w:tc>
      </w:tr>
      <w:tr>
        <w:trPr>
          <w:cantSplit/>
        </w:trPr>
        <w:tc>
          <w:tcPr>
            <w:tcW w:type="dxa" w:w="8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SKAB</w:t>
            </w:r>
          </w:p>
        </w:tc>
        <w:tc>
          <w:tcPr>
            <w:tcW w:type="dxa" w:w="8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0.1448</w:t>
            </w:r>
          </w:p>
        </w:tc>
        <w:tc>
          <w:tcPr>
            <w:tcW w:type="dxa" w:w="28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B4 block-recent 单侧 ECDF</w:t>
            </w:r>
          </w:p>
        </w:tc>
        <w:tc>
          <w:tcPr>
            <w:tcW w:type="dxa" w:w="8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0.4124</w:t>
            </w:r>
          </w:p>
        </w:tc>
        <w:tc>
          <w:tcPr>
            <w:tcW w:type="dxa" w:w="8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0.1446</w:t>
            </w:r>
          </w:p>
        </w:tc>
        <w:tc>
          <w:tcPr>
            <w:tcW w:type="dxa" w:w="87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0.0042</w:t>
            </w:r>
          </w:p>
        </w:tc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逐点改善；事件虚警仍不可接受</w:t>
            </w:r>
          </w:p>
        </w:tc>
      </w:tr>
    </w:tbl>
    <w:p>
      <w:pPr>
        <w:spacing w:after="0"/>
      </w:pPr>
    </w:p>
    <w:p>
      <w:pPr>
        <w:keepLines/>
        <w:widowControl/>
      </w:pPr>
      <w:r>
        <w:rPr>
          <w:rFonts w:ascii="Calibri" w:hAnsi="Calibri" w:eastAsia="Microsoft YaHei"/>
        </w:rPr>
        <w:t xml:space="preserve">自动路由 B7 在 TEP 上拒绝 3/9 个 d11 单元，其余 6 个单元 F1=0.9501、FAR=0.0526、MAR=0；这是 </w:t>
      </w:r>
      <w:r>
        <w:rPr>
          <w:rFonts w:ascii="Calibri" w:hAnsi="Calibri" w:eastAsia="Microsoft YaHei"/>
          <w:b/>
        </w:rPr>
        <w:t>67% coverage 的选择性结果</w:t>
      </w:r>
      <w:r>
        <w:rPr>
          <w:rFonts w:ascii="Calibri" w:hAnsi="Calibri" w:eastAsia="Microsoft YaHei"/>
        </w:rPr>
        <w:t>。PRONTO B7 F1=0.6552、FAR=0.2935，仍未通过门禁。SKAB B7 等同 B4。</w:t>
      </w:r>
    </w:p>
    <w:p>
      <w:pPr>
        <w:keepLines w:val="0"/>
        <w:widowControl/>
      </w:pPr>
      <w:r>
        <w:rPr>
          <w:rFonts w:ascii="Calibri" w:hAnsi="Calibri" w:eastAsia="Microsoft YaHei"/>
        </w:rPr>
        <w:t>SKAB valve1/0 的端到端接入进一步显示：F1=0.4134，95% moving-block bootstrap 区间为 [0.3283, 0.5322]；FAR=0.1446，区间为 [0.0901, 0.2097]；正常段产生 72 个虚警事件，约 55.1 次/小时，最长持续 214 秒。60 秒正常块出现报警的 Beta(1,1) 后验均值为 0.4074，95% 区间 [0.3035, 0.5156]。因此逐点 FAR 低于 0.15 仍不等于现场负担可接受。</w:t>
      </w:r>
    </w:p>
    <w:p>
      <w:pPr>
        <w:pStyle w:val="Heading1"/>
        <w:keepNext/>
      </w:pPr>
      <w:r>
        <w:t>7. 多变量实验结果</w:t>
      </w:r>
    </w:p>
    <w:p>
      <w:pPr>
        <w:pStyle w:val="Heading2"/>
        <w:keepNext/>
      </w:pPr>
      <w:r>
        <w:t>7.1 书籍 Chapter 3 方法与经典基线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DD"/>
          <w:left w:val="single" w:sz="4" w:color="B7C9DD"/>
          <w:bottom w:val="single" w:sz="4" w:color="B7C9DD"/>
          <w:right w:val="single" w:sz="4" w:color="B7C9DD"/>
          <w:insideH w:val="single" w:sz="4" w:color="B7C9DD"/>
          <w:insideV w:val="single" w:sz="4" w:color="B7C9DD"/>
        </w:tblBorders>
      </w:tblPr>
      <w:tblGrid>
        <w:gridCol w:w="720"/>
        <w:gridCol w:w="1755"/>
        <w:gridCol w:w="1755"/>
        <w:gridCol w:w="1755"/>
        <w:gridCol w:w="1828"/>
        <w:gridCol w:w="1547"/>
      </w:tblGrid>
      <w:tr>
        <w:trPr>
          <w:tblHeader w:val="true"/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数据集</w:t>
            </w:r>
          </w:p>
        </w:tc>
        <w:tc>
          <w:tcPr>
            <w:tcW w:type="dxa" w:w="17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Convex NOZ F1/FAR/MAR</w:t>
            </w:r>
          </w:p>
        </w:tc>
        <w:tc>
          <w:tcPr>
            <w:tcW w:type="dxa" w:w="17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Search-cone F1/FAR/MAR</w:t>
            </w:r>
          </w:p>
        </w:tc>
        <w:tc>
          <w:tcPr>
            <w:tcW w:type="dxa" w:w="17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Variation F1/FAR/MAR</w:t>
            </w:r>
          </w:p>
        </w:tc>
        <w:tc>
          <w:tcPr>
            <w:tcW w:type="dxa" w:w="18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Pump proxy F1/FAR/MAR</w:t>
            </w:r>
          </w:p>
        </w:tc>
        <w:tc>
          <w:tcPr>
            <w:tcW w:type="dxa" w:w="15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5"/>
              </w:rPr>
              <w:t>Mahalanobis F1/FAR/MAR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TEP</w:t>
            </w:r>
          </w:p>
        </w:tc>
        <w:tc>
          <w:tcPr>
            <w:tcW w:type="dxa" w:w="17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0.7210 / 0.3470 / 0.0440</w:t>
            </w:r>
          </w:p>
        </w:tc>
        <w:tc>
          <w:tcPr>
            <w:tcW w:type="dxa" w:w="17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0.6385 / 0.5385 / 0.0278</w:t>
            </w:r>
          </w:p>
        </w:tc>
        <w:tc>
          <w:tcPr>
            <w:tcW w:type="dxa" w:w="17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0.1455 / 0.0600 / 0.9093</w:t>
            </w:r>
          </w:p>
        </w:tc>
        <w:tc>
          <w:tcPr>
            <w:tcW w:type="dxa" w:w="18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0.4655 / 0.0936 / 0.5491</w:t>
            </w:r>
          </w:p>
        </w:tc>
        <w:tc>
          <w:tcPr>
            <w:tcW w:type="dxa" w:w="15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sz w:val="15"/>
              </w:rPr>
              <w:t>0.8921 / 0.0692 / 0.0766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PRONTO</w:t>
            </w:r>
          </w:p>
        </w:tc>
        <w:tc>
          <w:tcPr>
            <w:tcW w:type="dxa" w:w="17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0.6766 / 0.8069 / 0.0502</w:t>
            </w:r>
          </w:p>
        </w:tc>
        <w:tc>
          <w:tcPr>
            <w:tcW w:type="dxa" w:w="17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0.6661 / 0.5600 / 0.0825</w:t>
            </w:r>
          </w:p>
        </w:tc>
        <w:tc>
          <w:tcPr>
            <w:tcW w:type="dxa" w:w="17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0.0294 / 0.0105 / 0.9848</w:t>
            </w:r>
          </w:p>
        </w:tc>
        <w:tc>
          <w:tcPr>
            <w:tcW w:type="dxa" w:w="18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0.7037 / 0.4209 / 0.1115*</w:t>
            </w:r>
          </w:p>
        </w:tc>
        <w:tc>
          <w:tcPr>
            <w:tcW w:type="dxa" w:w="15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sz w:val="15"/>
              </w:rPr>
              <w:t>0.7229 / 0.4604 / 0.0902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SKAB</w:t>
            </w:r>
          </w:p>
        </w:tc>
        <w:tc>
          <w:tcPr>
            <w:tcW w:type="dxa" w:w="17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0.0950 / 0.9744 / 0.0000</w:t>
            </w:r>
          </w:p>
        </w:tc>
        <w:tc>
          <w:tcPr>
            <w:tcW w:type="dxa" w:w="17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0.0939 / 0.9862 / 0.0000</w:t>
            </w:r>
          </w:p>
        </w:tc>
        <w:tc>
          <w:tcPr>
            <w:tcW w:type="dxa" w:w="17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0.0077 / 0.0063 / 0.9953</w:t>
            </w:r>
          </w:p>
        </w:tc>
        <w:tc>
          <w:tcPr>
            <w:tcW w:type="dxa" w:w="18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0.1271 / 0.7650 / 0.0000*</w:t>
            </w:r>
          </w:p>
        </w:tc>
        <w:tc>
          <w:tcPr>
            <w:tcW w:type="dxa" w:w="154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5"/>
              </w:rPr>
              <w:t>0.1049 / 0.8965 / 0.0000</w:t>
            </w:r>
          </w:p>
        </w:tc>
      </w:tr>
    </w:tbl>
    <w:p>
      <w:pPr>
        <w:spacing w:after="0"/>
      </w:pPr>
    </w:p>
    <w:p>
      <w:pPr>
        <w:keepLines/>
        <w:widowControl/>
      </w:pPr>
      <w:r>
        <w:rPr>
          <w:rFonts w:ascii="Consolas" w:hAnsi="Consolas" w:eastAsia="Microsoft YaHei"/>
          <w:color w:val="1F4D78"/>
          <w:sz w:val="20"/>
        </w:rPr>
        <w:t>*</w:t>
      </w:r>
      <w:r>
        <w:rPr>
          <w:rFonts w:ascii="Calibri" w:hAnsi="Calibri" w:eastAsia="Microsoft YaHei"/>
        </w:rPr>
        <w:t xml:space="preserve"> PRONTO/SKAB pump proxy 的统计门禁激活率为 0，不能因 F1 数值较高而获得方法有效信用。多变量几何模型在 SKAB 上几乎持续报警；变化方向模型在三个数据集上过于保守或规则覆盖不足。</w:t>
      </w:r>
    </w:p>
    <w:p>
      <w:pPr>
        <w:keepLines/>
        <w:widowControl/>
      </w:pPr>
      <w:r>
        <w:rPr>
          <w:rFonts w:ascii="Calibri" w:hAnsi="Calibri" w:eastAsia="Microsoft YaHei"/>
        </w:rPr>
        <w:t>独立全数据协议还得到：TEP Mahalanobis F1=0.8998、PRONTO F1=0.3978、SKAB F1=0.5442，PRONTO Search-cone F1=0.5767。它们与上表不同是因为变量数、故障集合和切分不同，不能跨协议直接排名。</w:t>
      </w:r>
    </w:p>
    <w:p>
      <w:pPr>
        <w:pStyle w:val="Heading2"/>
        <w:keepNext/>
      </w:pPr>
      <w:r>
        <w:t>7.2 多变量适配前后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180454"/>
            <wp:docPr id="4" name="Picture 4" descr="图 4　多变量 M0–M3 的 F1 与 coverage；TEP M3 为 67% 选择性结果" title="7.2 多变量适配前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180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图 4　多变量 M0–M3 的 F1 与 coverage；TEP M3 为 67% 选择性结果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7C9DD"/>
          <w:left w:val="single" w:sz="4" w:color="B7C9DD"/>
          <w:bottom w:val="single" w:sz="4" w:color="B7C9DD"/>
          <w:right w:val="single" w:sz="4" w:color="B7C9DD"/>
          <w:insideH w:val="single" w:sz="4" w:color="B7C9DD"/>
          <w:insideV w:val="single" w:sz="4" w:color="B7C9DD"/>
        </w:tblBorders>
      </w:tblPr>
      <w:tblGrid>
        <w:gridCol w:w="720"/>
        <w:gridCol w:w="2061"/>
        <w:gridCol w:w="2061"/>
        <w:gridCol w:w="2061"/>
        <w:gridCol w:w="2457"/>
      </w:tblGrid>
      <w:tr>
        <w:trPr>
          <w:tblHeader w:val="true"/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数据集</w:t>
            </w:r>
          </w:p>
        </w:tc>
        <w:tc>
          <w:tcPr>
            <w:tcW w:type="dxa" w:w="20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M0 F1/FAR/MAR</w:t>
            </w:r>
          </w:p>
        </w:tc>
        <w:tc>
          <w:tcPr>
            <w:tcW w:type="dxa" w:w="20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M1 robust+shrinkage</w:t>
            </w:r>
          </w:p>
        </w:tc>
        <w:tc>
          <w:tcPr>
            <w:tcW w:type="dxa" w:w="20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M2 + recent/block</w:t>
            </w:r>
          </w:p>
        </w:tc>
        <w:tc>
          <w:tcPr>
            <w:tcW w:type="dxa" w:w="24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color w:val="17365D"/>
                <w:sz w:val="16"/>
              </w:rPr>
              <w:t>M3 auto/selective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TEP</w:t>
            </w:r>
          </w:p>
        </w:tc>
        <w:tc>
          <w:tcPr>
            <w:tcW w:type="dxa" w:w="20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0.8921 / 0.0692 / 0.0766</w:t>
            </w:r>
          </w:p>
        </w:tc>
        <w:tc>
          <w:tcPr>
            <w:tcW w:type="dxa" w:w="20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0.8574 / 0.1230 / 0.0611</w:t>
            </w:r>
          </w:p>
        </w:tc>
        <w:tc>
          <w:tcPr>
            <w:tcW w:type="dxa" w:w="20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0.8351 / 0.1493 / 0.0678</w:t>
            </w:r>
          </w:p>
        </w:tc>
        <w:tc>
          <w:tcPr>
            <w:tcW w:type="dxa" w:w="24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0.8765 / 0.1410 / 0.0003，coverage 0.667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PRONTO</w:t>
            </w:r>
          </w:p>
        </w:tc>
        <w:tc>
          <w:tcPr>
            <w:tcW w:type="dxa" w:w="20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0.7229 / 0.4604 / 0.0902</w:t>
            </w:r>
          </w:p>
        </w:tc>
        <w:tc>
          <w:tcPr>
            <w:tcW w:type="dxa" w:w="20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0.6637 / 0.3870 / 0.1747</w:t>
            </w:r>
          </w:p>
        </w:tc>
        <w:tc>
          <w:tcPr>
            <w:tcW w:type="dxa" w:w="20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0.5640 / 0.4703 / 0.2391</w:t>
            </w:r>
          </w:p>
        </w:tc>
        <w:tc>
          <w:tcPr>
            <w:tcW w:type="dxa" w:w="24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与 M2 相同，coverage 1.0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SKAB</w:t>
            </w:r>
          </w:p>
        </w:tc>
        <w:tc>
          <w:tcPr>
            <w:tcW w:type="dxa" w:w="20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b/>
                <w:sz w:val="16"/>
              </w:rPr>
              <w:t>0.1049 / 0.8965 / 0.0000</w:t>
            </w:r>
          </w:p>
        </w:tc>
        <w:tc>
          <w:tcPr>
            <w:tcW w:type="dxa" w:w="20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0.0993 / 0.9368 / 0.0000</w:t>
            </w:r>
          </w:p>
        </w:tc>
        <w:tc>
          <w:tcPr>
            <w:tcW w:type="dxa" w:w="206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0.0984 / 0.9414 / 0.0037</w:t>
            </w:r>
          </w:p>
        </w:tc>
        <w:tc>
          <w:tcPr>
            <w:tcW w:type="dxa" w:w="245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sz w:val="16"/>
              </w:rPr>
              <w:t>与 M2 相同，coverage 1.0</w:t>
            </w:r>
          </w:p>
        </w:tc>
      </w:tr>
    </w:tbl>
    <w:p>
      <w:pPr>
        <w:spacing w:after="0"/>
      </w:pPr>
    </w:p>
    <w:p>
      <w:pPr>
        <w:keepLines/>
        <w:widowControl/>
      </w:pPr>
      <w:r>
        <w:rPr>
          <w:rFonts w:ascii="Calibri" w:hAnsi="Calibri" w:eastAsia="Microsoft YaHei"/>
        </w:rPr>
        <w:t>M2 相对 M0 的 F1 变化为 TEP -0.0570、PRONTO -0.1589、SKAB -0.0065，FAR 则分别增加 0.0801、0.0099、0.0448。三项均未获得晋级。M3 在 TEP 的低 MAR 来自拒绝 d11，不能解释为全覆盖性能提升。</w:t>
      </w:r>
    </w:p>
    <w:p>
      <w:pPr>
        <w:keepLines/>
        <w:widowControl/>
      </w:pPr>
      <w:r>
        <w:rPr>
          <w:rFonts w:ascii="Calibri" w:hAnsi="Calibri" w:eastAsia="Microsoft YaHei"/>
        </w:rPr>
        <w:t>多变量适配失败的原因是：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robust/MAD 只稳定每个变量的边际尺度，不会对齐旋转或移动后的相关结构；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收缩协方差降低条件数，却仍假设单一椭球正常区；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recent block 只读训练期尾部，无法预见 PRONTO/SKAB 的未来正常工况；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delay 能滤除孤立越界，无法把整段新正常流形移回 NOZ；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</w:rPr>
        <w:t>校准期按异常中位数选变量可能偏向某一阶段，异常评估阶段发生变化时排序失效。</w:t>
      </w:r>
    </w:p>
    <w:p>
      <w:pPr>
        <w:pStyle w:val="Heading1"/>
        <w:keepNext/>
      </w:pPr>
      <w:r>
        <w:t>8. 改进方向</w:t>
      </w:r>
    </w:p>
    <w:p>
      <w:pPr>
        <w:pStyle w:val="Heading2"/>
        <w:keepNext/>
      </w:pPr>
      <w:r>
        <w:t>8.1 P0：先解决工况错配</w:t>
      </w:r>
    </w:p>
    <w:p>
      <w:pPr>
        <w:keepLines/>
        <w:widowControl/>
      </w:pPr>
      <w:r>
        <w:rPr>
          <w:rFonts w:ascii="Calibri" w:hAnsi="Calibri" w:eastAsia="Microsoft YaHei"/>
          <w:b/>
        </w:rPr>
        <w:t>工况条件化。</w:t>
      </w:r>
      <w:r>
        <w:rPr>
          <w:rFonts w:ascii="Calibri" w:hAnsi="Calibri" w:eastAsia="Microsoft YaHei"/>
        </w:rPr>
        <w:t xml:space="preserve"> 使用可观测工况标签、控制设定值或无监督 regime clustering，将正常数据划分为工况，再分别建立 ECDF、Mahalanobis/NOZ 或残差模型。新工况不能静默并入旧阈值，应进入 </w:t>
      </w:r>
      <w:r>
        <w:rPr>
          <w:rFonts w:ascii="Consolas" w:hAnsi="Consolas" w:eastAsia="Microsoft YaHei"/>
          <w:color w:val="1F4D78"/>
          <w:sz w:val="20"/>
        </w:rPr>
        <w:t>unknown_regime</w:t>
      </w:r>
      <w:r>
        <w:rPr>
          <w:rFonts w:ascii="Calibri" w:hAnsi="Calibri" w:eastAsia="Microsoft YaHei"/>
        </w:rPr>
        <w:t xml:space="preserve"> 并拒绝或人工确认。</w:t>
      </w:r>
    </w:p>
    <w:p>
      <w:pPr>
        <w:keepLines/>
        <w:widowControl/>
      </w:pPr>
      <w:r>
        <w:rPr>
          <w:rFonts w:ascii="Calibri" w:hAnsi="Calibri" w:eastAsia="Microsoft YaHei"/>
          <w:b/>
        </w:rPr>
        <w:t>多源正常域。</w:t>
      </w:r>
      <w:r>
        <w:rPr>
          <w:rFonts w:ascii="Calibri" w:hAnsi="Calibri" w:eastAsia="Microsoft YaHei"/>
        </w:rPr>
        <w:t xml:space="preserve"> 当前 PRONTO/SKAB 正常训练段覆盖不足。需要按设备、日期、负荷、批次收集多个正常 group，采用 leave-one-group-out 验证，而不是继续细切同一文件。模型只有在未见 group 上满足 FAR/hour 才能晋级。</w:t>
      </w:r>
    </w:p>
    <w:p>
      <w:pPr>
        <w:keepLines/>
        <w:widowControl/>
      </w:pPr>
      <w:r>
        <w:rPr>
          <w:rFonts w:ascii="Calibri" w:hAnsi="Calibri" w:eastAsia="Microsoft YaHei"/>
          <w:b/>
        </w:rPr>
        <w:t>动态残差替代原值距离。</w:t>
      </w:r>
      <w:r>
        <w:rPr>
          <w:rFonts w:ascii="Calibri" w:hAnsi="Calibri" w:eastAsia="Microsoft YaHei"/>
        </w:rPr>
        <w:t xml:space="preserve"> 对强自相关和共线数据，优先比较 VAR/DPCA/CVA、Kalman innovation、动态 PLS 或状态空间残差。报警对象应是预测残差和创新，而不是原始测量的静态欧氏/马氏距离。</w:t>
      </w:r>
    </w:p>
    <w:p>
      <w:pPr>
        <w:pStyle w:val="Heading2"/>
        <w:keepNext/>
      </w:pPr>
      <w:r>
        <w:t>8.2 P1：把适配变成受控决策</w:t>
      </w:r>
    </w:p>
    <w:p>
      <w:pPr>
        <w:keepLines/>
        <w:widowControl/>
      </w:pPr>
      <w:r>
        <w:rPr>
          <w:rFonts w:ascii="Calibri" w:hAnsi="Calibri" w:eastAsia="Microsoft YaHei"/>
          <w:b/>
        </w:rPr>
        <w:t>双层变点机制。</w:t>
      </w:r>
      <w:r>
        <w:rPr>
          <w:rFonts w:ascii="Calibri" w:hAnsi="Calibri" w:eastAsia="Microsoft YaHei"/>
        </w:rPr>
        <w:t xml:space="preserve"> 第一层 Page/CUSUM 或多变量 score 变点只负责识别“分布发生变化”；第二层在污染保护、最小正常证据和人工/工况确认后重校准。不能在未知异常段直接滚动更新正常参考。</w:t>
      </w:r>
    </w:p>
    <w:p>
      <w:pPr>
        <w:keepLines/>
        <w:widowControl/>
      </w:pPr>
      <w:r>
        <w:rPr>
          <w:rFonts w:ascii="Calibri" w:hAnsi="Calibri" w:eastAsia="Microsoft YaHei"/>
          <w:b/>
        </w:rPr>
        <w:t>稳定变量选择。</w:t>
      </w:r>
      <w:r>
        <w:rPr>
          <w:rFonts w:ascii="Calibri" w:hAnsi="Calibri" w:eastAsia="Microsoft YaHei"/>
        </w:rPr>
        <w:t xml:space="preserve"> 从“最大校准 shift”改为跨 episode 最小 AUC、方向一致性、正常漂移惩罚和组稳定性联合评分。变量在任一关键 group 失效时降权或拒绝。</w:t>
      </w:r>
    </w:p>
    <w:p>
      <w:pPr>
        <w:keepLines/>
        <w:widowControl/>
      </w:pPr>
      <w:r>
        <w:rPr>
          <w:rFonts w:ascii="Calibri" w:hAnsi="Calibri" w:eastAsia="Microsoft YaHei"/>
          <w:b/>
        </w:rPr>
        <w:t>相关结构适配。</w:t>
      </w:r>
      <w:r>
        <w:rPr>
          <w:rFonts w:ascii="Calibri" w:hAnsi="Calibri" w:eastAsia="Microsoft YaHei"/>
        </w:rPr>
        <w:t xml:space="preserve"> 对协方差旋转明显的 SKAB，比较 per-regime shrinkage、CORAL 式二阶对齐、子空间角度门禁和 mixture-of-local-NOZ；只在正常 group 之间学习对齐，禁止使用测试异常标签。</w:t>
      </w:r>
    </w:p>
    <w:p>
      <w:pPr>
        <w:keepLines/>
        <w:widowControl/>
      </w:pPr>
      <w:r>
        <w:rPr>
          <w:rFonts w:ascii="Calibri" w:hAnsi="Calibri" w:eastAsia="Microsoft YaHei"/>
          <w:b/>
        </w:rPr>
        <w:t>选择性预测。</w:t>
      </w:r>
      <w:r>
        <w:rPr>
          <w:rFonts w:ascii="Calibri" w:hAnsi="Calibri" w:eastAsia="Microsoft YaHei"/>
        </w:rPr>
        <w:t xml:space="preserve"> 路由必须同时输出 coverage、拒绝原因和回退模型。若 calibration 最差 block AUC 低、方向不一致或未知工况分数高，则转动态多变量模型，不强制给出单变量分数。</w:t>
      </w:r>
    </w:p>
    <w:p>
      <w:pPr>
        <w:pStyle w:val="Heading2"/>
        <w:keepNext/>
      </w:pPr>
      <w:r>
        <w:t>8.3 P1：从逐点指标转向报警工程指标</w:t>
      </w:r>
    </w:p>
    <w:p>
      <w:pPr>
        <w:pStyle w:val="ListBullet"/>
      </w:pPr>
      <w:r>
        <w:rPr>
          <w:rFonts w:ascii="Calibri" w:hAnsi="Calibri" w:eastAsia="Microsoft YaHei"/>
        </w:rPr>
        <w:t>阈值目标改为每小时虚警事件数、最长持续虚警、事件召回和秒级检测延迟。</w:t>
      </w:r>
    </w:p>
    <w:p>
      <w:pPr>
        <w:pStyle w:val="ListBullet"/>
      </w:pPr>
      <w:r>
        <w:rPr>
          <w:rFonts w:ascii="Calibri" w:hAnsi="Calibri" w:eastAsia="Microsoft YaHei"/>
        </w:rPr>
        <w:t>按真实采样周期定义 delay，不以“样本数”跨数据集复用。</w:t>
      </w:r>
    </w:p>
    <w:p>
      <w:pPr>
        <w:pStyle w:val="ListBullet"/>
      </w:pPr>
      <w:r>
        <w:rPr>
          <w:rFonts w:ascii="Calibri" w:hAnsi="Calibri" w:eastAsia="Microsoft YaHei"/>
        </w:rPr>
        <w:t>对正常/异常分区分别使用 moving-block bootstrap，保留时间依赖。</w:t>
      </w:r>
    </w:p>
    <w:p>
      <w:pPr>
        <w:pStyle w:val="ListBullet"/>
      </w:pPr>
      <w:r>
        <w:rPr>
          <w:rFonts w:ascii="Calibri" w:hAnsi="Calibri" w:eastAsia="Microsoft YaHei"/>
        </w:rPr>
        <w:t>零事件使用显式 Beta 后验及先验参数，不使用隐藏常数回退。</w:t>
      </w:r>
    </w:p>
    <w:p>
      <w:pPr>
        <w:pStyle w:val="ListBullet"/>
      </w:pPr>
      <w:r>
        <w:rPr>
          <w:rFonts w:ascii="Calibri" w:hAnsi="Calibri" w:eastAsia="Microsoft YaHei"/>
        </w:rPr>
        <w:t>排行榜同时报告 point、event、uncertainty、robustness 和 coverage；任一缺失不得发布单一 F1 排名。</w:t>
      </w:r>
    </w:p>
    <w:p>
      <w:pPr>
        <w:pStyle w:val="Heading2"/>
        <w:keepNext/>
      </w:pPr>
      <w:r>
        <w:t>8.4 P2：闭合书籍与论文原条件</w:t>
      </w:r>
    </w:p>
    <w:p>
      <w:pPr>
        <w:pStyle w:val="ListBullet"/>
      </w:pPr>
      <w:r>
        <w:rPr>
          <w:rFonts w:ascii="Calibri" w:hAnsi="Calibri" w:eastAsia="Microsoft YaHei"/>
        </w:rPr>
        <w:t>Chapter 2 仍需 non-IID delay、deadband、APP 对应的原始工业波形、持续时间 PMF 和论文 split。</w:t>
      </w:r>
    </w:p>
    <w:p>
      <w:pPr>
        <w:pStyle w:val="ListBullet"/>
      </w:pPr>
      <w:r>
        <w:rPr>
          <w:rFonts w:ascii="Calibri" w:hAnsi="Calibri" w:eastAsia="Microsoft YaHei"/>
        </w:rPr>
        <w:t>Chapter 3 仍需 CSTR 原生成序列、四组电泵数据、300 MW 冷凝器 100 天工况、变量单位和 Tables 3.6-3.7。</w:t>
      </w:r>
    </w:p>
    <w:p>
      <w:pPr>
        <w:pStyle w:val="ListBullet"/>
      </w:pPr>
      <w:r>
        <w:rPr>
          <w:rFonts w:ascii="Calibri" w:hAnsi="Calibri" w:eastAsia="Microsoft YaHei"/>
        </w:rPr>
        <w:t>取得原数据后按同一数据、预处理、切分、参数、指标和目标表格执行 P3；代理数据结果仅保留为 transfer_result。</w:t>
      </w:r>
    </w:p>
    <w:p>
      <w:pPr>
        <w:pStyle w:val="Heading1"/>
        <w:keepNext/>
      </w:pPr>
      <w:r>
        <w:t>9. 新数据集适配决策流程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60" w:type="dxa"/>
      </w:tblPr>
      <w:tblGrid>
        <w:gridCol w:w="9000"/>
      </w:tblGrid>
      <w:tr>
        <w:trPr>
          <w:tblHeader w:val="true"/>
        </w:trPr>
        <w:tc>
          <w:tcPr>
            <w:tcW w:type="dxa" w:w="9000"/>
            <w:shd w:fill="F6F8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6"/>
              </w:rPr>
              <w:t>注册数据与 citation/SHA-256</w:t>
            </w:r>
            <w:r>
              <w:br/>
            </w:r>
            <w:r>
              <w:rPr>
                <w:rFonts w:ascii="Consolas" w:hAnsi="Consolas"/>
                <w:color w:val="24292F"/>
                <w:sz w:val="16"/>
              </w:rPr>
              <w:t xml:space="preserve">  → group 隔离与时间 purge</w:t>
            </w:r>
            <w:r>
              <w:br/>
            </w:r>
            <w:r>
              <w:rPr>
                <w:rFonts w:ascii="Consolas" w:hAnsi="Consolas"/>
                <w:color w:val="24292F"/>
                <w:sz w:val="16"/>
              </w:rPr>
              <w:t xml:space="preserve">  → 正常/异常 train-cal-eval 四分区</w:t>
            </w:r>
            <w:r>
              <w:br/>
            </w:r>
            <w:r>
              <w:rPr>
                <w:rFonts w:ascii="Consolas" w:hAnsi="Consolas"/>
                <w:color w:val="24292F"/>
                <w:sz w:val="16"/>
              </w:rPr>
              <w:t xml:space="preserve">  → 边际 KS/Wasserstein + 位置/协方差/相关/有效秩/lag-1 审计</w:t>
            </w:r>
            <w:r>
              <w:br/>
            </w:r>
            <w:r>
              <w:rPr>
                <w:rFonts w:ascii="Consolas" w:hAnsi="Consolas"/>
                <w:color w:val="24292F"/>
                <w:sz w:val="16"/>
              </w:rPr>
              <w:t xml:space="preserve">  → 校准期最差 block 可分性</w:t>
            </w:r>
            <w:r>
              <w:br/>
            </w:r>
            <w:r>
              <w:rPr>
                <w:rFonts w:ascii="Consolas" w:hAnsi="Consolas"/>
                <w:color w:val="24292F"/>
                <w:sz w:val="16"/>
              </w:rPr>
              <w:t xml:space="preserve">      ├─ 弱或不稳定：reject，转动态残差/任务专用模型</w:t>
            </w:r>
            <w:r>
              <w:br/>
            </w:r>
            <w:r>
              <w:rPr>
                <w:rFonts w:ascii="Consolas" w:hAnsi="Consolas"/>
                <w:color w:val="24292F"/>
                <w:sz w:val="16"/>
              </w:rPr>
              <w:t xml:space="preserve">      ├─ 分布稳定：static ECDF 或 static robust Mahalanobis</w:t>
            </w:r>
            <w:r>
              <w:br/>
            </w:r>
            <w:r>
              <w:rPr>
                <w:rFonts w:ascii="Consolas" w:hAnsi="Consolas"/>
                <w:color w:val="24292F"/>
                <w:sz w:val="16"/>
              </w:rPr>
              <w:t xml:space="preserve">      └─ 漂移但可分：regime/recent/block 适配</w:t>
            </w:r>
            <w:r>
              <w:br/>
            </w:r>
            <w:r>
              <w:rPr>
                <w:rFonts w:ascii="Consolas" w:hAnsi="Consolas"/>
                <w:color w:val="24292F"/>
                <w:sz w:val="16"/>
              </w:rPr>
              <w:t xml:space="preserve">  → 冻结后评估 point + event + uncertainty + coverage</w:t>
            </w:r>
            <w:r>
              <w:br/>
            </w:r>
            <w:r>
              <w:rPr>
                <w:rFonts w:ascii="Consolas" w:hAnsi="Consolas"/>
                <w:color w:val="24292F"/>
                <w:sz w:val="16"/>
              </w:rPr>
              <w:t xml:space="preserve">  → 未满足 FAR/hour、MAR、delay 或 coverage：不晋级</w:t>
            </w:r>
          </w:p>
        </w:tc>
      </w:tr>
    </w:tbl>
    <w:p>
      <w:pPr>
        <w:spacing w:after="0"/>
      </w:pPr>
    </w:p>
    <w:p>
      <w:pPr>
        <w:keepLines/>
        <w:widowControl/>
      </w:pPr>
      <w:r>
        <w:rPr>
          <w:rFonts w:ascii="Calibri" w:hAnsi="Calibri" w:eastAsia="Microsoft YaHei"/>
        </w:rPr>
        <w:t>推荐的最低晋级门禁为：不存在分区重叠；所有超参数冻结；至少三个独立 group；FAR、MAR、事件指标和置信区间完整；没有利用评估标签路由；相对基线改善在多个 group 上方向一致；拒绝单元单独计数。</w:t>
      </w:r>
    </w:p>
    <w:p>
      <w:pPr>
        <w:pStyle w:val="Heading1"/>
        <w:keepNext/>
      </w:pPr>
      <w:r>
        <w:t>10. 可复现性与质量控制</w:t>
      </w:r>
    </w:p>
    <w:p>
      <w:pPr>
        <w:keepLines/>
        <w:widowControl/>
      </w:pPr>
      <w:r>
        <w:rPr>
          <w:rFonts w:ascii="Calibri" w:hAnsi="Calibri" w:eastAsia="Microsoft YaHei"/>
        </w:rPr>
        <w:t>核心命令：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60" w:type="dxa"/>
      </w:tblPr>
      <w:tblGrid>
        <w:gridCol w:w="9000"/>
      </w:tblGrid>
      <w:tr>
        <w:trPr>
          <w:tblHeader w:val="true"/>
        </w:trPr>
        <w:tc>
          <w:tcPr>
            <w:tcW w:type="dxa" w:w="9000"/>
            <w:shd w:fill="F6F8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4292F"/>
                <w:sz w:val="16"/>
              </w:rPr>
              <w:t>python experiments/paper_harness/chapter2_multidataset/experiment.py --out_dir experiments/paper_harness/chapter2_multidataset/run_1</w:t>
            </w:r>
            <w:r>
              <w:br/>
            </w:r>
            <w:r>
              <w:rPr>
                <w:rFonts w:ascii="Consolas" w:hAnsi="Consolas"/>
                <w:color w:val="24292F"/>
                <w:sz w:val="16"/>
              </w:rPr>
              <w:t>python experiments/paper_harness/chapter3_multidataset/experiment.py --out_dir experiments/paper_harness/chapter3_multidataset/run_1</w:t>
            </w:r>
            <w:r>
              <w:br/>
            </w:r>
            <w:r>
              <w:rPr>
                <w:rFonts w:ascii="Consolas" w:hAnsi="Consolas"/>
                <w:color w:val="24292F"/>
                <w:sz w:val="16"/>
              </w:rPr>
              <w:t>python experiments/paper_harness/univariate_adaptation/experiment.py --out_dir experiments/paper_harness/univariate_adaptation/run_1</w:t>
            </w:r>
            <w:r>
              <w:br/>
            </w:r>
            <w:r>
              <w:rPr>
                <w:rFonts w:ascii="Consolas" w:hAnsi="Consolas"/>
                <w:color w:val="24292F"/>
                <w:sz w:val="16"/>
              </w:rPr>
              <w:t>python experiments/paper_harness/multivariate_adaptation/experiment.py --out_dir experiments/paper_harness/multivariate_adaptation/run_1</w:t>
            </w:r>
            <w:r>
              <w:br/>
            </w:r>
            <w:r>
              <w:rPr>
                <w:rFonts w:ascii="Consolas" w:hAnsi="Consolas"/>
                <w:color w:val="24292F"/>
                <w:sz w:val="16"/>
              </w:rPr>
              <w:t>python experiments/paper_harness/multivariate_adaptation/plot.py</w:t>
            </w:r>
            <w:r>
              <w:br/>
            </w:r>
            <w:r>
              <w:rPr>
                <w:rFonts w:ascii="Consolas" w:hAnsi="Consolas"/>
                <w:color w:val="24292F"/>
                <w:sz w:val="16"/>
              </w:rPr>
              <w:t>python -m pytest -q</w:t>
            </w:r>
          </w:p>
        </w:tc>
      </w:tr>
    </w:tbl>
    <w:p>
      <w:pPr>
        <w:spacing w:after="0"/>
      </w:pPr>
    </w:p>
    <w:p>
      <w:pPr>
        <w:keepLines/>
        <w:widowControl/>
      </w:pPr>
      <w:r>
        <w:rPr>
          <w:rFonts w:ascii="Calibri" w:hAnsi="Calibri" w:eastAsia="Microsoft YaHei"/>
        </w:rPr>
        <w:t>主要机器证据：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0"/>
        </w:rPr>
        <w:t>experiments/reports/book_ch2_multidataset_validation.json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0"/>
        </w:rPr>
        <w:t>experiments/reports/univariate_distribution_audit_validation.json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0"/>
        </w:rPr>
        <w:t>experiments/reports/skab_univariate_onboarding_validation.json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0"/>
        </w:rPr>
        <w:t>experiments/reports/book_ch3_multidataset_validation.json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0"/>
        </w:rPr>
        <w:t>experiments/reports/multivariate_distribution_adaptation_validation.json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0"/>
        </w:rPr>
        <w:t>experiments/reports/tep_mahalanobis_validation.json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0"/>
        </w:rPr>
        <w:t>experiments/reports/pronto_mahalanobis_validation.json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0"/>
        </w:rPr>
        <w:t>experiments/reports/skab_mahalanobis_validation.json</w:t>
      </w:r>
    </w:p>
    <w:p>
      <w:pPr>
        <w:pStyle w:val="ListBullet"/>
      </w:pPr>
      <w:r>
        <w:rPr>
          <w:rFonts w:ascii="Consolas" w:hAnsi="Consolas" w:eastAsia="Microsoft YaHei"/>
          <w:color w:val="1F4D78"/>
          <w:sz w:val="20"/>
        </w:rPr>
        <w:t>experiments/reports/pronto_search_cone_validation.json</w:t>
      </w:r>
    </w:p>
    <w:p>
      <w:pPr>
        <w:keepLines/>
        <w:widowControl/>
      </w:pPr>
      <w:r>
        <w:rPr>
          <w:rFonts w:ascii="Calibri" w:hAnsi="Calibri" w:eastAsia="Microsoft YaHei"/>
        </w:rPr>
        <w:t>本轮新增多变量适配的 M0 与冻结 Chapter 3 Mahalanobis 在三个数据集上的 FAR/MAR/F1 完全一致；所有 scored 单元均含 moving-block bootstrap；单元测试、全仓测试和 JSON 校验在提交前执行。</w:t>
      </w:r>
    </w:p>
    <w:p>
      <w:pPr>
        <w:pStyle w:val="Heading1"/>
        <w:keepNext/>
      </w:pPr>
      <w:r>
        <w:t>11. 最终结论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</w:rPr>
        <w:t>单变量方法具备可落地的条件适配能力，但不存在一个对 TEP、PRONTO、SKAB 都满足低 FAR/低 MAR 的统一适配器。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</w:rPr>
        <w:t>TEP 可优先使用双侧 ECDF；d11 应拒绝单变量并转动态多变量残差。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</w:rPr>
        <w:t>PRONTO 需要工况/变点路由与动态模型，block-recent 只能交换 FAR 和 MAR，不能形成部署级改进。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</w:rPr>
        <w:t>SKAB 的单变量 recent-window 有工程改善，但事件虚警仍高；多变量静态椭球及其稳健收缩变体均失败。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</w:rPr>
        <w:t>新增多变量适配实验否证了“稳健缩放 + 协方差收缩 + block calibration 足以解决迁移”的假设。后续应建模正常工况流形与时序状态，而不是继续对全局阈值做局部优化。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</w:rPr>
        <w:t>当前成果可作为可重复的 M2/P1 transfer benchmark；书籍/论文 P3 仍取决于原始泵、冷凝器、CSTR 和专用报警载荷。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7085"/>
        <w:sz w:val="17"/>
      </w:rPr>
      <w:t xml:space="preserve">IIA Benchmark · 内部验证报告　</w:t>
    </w:r>
    <w:r>
      <w:rPr>
        <w:rFonts w:ascii="Calibri" w:hAnsi="Calibri" w:eastAsia="Microsoft YaHei"/>
        <w:color w:val="667085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b/>
        <w:color w:val="667085"/>
        <w:sz w:val="17"/>
      </w:rPr>
      <w:t>IIA BENCHMARK  /  ALARM ANALYTICS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  <w:jc w:val="center"/>
    </w:pPr>
    <w:rPr>
      <w:rFonts w:ascii="Calibri" w:hAnsi="Calibri" w:eastAsia="Microsoft YaHei"/>
      <w:b/>
      <w:bCs/>
      <w:i w:val="0"/>
      <w:color w:val="52606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IIA Benchmark 单变量与多变量报警验证、分布分析及适应性改进报告</dc:title>
  <dc:subject>单变量、多变量算法验证与跨数据集适配</dc:subject>
  <dc:creator>IIA Benchmark Engineering Team</dc:creator>
  <cp:keywords>industrial alarm, univariate, multivariate, distribution shift, adaptation</cp:keywords>
  <dc:description>Generated from frozen repository evidence on 2026-09-03.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