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Times New Roman" w:hAnsi="Times New Roman" w:eastAsia="黑体"/>
          <w:b/>
          <w:bCs/>
          <w:i w:val="false"/>
          <w:iCs w:val="false"/>
          <w:color w:val="1F4E79"/>
          <w:sz w:val="36"/>
          <w:szCs w:val="36"/>
        </w:rPr>
        <w:t xml:space="preserve">给张令羽、丁威的一份完整修改意见</w:t>
      </w:r>
    </w:p>
    <w:p>
      <w:pPr>
        <w:spacing w:before="40" w:after="40"/>
        <w:jc w:val="center"/>
      </w:pPr>
      <w:r>
        <w:rPr>
          <w:rFonts w:ascii="Times New Roman" w:hAnsi="Times New Roman" w:eastAsia="宋体"/>
          <w:b w:val="false"/>
          <w:bCs w:val="false"/>
          <w:i w:val="false"/>
          <w:iCs w:val="false"/>
          <w:color w:val="2E75B6"/>
          <w:sz w:val="26"/>
          <w:szCs w:val="26"/>
        </w:rPr>
        <w:t xml:space="preserve">把 MTDA 写成一篇能够投稿 CCF-A 的论文</w:t>
      </w:r>
    </w:p>
    <w:p>
      <w:pPr>
        <w:pBdr>
          <w:bottom w:val="single" w:color="1F4E79" w:sz="12" w:space="1"/>
        </w:pBdr>
        <w:spacing w:before="40" w:after="200"/>
        <w:jc w:val="center"/>
      </w:pPr>
      <w:r>
        <w:rPr>
          <w:rFonts w:ascii="Times New Roman" w:hAnsi="Times New Roman" w:eastAsia="宋体"/>
          <w:b w:val="false"/>
          <w:bCs w:val="false"/>
          <w:i w:val="false"/>
          <w:iCs w:val="false"/>
          <w:color w:val="666666"/>
          <w:sz w:val="20"/>
          <w:szCs w:val="20"/>
        </w:rPr>
        <w:t xml:space="preserve">2026年10月16日    只看这一份，前面两封邮件作废</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令羽、丁威：</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我把实验说明和七个模型的对比表又看了一遍。实验是认真做的，有几个数据集上的提升也是实的，这一点不用怀疑。现在卡住的不是“再调一个参数能不能再高零点零几”，而是文章还讲不出一件别人拆不掉的新事情。</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前面邮件拆成了两封，公式也只是普通文本，读起来费劲。这一份把判断、原因和改法按一条线写完。公式都用 Word 的公式排过。你们读的时候不必来回翻邮件。</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我先把话说明白。CCF-A 看的不是“我们把几种好用的办法接在一起，平均分更高”。它看的是：你们有没有把一个清楚的问题，变成一个清楚的算法，并且这个算法在该赢的地方赢、在该输的地方也输得明白。下面就按这个标准谈。</w:t>
      </w:r>
    </w:p>
    <w:p>
      <w:pPr>
        <w:pStyle w:val="Heading1"/>
        <w:pBdr>
          <w:bottom w:val="single" w:color="1F4E79" w:sz="8" w:space="1"/>
        </w:pBdr>
        <w:spacing w:before="360" w:after="160"/>
      </w:pPr>
      <w:r>
        <w:rPr>
          <w:rFonts w:ascii="Times New Roman" w:hAnsi="Times New Roman" w:eastAsia="黑体"/>
          <w:b/>
          <w:bCs/>
          <w:color w:val="1F4E79"/>
          <w:sz w:val="32"/>
          <w:szCs w:val="32"/>
        </w:rPr>
        <w:t xml:space="preserve">一、先听我的判断</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你们现在的系统可以看成五步接在一起：先用一个冻住的编码器取出状态；再把这段序列收成一个表示起伏强弱的数；然后用周围的上下文给这个数算条件概率；接着用相似正常样本的能量曲线，把这个数摊回每一个时间点；最后再加一路通道活跃度。每一步单独看都说得通，接在一起也确实补上了不同的错误，所以平均成绩好。</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问题是，这五步里没有出现一个新的、必须这样估计的量。笔记里写的三条创新，分别还停留在“我们选择不看某一项”“我们用固定的一半对一半把分数摊开”“我们把两路分数相加”。这三件事都是用法上的选择，还不是新方法。</w:t>
      </w:r>
    </w:p>
    <w:p>
      <w:pPr>
        <w:pBdr>
          <w:left w:val="single" w:color="2E75B6" w:sz="12" w:space="8"/>
        </w:pBdr>
        <w:spacing w:before="80" w:after="80" w:line="360" w:lineRule="auto"/>
        <w:ind w:left="360"/>
      </w:pPr>
      <w:r>
        <w:rPr>
          <w:rFonts w:ascii="Times New Roman" w:hAnsi="Times New Roman" w:eastAsia="宋体"/>
          <w:b w:val="false"/>
          <w:bCs w:val="false"/>
          <w:i w:val="false"/>
          <w:iCs w:val="false"/>
          <w:color w:val="333333"/>
          <w:sz w:val="22"/>
          <w:szCs w:val="22"/>
        </w:rPr>
        <w:t xml:space="preserve">可以用一句话记住：问题你们看对了，估计这个问题的模型还没有长出来。效果好，是因为几种旧分数正好补了不同的洞。</w:t>
      </w:r>
    </w:p>
    <w:p>
      <w:pPr>
        <w:pStyle w:val="Heading1"/>
        <w:pBdr>
          <w:bottom w:val="single" w:color="1F4E79" w:sz="8" w:space="1"/>
        </w:pBdr>
        <w:spacing w:before="360" w:after="160"/>
      </w:pPr>
      <w:r>
        <w:rPr>
          <w:rFonts w:ascii="Times New Roman" w:hAnsi="Times New Roman" w:eastAsia="黑体"/>
          <w:b/>
          <w:bCs/>
          <w:color w:val="1F4E79"/>
          <w:sz w:val="32"/>
          <w:szCs w:val="32"/>
        </w:rPr>
        <w:t xml:space="preserve">二、你们的方法，我用白话复述一遍</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先把术语定死，后面不再换词。一段长度为 64 的片段叫目标片段。</w:t>
      </w:r>
    </w:p>
    <w:p>
      <w:pPr>
        <w:pStyle w:val="ListParagraph"/>
        <w:numPr>
          <w:ilvl w:val="0"/>
          <w:numId w:val="2"/>
        </w:numPr>
        <w:spacing w:before="40" w:after="40" w:line="360" w:lineRule="auto"/>
      </w:pPr>
      <w:r>
        <w:rPr>
          <w:rFonts w:ascii="Times New Roman" w:hAnsi="Times New Roman" w:eastAsia="宋体"/>
          <w:b w:val="false"/>
          <w:bCs w:val="false"/>
          <w:i w:val="false"/>
          <w:iCs w:val="false"/>
          <w:color w:val="222222"/>
          <w:sz w:val="22"/>
          <w:szCs w:val="22"/>
        </w:rPr>
        <w:t xml:space="preserve">状态，记作 h。它回答：这段整体上像哪一种正常工况。</w:t>
      </w:r>
    </w:p>
    <w:p>
      <w:pPr>
        <w:pStyle w:val="ListParagraph"/>
        <w:numPr>
          <w:ilvl w:val="0"/>
          <w:numId w:val="2"/>
        </w:numPr>
        <w:spacing w:before="40" w:after="40" w:line="360" w:lineRule="auto"/>
      </w:pPr>
      <w:r>
        <w:rPr>
          <w:rFonts w:ascii="Times New Roman" w:hAnsi="Times New Roman" w:eastAsia="宋体"/>
          <w:b w:val="false"/>
          <w:bCs w:val="false"/>
          <w:i w:val="false"/>
          <w:iCs w:val="false"/>
          <w:color w:val="222222"/>
          <w:sz w:val="22"/>
          <w:szCs w:val="22"/>
        </w:rPr>
        <w:t xml:space="preserve">细节，记作 d。它回答：这种工况下面，这段内部起伏强不强。它是一个数，不是一条曲线。</w:t>
      </w:r>
    </w:p>
    <w:p>
      <w:pPr>
        <w:pStyle w:val="ListParagraph"/>
        <w:numPr>
          <w:ilvl w:val="0"/>
          <w:numId w:val="2"/>
        </w:numPr>
        <w:spacing w:before="40" w:after="40" w:line="360" w:lineRule="auto"/>
      </w:pPr>
      <w:r>
        <w:rPr>
          <w:rFonts w:ascii="Times New Roman" w:hAnsi="Times New Roman" w:eastAsia="宋体"/>
          <w:b w:val="false"/>
          <w:bCs w:val="false"/>
          <w:i w:val="false"/>
          <w:iCs w:val="false"/>
          <w:color w:val="222222"/>
          <w:sz w:val="22"/>
          <w:szCs w:val="22"/>
        </w:rPr>
        <w:t xml:space="preserve">上下文，记作 c。计算它之前，要把目标片段自己的原始数值遮住，只看同一窗口里其余的观测。</w:t>
      </w:r>
    </w:p>
    <w:p>
      <w:pPr>
        <w:pStyle w:val="ListParagraph"/>
        <w:numPr>
          <w:ilvl w:val="0"/>
          <w:numId w:val="2"/>
        </w:numPr>
        <w:spacing w:before="40" w:after="40" w:line="360" w:lineRule="auto"/>
      </w:pPr>
      <w:r>
        <w:rPr>
          <w:rFonts w:ascii="Times New Roman" w:hAnsi="Times New Roman" w:eastAsia="宋体"/>
          <w:b w:val="false"/>
          <w:bCs w:val="false"/>
          <w:i w:val="false"/>
          <w:iCs w:val="false"/>
          <w:color w:val="222222"/>
          <w:sz w:val="22"/>
          <w:szCs w:val="22"/>
        </w:rPr>
        <w:t xml:space="preserve">活跃度。它回答：哪些通道在动、动得相对自己的历史有多厉害。</w:t>
      </w:r>
    </w:p>
    <w:p>
      <w:pPr>
        <w:pStyle w:val="Heading2"/>
        <w:spacing w:before="280" w:after="120"/>
      </w:pPr>
      <w:r>
        <w:rPr>
          <w:rFonts w:ascii="Times New Roman" w:hAnsi="Times New Roman" w:eastAsia="黑体"/>
          <w:b/>
          <w:bCs/>
          <w:color w:val="2E75B6"/>
          <w:sz w:val="28"/>
          <w:szCs w:val="28"/>
        </w:rPr>
        <w:t xml:space="preserve">2.1  条件概率被拆成两项，检测时只用了第二项</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三角流把“状态和细节一起出现的可能性”拆成前后两项。前一项是：在当前上下文下，这个状态本身常不常见。后一项是：已经知道状态和上下文之后，这个细节常不常见。</w:t>
      </w:r>
    </w:p>
    <w:p>
      <w:pPr>
        <w:spacing w:before="160" w:after="160" w:line="360" w:lineRule="auto"/>
        <w:jc w:val="center"/>
      </w:pPr>
      <m:oMath>
        <m:func>
          <m:funcPr/>
          <m:fName>
            <m:r>
              <m:t>p</m:t>
            </m:r>
          </m:fName>
          <m:e>
            <m:d>
              <m:dPr/>
              <m:e>
                <m:r>
                  <m:t>h,d</m:t>
                </m:r>
                <m:r>
                  <m:t>∣</m:t>
                </m:r>
                <m:r>
                  <m:t>c</m:t>
                </m:r>
              </m:e>
            </m:d>
          </m:e>
        </m:func>
        <m:r>
          <m:t>=</m:t>
        </m:r>
        <m:func>
          <m:funcPr/>
          <m:fName>
            <m:r>
              <m:t>p</m:t>
            </m:r>
          </m:fName>
          <m:e>
            <m:d>
              <m:dPr/>
              <m:e>
                <m:r>
                  <m:t>h</m:t>
                </m:r>
                <m:r>
                  <m:t>∣</m:t>
                </m:r>
                <m:r>
                  <m:t>c</m:t>
                </m:r>
              </m:e>
            </m:d>
          </m:e>
        </m:func>
        <m:r>
          <m:t> </m:t>
        </m:r>
        <m:func>
          <m:funcPr/>
          <m:fName>
            <m:r>
              <m:t>p</m:t>
            </m:r>
          </m:fName>
          <m:e>
            <m:d>
              <m:dPr/>
              <m:e>
                <m:r>
                  <m:t>d</m:t>
                </m:r>
                <m:r>
                  <m:t>∣</m:t>
                </m:r>
                <m:r>
                  <m:t>h,c</m:t>
                </m:r>
              </m:e>
            </m:d>
          </m:e>
        </m:func>
      </m:oMath>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检测时，你们把第一项丢掉，只保留第二项的负对数。分数越大，表示这个细节越不像“该状态下该有的细节”。</w:t>
      </w:r>
    </w:p>
    <w:p>
      <w:pPr>
        <w:spacing w:before="160" w:after="160" w:line="360" w:lineRule="auto"/>
        <w:jc w:val="center"/>
      </w:pPr>
      <m:oMath>
        <m:sSup>
          <m:sSupPr/>
          <m:e>
            <m:r>
              <m:t>s</m:t>
            </m:r>
          </m:e>
          <m:sup>
            <m:r>
              <m:t>D</m:t>
            </m:r>
          </m:sup>
        </m:sSup>
        <m:r>
          <m:t>=</m:t>
        </m:r>
        <m:r>
          <m:t>−</m:t>
        </m:r>
        <m:func>
          <m:funcPr/>
          <m:fName>
            <m:r>
              <m:t>log</m:t>
            </m:r>
          </m:fName>
          <m:e>
            <m:d>
              <m:dPr/>
              <m:e>
                <m:func>
                  <m:funcPr/>
                  <m:fName>
                    <m:r>
                      <m:t>p</m:t>
                    </m:r>
                  </m:fName>
                  <m:e>
                    <m:d>
                      <m:dPr/>
                      <m:e>
                        <m:r>
                          <m:t>d</m:t>
                        </m:r>
                        <m:r>
                          <m:t>∣</m:t>
                        </m:r>
                        <m:r>
                          <m:t>h,c</m:t>
                        </m:r>
                      </m:e>
                    </m:d>
                  </m:e>
                </m:func>
              </m:e>
            </m:d>
          </m:e>
        </m:func>
      </m:oMath>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这一步的用意我是同意的。工厂数据里经常有少见但完全正常的工况。如果把“状态少见”也当成异常，就会大面积误报。只问细节，是在躲这个坑。</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可是“我们决定不用第一项”还不是一条方法。审稿人会问：正常数据上，你们的分数是不是真的不再随着状态变稀有而升高？如果只是事后删掉，而没有在训练里约束它，这就是一次选择，换一组数据可能就该把第一项加回来。</w:t>
      </w:r>
    </w:p>
    <w:p>
      <w:pPr>
        <w:pStyle w:val="Heading2"/>
        <w:spacing w:before="280" w:after="120"/>
      </w:pPr>
      <w:r>
        <w:rPr>
          <w:rFonts w:ascii="Times New Roman" w:hAnsi="Times New Roman" w:eastAsia="黑体"/>
          <w:b/>
          <w:bCs/>
          <w:color w:val="2E75B6"/>
          <w:sz w:val="28"/>
          <w:szCs w:val="28"/>
        </w:rPr>
        <w:t xml:space="preserve">2.2  细节 d 是怎么来的</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d 不是模型学出来的一个隐藏因素。它是在冻住的卷积特征图上算出来的能量。每个通道先减去自己在这 64 个点上的平均值，再把偏差的平方平均起来，取对数，最后用训练集的中位数和绝对偏差做标准化。写成公式就是下面这个意思。</w:t>
      </w:r>
    </w:p>
    <w:p>
      <w:pPr>
        <w:spacing w:before="160" w:after="160" w:line="360" w:lineRule="auto"/>
        <w:jc w:val="center"/>
      </w:pPr>
      <m:oMath>
        <m:r>
          <m:t>d</m:t>
        </m:r>
        <m:r>
          <m:t>=</m:t>
        </m:r>
        <m:func>
          <m:funcPr/>
          <m:fName>
            <m:r>
              <m:t>log</m:t>
            </m:r>
          </m:fName>
          <m:e>
            <m:d>
              <m:dPr/>
              <m:e>
                <m:r>
                  <m:t>1+</m:t>
                </m:r>
                <m:func>
                  <m:funcPr/>
                  <m:fName>
                    <m:r>
                      <m:t>mean</m:t>
                    </m:r>
                  </m:fName>
                  <m:e>
                    <m:d>
                      <m:dPr/>
                      <m:e>
                        <m:sSup>
                          <m:sSupPr/>
                          <m:e>
                            <m:d>
                              <m:dPr/>
                              <m:e>
                                <m:r>
                                  <m:t>H</m:t>
                                </m:r>
                                <m:r>
                                  <m:t>−</m:t>
                                </m:r>
                                <m:func>
                                  <m:funcPr/>
                                  <m:fName>
                                    <m:r>
                                      <m:t>mean</m:t>
                                    </m:r>
                                  </m:fName>
                                  <m:e>
                                    <m:d>
                                      <m:dPr/>
                                      <m:e>
                                        <m:r>
                                          <m:t>H</m:t>
                                        </m:r>
                                      </m:e>
                                    </m:d>
                                  </m:e>
                                </m:func>
                              </m:e>
                            </m:d>
                          </m:e>
                          <m:sup>
                            <m:r>
                              <m:t>2</m:t>
                            </m:r>
                          </m:sup>
                        </m:sSup>
                      </m:e>
                    </m:d>
                  </m:e>
                </m:func>
              </m:e>
            </m:d>
          </m:e>
        </m:func>
      </m:oMath>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括号里是特征相对本段时间均值的偏差，再对通道和时间取平均。标准化用的是训练集，不是测试集，这一点是对的。请注意：流模型主要就是在给这一个数算条件密度。高维密度难估，收成一个数以后当然稳。所以后面如果发现“不用流、只把 d 按状态做标准化”就已经接近全系统，论文就不能把流模型写成贡献。</w:t>
      </w:r>
    </w:p>
    <w:p>
      <w:pPr>
        <w:pStyle w:val="Heading2"/>
        <w:spacing w:before="280" w:after="120"/>
      </w:pPr>
      <w:r>
        <w:rPr>
          <w:rFonts w:ascii="Times New Roman" w:hAnsi="Times New Roman" w:eastAsia="黑体"/>
          <w:b/>
          <w:bCs/>
          <w:color w:val="2E75B6"/>
          <w:sz w:val="28"/>
          <w:szCs w:val="28"/>
        </w:rPr>
        <w:t xml:space="preserve">2.3  一个数怎么变成每个时间点的分数</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流模型对每个目标片段只给出一个数。时间上的位置是另做的：用状态 h 找 20 个最像的正常片段，看它们的能量曲线在每个相对位置的中位数，再和当前曲线比。偏离大的位置分到更多分数。然后你们规定，一半分数均匀铺在 64 个点上，另一半按这个偏离来铺。</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这能用，但位置并不是模型自己算出来的。0.5 是一个固定常数。均匀的那一半让整段都被点亮，区间类指标会好看；残差的那一半把分数堆到峰上，点状异常会好看。两个指标要的东西相反，所以这个常数其实是在两边各让一步。换指标就要重调。CCF-A 不会把 0.5 当成创新。</w:t>
      </w:r>
    </w:p>
    <w:p>
      <w:pPr>
        <w:pStyle w:val="Heading2"/>
        <w:spacing w:before="280" w:after="120"/>
      </w:pPr>
      <w:r>
        <w:rPr>
          <w:rFonts w:ascii="Times New Roman" w:hAnsi="Times New Roman" w:eastAsia="黑体"/>
          <w:b/>
          <w:bCs/>
          <w:color w:val="2E75B6"/>
          <w:sz w:val="28"/>
          <w:szCs w:val="28"/>
        </w:rPr>
        <w:t xml:space="preserve">2.4  活跃度是另一路，最后加在一起</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活跃度看每个通道在这 64 个点上的标准差，按该通道自己的正常历史排一个相对位置，再标出这个通道现在活不活跃，然后在正常记忆里找 5 个最近邻，用平均距离当分数。它抓的是另一类异常：通道卡住了、整段方差变了、或者“哪些通道在动”的组合错了。这类异常不一定让潜空间的起伏变大，所以单靠 d 会漏。</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两路各自用正常验证集换成尾部秩，再相加。尾部秩的意思是：这个分数在正常验证点里有多靠后，越靠后越可疑。这一步只用正常验证数据，不看测试标签，是合法的。它解决的是两路分数单位不一样，不是“为什么应该相加”。</w:t>
      </w:r>
    </w:p>
    <w:p>
      <w:pPr>
        <w:spacing w:before="160" w:after="160" w:line="360" w:lineRule="auto"/>
        <w:jc w:val="center"/>
      </w:pPr>
      <m:oMath>
        <m:func>
          <m:funcPr/>
          <m:fName>
            <m:r>
              <m:t>S</m:t>
            </m:r>
          </m:fName>
          <m:e>
            <m:d>
              <m:dPr/>
              <m:e>
                <m:r>
                  <m:t>q</m:t>
                </m:r>
              </m:e>
            </m:d>
          </m:e>
        </m:func>
        <m:r>
          <m:t>=</m:t>
        </m:r>
        <m:sSub>
          <m:sSubPr/>
          <m:e>
            <m:r>
              <m:t>q</m:t>
            </m:r>
          </m:e>
          <m:sub>
            <m:r>
              <m:t>A</m:t>
            </m:r>
          </m:sub>
        </m:sSub>
        <m:d>
          <m:dPr/>
          <m:e>
            <m:r>
              <m:t>q</m:t>
            </m:r>
          </m:e>
        </m:d>
        <m:r>
          <m:t>+</m:t>
        </m:r>
        <m:sSub>
          <m:sSubPr/>
          <m:e>
            <m:r>
              <m:t>q</m:t>
            </m:r>
          </m:e>
          <m:sub>
            <m:r>
              <m:t>D</m:t>
            </m:r>
          </m:sub>
        </m:sSub>
        <m:d>
          <m:dPr/>
          <m:e>
            <m:r>
              <m:t>q</m:t>
            </m:r>
          </m:e>
        </m:d>
      </m:oMath>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也就是说，最终分数等于校准后的活跃度分数，加上校准后的细节分数。笔记里写“局部和整体联合建模”。从这几个公式看，联合并没有发生。整体的 d 先被打成一个分，局部位置是事后摊上去的，活跃度是另一路加进来的。三样东西没有放进同一个条件概率。</w:t>
      </w:r>
    </w:p>
    <w:p>
      <w:pPr>
        <w:pStyle w:val="Heading1"/>
        <w:pBdr>
          <w:bottom w:val="single" w:color="1F4E79" w:sz="8" w:space="1"/>
        </w:pBdr>
        <w:spacing w:before="360" w:after="160"/>
      </w:pPr>
      <w:r>
        <w:rPr>
          <w:rFonts w:ascii="Times New Roman" w:hAnsi="Times New Roman" w:eastAsia="黑体"/>
          <w:b/>
          <w:bCs/>
          <w:color w:val="1F4E79"/>
          <w:sz w:val="32"/>
          <w:szCs w:val="32"/>
        </w:rPr>
        <w:t xml:space="preserve">三、三条想写的创新，现在还差在哪</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我把笔记里的三句话逐句对上现在的做法。不是否定这三句话的方向，而是指出它们还没有变成算法。</w:t>
      </w:r>
    </w:p>
    <w:p>
      <w:pPr>
        <w:pStyle w:val="ListParagraph"/>
        <w:numPr>
          <w:ilvl w:val="0"/>
          <w:numId w:val="2"/>
        </w:numPr>
        <w:spacing w:before="40" w:after="40" w:line="360" w:lineRule="auto"/>
      </w:pPr>
      <w:r>
        <w:rPr>
          <w:rFonts w:ascii="Times New Roman" w:hAnsi="Times New Roman" w:eastAsia="宋体"/>
          <w:b w:val="false"/>
          <w:bCs w:val="false"/>
          <w:i w:val="false"/>
          <w:iCs w:val="false"/>
          <w:color w:val="222222"/>
          <w:sz w:val="22"/>
          <w:szCs w:val="22"/>
        </w:rPr>
        <w:t xml:space="preserve">“区分状态少见和真正异常。”方向对。做法仍是删掉概率的第一项。还缺少一条训练时的约束，也缺少一条说明：什么时候该删，什么时候不该删。</w:t>
      </w:r>
    </w:p>
    <w:p>
      <w:pPr>
        <w:pStyle w:val="ListParagraph"/>
        <w:numPr>
          <w:ilvl w:val="0"/>
          <w:numId w:val="2"/>
        </w:numPr>
        <w:spacing w:before="40" w:after="40" w:line="360" w:lineRule="auto"/>
      </w:pPr>
      <w:r>
        <w:rPr>
          <w:rFonts w:ascii="Times New Roman" w:hAnsi="Times New Roman" w:eastAsia="宋体"/>
          <w:b w:val="false"/>
          <w:bCs w:val="false"/>
          <w:i w:val="false"/>
          <w:iCs w:val="false"/>
          <w:color w:val="222222"/>
          <w:sz w:val="22"/>
          <w:szCs w:val="22"/>
        </w:rPr>
        <w:t xml:space="preserve">“按当前状态找出更可疑的时间。”方向对。做法仍是 20 近邻加固定的一半对一半。位置和似然是两个系统。</w:t>
      </w:r>
    </w:p>
    <w:p>
      <w:pPr>
        <w:pStyle w:val="ListParagraph"/>
        <w:numPr>
          <w:ilvl w:val="0"/>
          <w:numId w:val="2"/>
        </w:numPr>
        <w:spacing w:before="40" w:after="40" w:line="360" w:lineRule="auto"/>
      </w:pPr>
      <w:r>
        <w:rPr>
          <w:rFonts w:ascii="Times New Roman" w:hAnsi="Times New Roman" w:eastAsia="宋体"/>
          <w:b w:val="false"/>
          <w:bCs w:val="false"/>
          <w:i w:val="false"/>
          <w:iCs w:val="false"/>
          <w:color w:val="222222"/>
          <w:sz w:val="22"/>
          <w:szCs w:val="22"/>
        </w:rPr>
        <w:t xml:space="preserve">“局部细节和整体活动一起建模。”方向对。做法仍是两路分别校准再相加。模型不知道这一拍该信哪一路。</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表上的差距也撑不起“新算法全面更好”。七个数据集等权平均，你们的 AUC-ROC 是 0.788，最接近的 CrossAD 是 0.749。VUS-PR 是 0.491 对 0.467。区间 F1 是 0.331 对 0.295。归属 F1 你们是 0.733，CrossAD 是 0.770，CATCH 是 0.757，这一项你们更低。点级精度的平均也更低。另外，你们报的是五个种子的平均，PaAno 表里只报了 seed 0。这样的差距，不够一篇以新方法为主语的 CCF-A 论文。</w:t>
      </w:r>
    </w:p>
    <w:p>
      <w:pPr>
        <w:pStyle w:val="Heading1"/>
        <w:pBdr>
          <w:bottom w:val="single" w:color="1F4E79" w:sz="8" w:space="1"/>
        </w:pBdr>
        <w:spacing w:before="360" w:after="160"/>
      </w:pPr>
      <w:r>
        <w:rPr>
          <w:rFonts w:ascii="Times New Roman" w:hAnsi="Times New Roman" w:eastAsia="黑体"/>
          <w:b/>
          <w:bCs/>
          <w:color w:val="1F4E79"/>
          <w:sz w:val="32"/>
          <w:szCs w:val="32"/>
        </w:rPr>
        <w:t xml:space="preserve">四、效果为什么不错，又为什么不能写成全面更好</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效果不错，是因为这七个数据集里的异常不是同一种，而你们的五步正好各补了一种常见失败。这是优点，也是限度。我把主要数字放在一张表里，方便你们对着讲，不要只记一个宏平均。</w:t>
      </w:r>
    </w:p>
    <w:p>
      <w:pPr>
        <w:spacing w:before="60" w:after="60"/>
      </w:pPr>
      <w:r>
        <w:rPr>
          <w:rFonts w:ascii="Times New Roman" w:hAnsi="Times New Roman" w:eastAsia="宋体"/>
          <w:b w:val="false"/>
          <w:bCs w:val="false"/>
          <w:i w:val="false"/>
          <w:iCs w:val="false"/>
          <w:color w:val="222222"/>
          <w:sz w:val="24"/>
          <w:szCs w:val="24"/>
        </w:rPr>
        <w:t xml:space="preserve"/>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106"/>
        <w:gridCol w:w="1200"/>
        <w:gridCol w:w="1200"/>
        <w:gridCol w:w="1200"/>
        <w:gridCol w:w="1200"/>
        <w:gridCol w:w="1200"/>
        <w:gridCol w:w="1206"/>
      </w:tblGrid>
      <w:tr>
        <w:trPr>
          <w:cantSplit/>
          <w:tblHeader/>
        </w:trPr>
        <w:tc>
          <w:tcPr>
            <w:tcW w:type="dxa" w:w="2106"/>
            <w:tcBorders>
              <w:top w:val="single" w:color="C5CDD6" w:sz="4"/>
              <w:left w:val="single" w:color="C5CDD6" w:sz="4"/>
              <w:bottom w:val="single" w:color="C5CDD6" w:sz="4"/>
              <w:right w:val="single" w:color="C5CDD6" w:sz="4"/>
            </w:tcBorders>
            <w:shd w:fill="1F4E79" w:val="clear"/>
            <w:tcMar>
              <w:top w:type="dxa" w:w="50"/>
              <w:left w:type="dxa" w:w="70"/>
              <w:bottom w:type="dxa" w:w="50"/>
              <w:right w:type="dxa" w:w="70"/>
            </w:tcMar>
            <w:vAlign w:val="center"/>
          </w:tcPr>
          <w:p>
            <w:pPr>
              <w:spacing w:before="20" w:after="20"/>
              <w:jc w:val="center"/>
            </w:pPr>
            <w:r>
              <w:rPr>
                <w:rFonts w:ascii="Times New Roman" w:hAnsi="Times New Roman" w:eastAsia="宋体"/>
                <w:b/>
                <w:bCs/>
                <w:i w:val="false"/>
                <w:iCs w:val="false"/>
                <w:color w:val="FFFFFF"/>
                <w:sz w:val="18"/>
                <w:szCs w:val="18"/>
              </w:rPr>
              <w:t xml:space="preserve">模型</w:t>
            </w:r>
          </w:p>
        </w:tc>
        <w:tc>
          <w:tcPr>
            <w:tcW w:type="dxa" w:w="1200"/>
            <w:tcBorders>
              <w:top w:val="single" w:color="C5CDD6" w:sz="4"/>
              <w:left w:val="single" w:color="C5CDD6" w:sz="4"/>
              <w:bottom w:val="single" w:color="C5CDD6" w:sz="4"/>
              <w:right w:val="single" w:color="C5CDD6" w:sz="4"/>
            </w:tcBorders>
            <w:shd w:fill="1F4E79" w:val="clear"/>
            <w:tcMar>
              <w:top w:type="dxa" w:w="50"/>
              <w:left w:type="dxa" w:w="70"/>
              <w:bottom w:type="dxa" w:w="50"/>
              <w:right w:type="dxa" w:w="70"/>
            </w:tcMar>
            <w:vAlign w:val="center"/>
          </w:tcPr>
          <w:p>
            <w:pPr>
              <w:spacing w:before="20" w:after="20"/>
              <w:jc w:val="center"/>
            </w:pPr>
            <w:r>
              <w:rPr>
                <w:rFonts w:ascii="Times New Roman" w:hAnsi="Times New Roman" w:eastAsia="宋体"/>
                <w:b/>
                <w:bCs/>
                <w:i w:val="false"/>
                <w:iCs w:val="false"/>
                <w:color w:val="FFFFFF"/>
                <w:sz w:val="18"/>
                <w:szCs w:val="18"/>
              </w:rPr>
              <w:t xml:space="preserve">AUC-ROC</w:t>
            </w:r>
          </w:p>
        </w:tc>
        <w:tc>
          <w:tcPr>
            <w:tcW w:type="dxa" w:w="1200"/>
            <w:tcBorders>
              <w:top w:val="single" w:color="C5CDD6" w:sz="4"/>
              <w:left w:val="single" w:color="C5CDD6" w:sz="4"/>
              <w:bottom w:val="single" w:color="C5CDD6" w:sz="4"/>
              <w:right w:val="single" w:color="C5CDD6" w:sz="4"/>
            </w:tcBorders>
            <w:shd w:fill="1F4E79" w:val="clear"/>
            <w:tcMar>
              <w:top w:type="dxa" w:w="50"/>
              <w:left w:type="dxa" w:w="70"/>
              <w:bottom w:type="dxa" w:w="50"/>
              <w:right w:type="dxa" w:w="70"/>
            </w:tcMar>
            <w:vAlign w:val="center"/>
          </w:tcPr>
          <w:p>
            <w:pPr>
              <w:spacing w:before="20" w:after="20"/>
              <w:jc w:val="center"/>
            </w:pPr>
            <w:r>
              <w:rPr>
                <w:rFonts w:ascii="Times New Roman" w:hAnsi="Times New Roman" w:eastAsia="宋体"/>
                <w:b/>
                <w:bCs/>
                <w:i w:val="false"/>
                <w:iCs w:val="false"/>
                <w:color w:val="FFFFFF"/>
                <w:sz w:val="18"/>
                <w:szCs w:val="18"/>
              </w:rPr>
              <w:t xml:space="preserve">AUC-PR</w:t>
            </w:r>
          </w:p>
        </w:tc>
        <w:tc>
          <w:tcPr>
            <w:tcW w:type="dxa" w:w="1200"/>
            <w:tcBorders>
              <w:top w:val="single" w:color="C5CDD6" w:sz="4"/>
              <w:left w:val="single" w:color="C5CDD6" w:sz="4"/>
              <w:bottom w:val="single" w:color="C5CDD6" w:sz="4"/>
              <w:right w:val="single" w:color="C5CDD6" w:sz="4"/>
            </w:tcBorders>
            <w:shd w:fill="1F4E79" w:val="clear"/>
            <w:tcMar>
              <w:top w:type="dxa" w:w="50"/>
              <w:left w:type="dxa" w:w="70"/>
              <w:bottom w:type="dxa" w:w="50"/>
              <w:right w:type="dxa" w:w="70"/>
            </w:tcMar>
            <w:vAlign w:val="center"/>
          </w:tcPr>
          <w:p>
            <w:pPr>
              <w:spacing w:before="20" w:after="20"/>
              <w:jc w:val="center"/>
            </w:pPr>
            <w:r>
              <w:rPr>
                <w:rFonts w:ascii="Times New Roman" w:hAnsi="Times New Roman" w:eastAsia="宋体"/>
                <w:b/>
                <w:bCs/>
                <w:i w:val="false"/>
                <w:iCs w:val="false"/>
                <w:color w:val="FFFFFF"/>
                <w:sz w:val="18"/>
                <w:szCs w:val="18"/>
              </w:rPr>
              <w:t xml:space="preserve">VUS-PR</w:t>
            </w:r>
          </w:p>
        </w:tc>
        <w:tc>
          <w:tcPr>
            <w:tcW w:type="dxa" w:w="1200"/>
            <w:tcBorders>
              <w:top w:val="single" w:color="C5CDD6" w:sz="4"/>
              <w:left w:val="single" w:color="C5CDD6" w:sz="4"/>
              <w:bottom w:val="single" w:color="C5CDD6" w:sz="4"/>
              <w:right w:val="single" w:color="C5CDD6" w:sz="4"/>
            </w:tcBorders>
            <w:shd w:fill="1F4E79" w:val="clear"/>
            <w:tcMar>
              <w:top w:type="dxa" w:w="50"/>
              <w:left w:type="dxa" w:w="70"/>
              <w:bottom w:type="dxa" w:w="50"/>
              <w:right w:type="dxa" w:w="70"/>
            </w:tcMar>
            <w:vAlign w:val="center"/>
          </w:tcPr>
          <w:p>
            <w:pPr>
              <w:spacing w:before="20" w:after="20"/>
              <w:jc w:val="center"/>
            </w:pPr>
            <w:r>
              <w:rPr>
                <w:rFonts w:ascii="Times New Roman" w:hAnsi="Times New Roman" w:eastAsia="宋体"/>
                <w:b/>
                <w:bCs/>
                <w:i w:val="false"/>
                <w:iCs w:val="false"/>
                <w:color w:val="FFFFFF"/>
                <w:sz w:val="18"/>
                <w:szCs w:val="18"/>
              </w:rPr>
              <w:t xml:space="preserve">点级 F1</w:t>
            </w:r>
          </w:p>
        </w:tc>
        <w:tc>
          <w:tcPr>
            <w:tcW w:type="dxa" w:w="1200"/>
            <w:tcBorders>
              <w:top w:val="single" w:color="C5CDD6" w:sz="4"/>
              <w:left w:val="single" w:color="C5CDD6" w:sz="4"/>
              <w:bottom w:val="single" w:color="C5CDD6" w:sz="4"/>
              <w:right w:val="single" w:color="C5CDD6" w:sz="4"/>
            </w:tcBorders>
            <w:shd w:fill="1F4E79" w:val="clear"/>
            <w:tcMar>
              <w:top w:type="dxa" w:w="50"/>
              <w:left w:type="dxa" w:w="70"/>
              <w:bottom w:type="dxa" w:w="50"/>
              <w:right w:type="dxa" w:w="70"/>
            </w:tcMar>
            <w:vAlign w:val="center"/>
          </w:tcPr>
          <w:p>
            <w:pPr>
              <w:spacing w:before="20" w:after="20"/>
              <w:jc w:val="center"/>
            </w:pPr>
            <w:r>
              <w:rPr>
                <w:rFonts w:ascii="Times New Roman" w:hAnsi="Times New Roman" w:eastAsia="宋体"/>
                <w:b/>
                <w:bCs/>
                <w:i w:val="false"/>
                <w:iCs w:val="false"/>
                <w:color w:val="FFFFFF"/>
                <w:sz w:val="18"/>
                <w:szCs w:val="18"/>
              </w:rPr>
              <w:t xml:space="preserve">区间 F1</w:t>
            </w:r>
          </w:p>
        </w:tc>
        <w:tc>
          <w:tcPr>
            <w:tcW w:type="dxa" w:w="1206"/>
            <w:tcBorders>
              <w:top w:val="single" w:color="C5CDD6" w:sz="4"/>
              <w:left w:val="single" w:color="C5CDD6" w:sz="4"/>
              <w:bottom w:val="single" w:color="C5CDD6" w:sz="4"/>
              <w:right w:val="single" w:color="C5CDD6" w:sz="4"/>
            </w:tcBorders>
            <w:shd w:fill="1F4E79" w:val="clear"/>
            <w:tcMar>
              <w:top w:type="dxa" w:w="50"/>
              <w:left w:type="dxa" w:w="70"/>
              <w:bottom w:type="dxa" w:w="50"/>
              <w:right w:type="dxa" w:w="70"/>
            </w:tcMar>
            <w:vAlign w:val="center"/>
          </w:tcPr>
          <w:p>
            <w:pPr>
              <w:spacing w:before="20" w:after="20"/>
              <w:jc w:val="center"/>
            </w:pPr>
            <w:r>
              <w:rPr>
                <w:rFonts w:ascii="Times New Roman" w:hAnsi="Times New Roman" w:eastAsia="宋体"/>
                <w:b/>
                <w:bCs/>
                <w:i w:val="false"/>
                <w:iCs w:val="false"/>
                <w:color w:val="FFFFFF"/>
                <w:sz w:val="18"/>
                <w:szCs w:val="18"/>
              </w:rPr>
              <w:t xml:space="preserve">归属 F1</w:t>
            </w:r>
          </w:p>
        </w:tc>
      </w:tr>
      <w:tr>
        <w:trPr>
          <w:cantSplit/>
          <w:tblHeader w:val="false"/>
        </w:trPr>
        <w:tc>
          <w:tcPr>
            <w:tcW w:type="dxa" w:w="210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MTGFlow（2023）</w:t>
            </w:r>
          </w:p>
        </w:tc>
        <w:tc>
          <w:tcPr>
            <w:tcW w:type="dxa" w:w="12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0.678</w:t>
            </w:r>
          </w:p>
        </w:tc>
        <w:tc>
          <w:tcPr>
            <w:tcW w:type="dxa" w:w="12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0.348</w:t>
            </w:r>
          </w:p>
        </w:tc>
        <w:tc>
          <w:tcPr>
            <w:tcW w:type="dxa" w:w="12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0.361</w:t>
            </w:r>
          </w:p>
        </w:tc>
        <w:tc>
          <w:tcPr>
            <w:tcW w:type="dxa" w:w="12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0.360</w:t>
            </w:r>
          </w:p>
        </w:tc>
        <w:tc>
          <w:tcPr>
            <w:tcW w:type="dxa" w:w="12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0.260</w:t>
            </w:r>
          </w:p>
        </w:tc>
        <w:tc>
          <w:tcPr>
            <w:tcW w:type="dxa" w:w="120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0.740</w:t>
            </w:r>
          </w:p>
        </w:tc>
      </w:tr>
      <w:tr>
        <w:trPr>
          <w:cantSplit/>
          <w:tblHeader w:val="false"/>
        </w:trPr>
        <w:tc>
          <w:tcPr>
            <w:tcW w:type="dxa" w:w="2106"/>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CATCH（2025）</w:t>
            </w:r>
          </w:p>
        </w:tc>
        <w:tc>
          <w:tcPr>
            <w:tcW w:type="dxa" w:w="1200"/>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0.635</w:t>
            </w:r>
          </w:p>
        </w:tc>
        <w:tc>
          <w:tcPr>
            <w:tcW w:type="dxa" w:w="1200"/>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0.253</w:t>
            </w:r>
          </w:p>
        </w:tc>
        <w:tc>
          <w:tcPr>
            <w:tcW w:type="dxa" w:w="1200"/>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0.360</w:t>
            </w:r>
          </w:p>
        </w:tc>
        <w:tc>
          <w:tcPr>
            <w:tcW w:type="dxa" w:w="1200"/>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0.271</w:t>
            </w:r>
          </w:p>
        </w:tc>
        <w:tc>
          <w:tcPr>
            <w:tcW w:type="dxa" w:w="1200"/>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0.261</w:t>
            </w:r>
          </w:p>
        </w:tc>
        <w:tc>
          <w:tcPr>
            <w:tcW w:type="dxa" w:w="1206"/>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0.757</w:t>
            </w:r>
          </w:p>
        </w:tc>
      </w:tr>
      <w:tr>
        <w:trPr>
          <w:cantSplit/>
          <w:tblHeader w:val="false"/>
        </w:trPr>
        <w:tc>
          <w:tcPr>
            <w:tcW w:type="dxa" w:w="210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CrossAD（2025）</w:t>
            </w:r>
          </w:p>
        </w:tc>
        <w:tc>
          <w:tcPr>
            <w:tcW w:type="dxa" w:w="12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0.749</w:t>
            </w:r>
          </w:p>
        </w:tc>
        <w:tc>
          <w:tcPr>
            <w:tcW w:type="dxa" w:w="12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0.391</w:t>
            </w:r>
          </w:p>
        </w:tc>
        <w:tc>
          <w:tcPr>
            <w:tcW w:type="dxa" w:w="12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0.467</w:t>
            </w:r>
          </w:p>
        </w:tc>
        <w:tc>
          <w:tcPr>
            <w:tcW w:type="dxa" w:w="12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0.394</w:t>
            </w:r>
          </w:p>
        </w:tc>
        <w:tc>
          <w:tcPr>
            <w:tcW w:type="dxa" w:w="12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0.295</w:t>
            </w:r>
          </w:p>
        </w:tc>
        <w:tc>
          <w:tcPr>
            <w:tcW w:type="dxa" w:w="120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0.770</w:t>
            </w:r>
          </w:p>
        </w:tc>
      </w:tr>
      <w:tr>
        <w:trPr>
          <w:cantSplit/>
          <w:tblHeader w:val="false"/>
        </w:trPr>
        <w:tc>
          <w:tcPr>
            <w:tcW w:type="dxa" w:w="2106"/>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MtsCID（2025）</w:t>
            </w:r>
          </w:p>
        </w:tc>
        <w:tc>
          <w:tcPr>
            <w:tcW w:type="dxa" w:w="1200"/>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0.501</w:t>
            </w:r>
          </w:p>
        </w:tc>
        <w:tc>
          <w:tcPr>
            <w:tcW w:type="dxa" w:w="1200"/>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0.152</w:t>
            </w:r>
          </w:p>
        </w:tc>
        <w:tc>
          <w:tcPr>
            <w:tcW w:type="dxa" w:w="1200"/>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0.230</w:t>
            </w:r>
          </w:p>
        </w:tc>
        <w:tc>
          <w:tcPr>
            <w:tcW w:type="dxa" w:w="1200"/>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0.059</w:t>
            </w:r>
          </w:p>
        </w:tc>
        <w:tc>
          <w:tcPr>
            <w:tcW w:type="dxa" w:w="1200"/>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0.124</w:t>
            </w:r>
          </w:p>
        </w:tc>
        <w:tc>
          <w:tcPr>
            <w:tcW w:type="dxa" w:w="1206"/>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0.621</w:t>
            </w:r>
          </w:p>
        </w:tc>
      </w:tr>
      <w:tr>
        <w:trPr>
          <w:cantSplit/>
          <w:tblHeader w:val="false"/>
        </w:trPr>
        <w:tc>
          <w:tcPr>
            <w:tcW w:type="dxa" w:w="210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LatentFlow（2026）</w:t>
            </w:r>
          </w:p>
        </w:tc>
        <w:tc>
          <w:tcPr>
            <w:tcW w:type="dxa" w:w="12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0.635</w:t>
            </w:r>
          </w:p>
        </w:tc>
        <w:tc>
          <w:tcPr>
            <w:tcW w:type="dxa" w:w="12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0.272</w:t>
            </w:r>
          </w:p>
        </w:tc>
        <w:tc>
          <w:tcPr>
            <w:tcW w:type="dxa" w:w="12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0.327</w:t>
            </w:r>
          </w:p>
        </w:tc>
        <w:tc>
          <w:tcPr>
            <w:tcW w:type="dxa" w:w="12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0.270</w:t>
            </w:r>
          </w:p>
        </w:tc>
        <w:tc>
          <w:tcPr>
            <w:tcW w:type="dxa" w:w="12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0.249</w:t>
            </w:r>
          </w:p>
        </w:tc>
        <w:tc>
          <w:tcPr>
            <w:tcW w:type="dxa" w:w="120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0.709</w:t>
            </w:r>
          </w:p>
        </w:tc>
      </w:tr>
      <w:tr>
        <w:trPr>
          <w:cantSplit/>
          <w:tblHeader w:val="false"/>
        </w:trPr>
        <w:tc>
          <w:tcPr>
            <w:tcW w:type="dxa" w:w="2106"/>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PaAno（2026）</w:t>
            </w:r>
          </w:p>
        </w:tc>
        <w:tc>
          <w:tcPr>
            <w:tcW w:type="dxa" w:w="1200"/>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0.640</w:t>
            </w:r>
          </w:p>
        </w:tc>
        <w:tc>
          <w:tcPr>
            <w:tcW w:type="dxa" w:w="1200"/>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0.267</w:t>
            </w:r>
          </w:p>
        </w:tc>
        <w:tc>
          <w:tcPr>
            <w:tcW w:type="dxa" w:w="1200"/>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0.290</w:t>
            </w:r>
          </w:p>
        </w:tc>
        <w:tc>
          <w:tcPr>
            <w:tcW w:type="dxa" w:w="1200"/>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0.281</w:t>
            </w:r>
          </w:p>
        </w:tc>
        <w:tc>
          <w:tcPr>
            <w:tcW w:type="dxa" w:w="1200"/>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0.208</w:t>
            </w:r>
          </w:p>
        </w:tc>
        <w:tc>
          <w:tcPr>
            <w:tcW w:type="dxa" w:w="1206"/>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center"/>
            </w:pPr>
            <w:r>
              <w:rPr>
                <w:rFonts w:ascii="Times New Roman" w:hAnsi="Times New Roman" w:eastAsia="宋体"/>
                <w:b w:val="false"/>
                <w:bCs w:val="false"/>
                <w:i w:val="false"/>
                <w:iCs w:val="false"/>
                <w:color w:val="222222"/>
                <w:sz w:val="18"/>
                <w:szCs w:val="18"/>
              </w:rPr>
              <w:t xml:space="preserve">0.598</w:t>
            </w:r>
          </w:p>
        </w:tc>
      </w:tr>
      <w:tr>
        <w:trPr>
          <w:cantSplit/>
          <w:tblHeader w:val="false"/>
        </w:trPr>
        <w:tc>
          <w:tcPr>
            <w:tcW w:type="dxa" w:w="2106"/>
            <w:tcBorders>
              <w:top w:val="single" w:color="C5CDD6" w:sz="4"/>
              <w:left w:val="single" w:color="C5CDD6" w:sz="4"/>
              <w:bottom w:val="single" w:color="C5CDD6" w:sz="4"/>
              <w:right w:val="single" w:color="C5CDD6" w:sz="4"/>
            </w:tcBorders>
            <w:shd w:fill="E8F2EA" w:val="clear"/>
            <w:tcMar>
              <w:top w:type="dxa" w:w="50"/>
              <w:left w:type="dxa" w:w="70"/>
              <w:bottom w:type="dxa" w:w="50"/>
              <w:right w:type="dxa" w:w="70"/>
            </w:tcMar>
            <w:vAlign w:val="center"/>
          </w:tcPr>
          <w:p>
            <w:pPr>
              <w:spacing w:before="20" w:after="20"/>
              <w:jc w:val="center"/>
            </w:pPr>
            <w:r>
              <w:rPr>
                <w:rFonts w:ascii="Times New Roman" w:hAnsi="Times New Roman" w:eastAsia="宋体"/>
                <w:b/>
                <w:bCs/>
                <w:i w:val="false"/>
                <w:iCs w:val="false"/>
                <w:color w:val="222222"/>
                <w:sz w:val="18"/>
                <w:szCs w:val="18"/>
              </w:rPr>
              <w:t xml:space="preserve">MTDA（你们）</w:t>
            </w:r>
          </w:p>
        </w:tc>
        <w:tc>
          <w:tcPr>
            <w:tcW w:type="dxa" w:w="1200"/>
            <w:tcBorders>
              <w:top w:val="single" w:color="C5CDD6" w:sz="4"/>
              <w:left w:val="single" w:color="C5CDD6" w:sz="4"/>
              <w:bottom w:val="single" w:color="C5CDD6" w:sz="4"/>
              <w:right w:val="single" w:color="C5CDD6" w:sz="4"/>
            </w:tcBorders>
            <w:shd w:fill="E8F2EA" w:val="clear"/>
            <w:tcMar>
              <w:top w:type="dxa" w:w="50"/>
              <w:left w:type="dxa" w:w="70"/>
              <w:bottom w:type="dxa" w:w="50"/>
              <w:right w:type="dxa" w:w="70"/>
            </w:tcMar>
            <w:vAlign w:val="center"/>
          </w:tcPr>
          <w:p>
            <w:pPr>
              <w:spacing w:before="20" w:after="20"/>
              <w:jc w:val="center"/>
            </w:pPr>
            <w:r>
              <w:rPr>
                <w:rFonts w:ascii="Times New Roman" w:hAnsi="Times New Roman" w:eastAsia="宋体"/>
                <w:b/>
                <w:bCs/>
                <w:i w:val="false"/>
                <w:iCs w:val="false"/>
                <w:color w:val="222222"/>
                <w:sz w:val="18"/>
                <w:szCs w:val="18"/>
              </w:rPr>
              <w:t xml:space="preserve">0.788</w:t>
            </w:r>
          </w:p>
        </w:tc>
        <w:tc>
          <w:tcPr>
            <w:tcW w:type="dxa" w:w="1200"/>
            <w:tcBorders>
              <w:top w:val="single" w:color="C5CDD6" w:sz="4"/>
              <w:left w:val="single" w:color="C5CDD6" w:sz="4"/>
              <w:bottom w:val="single" w:color="C5CDD6" w:sz="4"/>
              <w:right w:val="single" w:color="C5CDD6" w:sz="4"/>
            </w:tcBorders>
            <w:shd w:fill="E8F2EA" w:val="clear"/>
            <w:tcMar>
              <w:top w:type="dxa" w:w="50"/>
              <w:left w:type="dxa" w:w="70"/>
              <w:bottom w:type="dxa" w:w="50"/>
              <w:right w:type="dxa" w:w="70"/>
            </w:tcMar>
            <w:vAlign w:val="center"/>
          </w:tcPr>
          <w:p>
            <w:pPr>
              <w:spacing w:before="20" w:after="20"/>
              <w:jc w:val="center"/>
            </w:pPr>
            <w:r>
              <w:rPr>
                <w:rFonts w:ascii="Times New Roman" w:hAnsi="Times New Roman" w:eastAsia="宋体"/>
                <w:b/>
                <w:bCs/>
                <w:i w:val="false"/>
                <w:iCs w:val="false"/>
                <w:color w:val="222222"/>
                <w:sz w:val="18"/>
                <w:szCs w:val="18"/>
              </w:rPr>
              <w:t xml:space="preserve">0.425</w:t>
            </w:r>
          </w:p>
        </w:tc>
        <w:tc>
          <w:tcPr>
            <w:tcW w:type="dxa" w:w="1200"/>
            <w:tcBorders>
              <w:top w:val="single" w:color="C5CDD6" w:sz="4"/>
              <w:left w:val="single" w:color="C5CDD6" w:sz="4"/>
              <w:bottom w:val="single" w:color="C5CDD6" w:sz="4"/>
              <w:right w:val="single" w:color="C5CDD6" w:sz="4"/>
            </w:tcBorders>
            <w:shd w:fill="E8F2EA" w:val="clear"/>
            <w:tcMar>
              <w:top w:type="dxa" w:w="50"/>
              <w:left w:type="dxa" w:w="70"/>
              <w:bottom w:type="dxa" w:w="50"/>
              <w:right w:type="dxa" w:w="70"/>
            </w:tcMar>
            <w:vAlign w:val="center"/>
          </w:tcPr>
          <w:p>
            <w:pPr>
              <w:spacing w:before="20" w:after="20"/>
              <w:jc w:val="center"/>
            </w:pPr>
            <w:r>
              <w:rPr>
                <w:rFonts w:ascii="Times New Roman" w:hAnsi="Times New Roman" w:eastAsia="宋体"/>
                <w:b/>
                <w:bCs/>
                <w:i w:val="false"/>
                <w:iCs w:val="false"/>
                <w:color w:val="222222"/>
                <w:sz w:val="18"/>
                <w:szCs w:val="18"/>
              </w:rPr>
              <w:t xml:space="preserve">0.491</w:t>
            </w:r>
          </w:p>
        </w:tc>
        <w:tc>
          <w:tcPr>
            <w:tcW w:type="dxa" w:w="1200"/>
            <w:tcBorders>
              <w:top w:val="single" w:color="C5CDD6" w:sz="4"/>
              <w:left w:val="single" w:color="C5CDD6" w:sz="4"/>
              <w:bottom w:val="single" w:color="C5CDD6" w:sz="4"/>
              <w:right w:val="single" w:color="C5CDD6" w:sz="4"/>
            </w:tcBorders>
            <w:shd w:fill="E8F2EA" w:val="clear"/>
            <w:tcMar>
              <w:top w:type="dxa" w:w="50"/>
              <w:left w:type="dxa" w:w="70"/>
              <w:bottom w:type="dxa" w:w="50"/>
              <w:right w:type="dxa" w:w="70"/>
            </w:tcMar>
            <w:vAlign w:val="center"/>
          </w:tcPr>
          <w:p>
            <w:pPr>
              <w:spacing w:before="20" w:after="20"/>
              <w:jc w:val="center"/>
            </w:pPr>
            <w:r>
              <w:rPr>
                <w:rFonts w:ascii="Times New Roman" w:hAnsi="Times New Roman" w:eastAsia="宋体"/>
                <w:b/>
                <w:bCs/>
                <w:i w:val="false"/>
                <w:iCs w:val="false"/>
                <w:color w:val="222222"/>
                <w:sz w:val="18"/>
                <w:szCs w:val="18"/>
              </w:rPr>
              <w:t xml:space="preserve">0.455</w:t>
            </w:r>
          </w:p>
        </w:tc>
        <w:tc>
          <w:tcPr>
            <w:tcW w:type="dxa" w:w="1200"/>
            <w:tcBorders>
              <w:top w:val="single" w:color="C5CDD6" w:sz="4"/>
              <w:left w:val="single" w:color="C5CDD6" w:sz="4"/>
              <w:bottom w:val="single" w:color="C5CDD6" w:sz="4"/>
              <w:right w:val="single" w:color="C5CDD6" w:sz="4"/>
            </w:tcBorders>
            <w:shd w:fill="E8F2EA" w:val="clear"/>
            <w:tcMar>
              <w:top w:type="dxa" w:w="50"/>
              <w:left w:type="dxa" w:w="70"/>
              <w:bottom w:type="dxa" w:w="50"/>
              <w:right w:type="dxa" w:w="70"/>
            </w:tcMar>
            <w:vAlign w:val="center"/>
          </w:tcPr>
          <w:p>
            <w:pPr>
              <w:spacing w:before="20" w:after="20"/>
              <w:jc w:val="center"/>
            </w:pPr>
            <w:r>
              <w:rPr>
                <w:rFonts w:ascii="Times New Roman" w:hAnsi="Times New Roman" w:eastAsia="宋体"/>
                <w:b/>
                <w:bCs/>
                <w:i w:val="false"/>
                <w:iCs w:val="false"/>
                <w:color w:val="222222"/>
                <w:sz w:val="18"/>
                <w:szCs w:val="18"/>
              </w:rPr>
              <w:t xml:space="preserve">0.331</w:t>
            </w:r>
          </w:p>
        </w:tc>
        <w:tc>
          <w:tcPr>
            <w:tcW w:type="dxa" w:w="1206"/>
            <w:tcBorders>
              <w:top w:val="single" w:color="C5CDD6" w:sz="4"/>
              <w:left w:val="single" w:color="C5CDD6" w:sz="4"/>
              <w:bottom w:val="single" w:color="C5CDD6" w:sz="4"/>
              <w:right w:val="single" w:color="C5CDD6" w:sz="4"/>
            </w:tcBorders>
            <w:shd w:fill="E8F2EA" w:val="clear"/>
            <w:tcMar>
              <w:top w:type="dxa" w:w="50"/>
              <w:left w:type="dxa" w:w="70"/>
              <w:bottom w:type="dxa" w:w="50"/>
              <w:right w:type="dxa" w:w="70"/>
            </w:tcMar>
            <w:vAlign w:val="center"/>
          </w:tcPr>
          <w:p>
            <w:pPr>
              <w:spacing w:before="20" w:after="20"/>
              <w:jc w:val="center"/>
            </w:pPr>
            <w:r>
              <w:rPr>
                <w:rFonts w:ascii="Times New Roman" w:hAnsi="Times New Roman" w:eastAsia="宋体"/>
                <w:b/>
                <w:bCs/>
                <w:i w:val="false"/>
                <w:iCs w:val="false"/>
                <w:color w:val="222222"/>
                <w:sz w:val="18"/>
                <w:szCs w:val="18"/>
              </w:rPr>
              <w:t xml:space="preserve">0.733</w:t>
            </w:r>
          </w:p>
        </w:tc>
      </w:tr>
    </w:tbl>
    <w:p>
      <w:pPr>
        <w:spacing w:before="60" w:after="120"/>
      </w:pPr>
      <w:r>
        <w:rPr>
          <w:rFonts w:ascii="Times New Roman" w:hAnsi="Times New Roman" w:eastAsia="宋体"/>
          <w:b w:val="false"/>
          <w:bCs w:val="false"/>
          <w:i w:val="false"/>
          <w:iCs w:val="false"/>
          <w:color w:val="555555"/>
          <w:sz w:val="18"/>
          <w:szCs w:val="18"/>
        </w:rPr>
        <w:t xml:space="preserve">表 1  七个数据集等权宏平均。MTDA 为种子 2023–2027 的均值，PaAno 为 seed 0。点级 F1 和区间 F1 用了测试集上的最优阈值，不能当成部署结果。</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第一，丢掉“状态少不常见”这一项，避开了把少见工况当成异常。SWAT 上 PaAno 的 AUC-ROC 只有 0.342，CATCH 是 0.244，你们是 0.871，CrossAD 是 0.846。PaAno 用的是嵌入到正常记忆的距离，少见工况会很远。你们问的是：已经承认这是当前状态之后，细节是否过分。PSM 上同一件事把 AUC-ROC 从 PaAno 的 0.538 抬到 0.753。这是这张表里最硬的证据。</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第二，只给一个数做条件密度，避开了高维似然估不准。MTGFlow 和 LatentFlow 要在更高维上做密度，宏平均 AUC-ROC 只有 0.678 和 0.635。你们把问题收窄了，所以更稳。这是降维带来的，不要把它讲成流模型本身更高级。</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第三，遮住目标片段再读上下文，是该保留的。否则模型可以用这段自己的原始值解释自己，分数就没有意义。这一步原则是对的，而且不依赖 0.5 这种常数。</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第四，能量残差和条件流说的是相近的话：都在用状态来解释当前片段。两路相关，一起用会更稳，但不是新的信息来源。五五开会让整段被点亮，所以区间 F1 高于 CrossAD；边界却变脏，所以归属 F1 低于 CrossAD。SWAN 上你们的归属 F1 只有 0.234，精度可以到 1，召回只有 0.147，就是高分打在了偏宽或偏了的位置上。</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第五，活跃度补上了“起伏不大、但通道组合错了”的异常。两路相加以后，点级 F1 的平均到 0.455，CrossAD 是 0.394，召回是 0.631 对 0.565。精度却从 CrossAD 的 0.794 降到 0.701。多出来的召回里，有一部分是第二路没有约束时交上来的误报。</w:t>
      </w:r>
    </w:p>
    <w:p>
      <w:pPr>
        <w:spacing w:before="60" w:after="60"/>
      </w:pPr>
      <w:r>
        <w:rPr>
          <w:rFonts w:ascii="Times New Roman" w:hAnsi="Times New Roman" w:eastAsia="宋体"/>
          <w:b w:val="false"/>
          <w:bCs w:val="false"/>
          <w:i w:val="false"/>
          <w:iCs w:val="false"/>
          <w:color w:val="222222"/>
          <w:sz w:val="24"/>
          <w:szCs w:val="24"/>
        </w:rPr>
        <w:t xml:space="preserve"/>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06"/>
      </w:tblGrid>
      <w:tr>
        <w:trPr>
          <w:cantSplit/>
          <w:tblHeader/>
        </w:trPr>
        <w:tc>
          <w:tcPr>
            <w:tcW w:type="dxa" w:w="2500"/>
            <w:tcBorders>
              <w:top w:val="single" w:color="C5CDD6" w:sz="4"/>
              <w:left w:val="single" w:color="C5CDD6" w:sz="4"/>
              <w:bottom w:val="single" w:color="C5CDD6" w:sz="4"/>
              <w:right w:val="single" w:color="C5CDD6" w:sz="4"/>
            </w:tcBorders>
            <w:shd w:fill="1F4E79" w:val="clear"/>
            <w:tcMar>
              <w:top w:type="dxa" w:w="50"/>
              <w:left w:type="dxa" w:w="70"/>
              <w:bottom w:type="dxa" w:w="50"/>
              <w:right w:type="dxa" w:w="70"/>
            </w:tcMar>
            <w:vAlign w:val="center"/>
          </w:tcPr>
          <w:p>
            <w:pPr>
              <w:spacing w:before="20" w:after="20"/>
              <w:jc w:val="center"/>
            </w:pPr>
            <w:r>
              <w:rPr>
                <w:rFonts w:ascii="Times New Roman" w:hAnsi="Times New Roman" w:eastAsia="宋体"/>
                <w:b/>
                <w:bCs/>
                <w:i w:val="false"/>
                <w:iCs w:val="false"/>
                <w:color w:val="FFFFFF"/>
                <w:sz w:val="18"/>
                <w:szCs w:val="18"/>
              </w:rPr>
              <w:t xml:space="preserve">看哪里</w:t>
            </w:r>
          </w:p>
        </w:tc>
        <w:tc>
          <w:tcPr>
            <w:tcW w:type="dxa" w:w="1500"/>
            <w:tcBorders>
              <w:top w:val="single" w:color="C5CDD6" w:sz="4"/>
              <w:left w:val="single" w:color="C5CDD6" w:sz="4"/>
              <w:bottom w:val="single" w:color="C5CDD6" w:sz="4"/>
              <w:right w:val="single" w:color="C5CDD6" w:sz="4"/>
            </w:tcBorders>
            <w:shd w:fill="1F4E79" w:val="clear"/>
            <w:tcMar>
              <w:top w:type="dxa" w:w="50"/>
              <w:left w:type="dxa" w:w="70"/>
              <w:bottom w:type="dxa" w:w="50"/>
              <w:right w:type="dxa" w:w="70"/>
            </w:tcMar>
            <w:vAlign w:val="center"/>
          </w:tcPr>
          <w:p>
            <w:pPr>
              <w:spacing w:before="20" w:after="20"/>
              <w:jc w:val="center"/>
            </w:pPr>
            <w:r>
              <w:rPr>
                <w:rFonts w:ascii="Times New Roman" w:hAnsi="Times New Roman" w:eastAsia="宋体"/>
                <w:b/>
                <w:bCs/>
                <w:i w:val="false"/>
                <w:iCs w:val="false"/>
                <w:color w:val="FFFFFF"/>
                <w:sz w:val="18"/>
                <w:szCs w:val="18"/>
              </w:rPr>
              <w:t xml:space="preserve">你们</w:t>
            </w:r>
          </w:p>
        </w:tc>
        <w:tc>
          <w:tcPr>
            <w:tcW w:type="dxa" w:w="1500"/>
            <w:tcBorders>
              <w:top w:val="single" w:color="C5CDD6" w:sz="4"/>
              <w:left w:val="single" w:color="C5CDD6" w:sz="4"/>
              <w:bottom w:val="single" w:color="C5CDD6" w:sz="4"/>
              <w:right w:val="single" w:color="C5CDD6" w:sz="4"/>
            </w:tcBorders>
            <w:shd w:fill="1F4E79" w:val="clear"/>
            <w:tcMar>
              <w:top w:type="dxa" w:w="50"/>
              <w:left w:type="dxa" w:w="70"/>
              <w:bottom w:type="dxa" w:w="50"/>
              <w:right w:type="dxa" w:w="70"/>
            </w:tcMar>
            <w:vAlign w:val="center"/>
          </w:tcPr>
          <w:p>
            <w:pPr>
              <w:spacing w:before="20" w:after="20"/>
              <w:jc w:val="center"/>
            </w:pPr>
            <w:r>
              <w:rPr>
                <w:rFonts w:ascii="Times New Roman" w:hAnsi="Times New Roman" w:eastAsia="宋体"/>
                <w:b/>
                <w:bCs/>
                <w:i w:val="false"/>
                <w:iCs w:val="false"/>
                <w:color w:val="FFFFFF"/>
                <w:sz w:val="18"/>
                <w:szCs w:val="18"/>
              </w:rPr>
              <w:t xml:space="preserve">对照</w:t>
            </w:r>
          </w:p>
        </w:tc>
        <w:tc>
          <w:tcPr>
            <w:tcW w:type="dxa" w:w="3806"/>
            <w:tcBorders>
              <w:top w:val="single" w:color="C5CDD6" w:sz="4"/>
              <w:left w:val="single" w:color="C5CDD6" w:sz="4"/>
              <w:bottom w:val="single" w:color="C5CDD6" w:sz="4"/>
              <w:right w:val="single" w:color="C5CDD6" w:sz="4"/>
            </w:tcBorders>
            <w:shd w:fill="1F4E79" w:val="clear"/>
            <w:tcMar>
              <w:top w:type="dxa" w:w="50"/>
              <w:left w:type="dxa" w:w="70"/>
              <w:bottom w:type="dxa" w:w="50"/>
              <w:right w:type="dxa" w:w="70"/>
            </w:tcMar>
            <w:vAlign w:val="center"/>
          </w:tcPr>
          <w:p>
            <w:pPr>
              <w:spacing w:before="20" w:after="20"/>
              <w:jc w:val="center"/>
            </w:pPr>
            <w:r>
              <w:rPr>
                <w:rFonts w:ascii="Times New Roman" w:hAnsi="Times New Roman" w:eastAsia="宋体"/>
                <w:b/>
                <w:bCs/>
                <w:i w:val="false"/>
                <w:iCs w:val="false"/>
                <w:color w:val="FFFFFF"/>
                <w:sz w:val="18"/>
                <w:szCs w:val="18"/>
              </w:rPr>
              <w:t xml:space="preserve">这说明什么</w:t>
            </w:r>
          </w:p>
        </w:tc>
      </w:tr>
      <w:tr>
        <w:trPr>
          <w:cantSplit/>
          <w:tblHeader w:val="false"/>
        </w:trPr>
        <w:tc>
          <w:tcPr>
            <w:tcW w:type="dxa" w:w="25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SWAT，AUC-ROC</w:t>
            </w:r>
          </w:p>
        </w:tc>
        <w:tc>
          <w:tcPr>
            <w:tcW w:type="dxa" w:w="15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0.871</w:t>
            </w:r>
          </w:p>
        </w:tc>
        <w:tc>
          <w:tcPr>
            <w:tcW w:type="dxa" w:w="15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PaAno 0.342</w:t>
            </w:r>
          </w:p>
        </w:tc>
        <w:tc>
          <w:tcPr>
            <w:tcW w:type="dxa" w:w="380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少见工况不再被大面积误报</w:t>
            </w:r>
          </w:p>
        </w:tc>
      </w:tr>
      <w:tr>
        <w:trPr>
          <w:cantSplit/>
          <w:tblHeader w:val="false"/>
        </w:trPr>
        <w:tc>
          <w:tcPr>
            <w:tcW w:type="dxa" w:w="2500"/>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PSM，AUC-ROC</w:t>
            </w:r>
          </w:p>
        </w:tc>
        <w:tc>
          <w:tcPr>
            <w:tcW w:type="dxa" w:w="1500"/>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0.753</w:t>
            </w:r>
          </w:p>
        </w:tc>
        <w:tc>
          <w:tcPr>
            <w:tcW w:type="dxa" w:w="1500"/>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PaAno 0.538</w:t>
            </w:r>
          </w:p>
        </w:tc>
        <w:tc>
          <w:tcPr>
            <w:tcW w:type="dxa" w:w="3806"/>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同一类收益，幅度小一些</w:t>
            </w:r>
          </w:p>
        </w:tc>
      </w:tr>
      <w:tr>
        <w:trPr>
          <w:cantSplit/>
          <w:tblHeader w:val="false"/>
        </w:trPr>
        <w:tc>
          <w:tcPr>
            <w:tcW w:type="dxa" w:w="25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SMAP，AUC-ROC</w:t>
            </w:r>
          </w:p>
        </w:tc>
        <w:tc>
          <w:tcPr>
            <w:tcW w:type="dxa" w:w="15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0.577</w:t>
            </w:r>
          </w:p>
        </w:tc>
        <w:tc>
          <w:tcPr>
            <w:tcW w:type="dxa" w:w="15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PaAno 0.670</w:t>
            </w:r>
          </w:p>
        </w:tc>
        <w:tc>
          <w:tcPr>
            <w:tcW w:type="dxa" w:w="380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很短的尖峰被 64 点平均掉了</w:t>
            </w:r>
          </w:p>
        </w:tc>
      </w:tr>
      <w:tr>
        <w:trPr>
          <w:cantSplit/>
          <w:tblHeader w:val="false"/>
        </w:trPr>
        <w:tc>
          <w:tcPr>
            <w:tcW w:type="dxa" w:w="2500"/>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GECCO，AUC-PR</w:t>
            </w:r>
          </w:p>
        </w:tc>
        <w:tc>
          <w:tcPr>
            <w:tcW w:type="dxa" w:w="1500"/>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0.457</w:t>
            </w:r>
          </w:p>
        </w:tc>
        <w:tc>
          <w:tcPr>
            <w:tcW w:type="dxa" w:w="1500"/>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CrossAD 0.551</w:t>
            </w:r>
          </w:p>
        </w:tc>
        <w:tc>
          <w:tcPr>
            <w:tcW w:type="dxa" w:w="3806"/>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点状、局部的异常不是你们的强项</w:t>
            </w:r>
          </w:p>
        </w:tc>
      </w:tr>
      <w:tr>
        <w:trPr>
          <w:cantSplit/>
          <w:tblHeader w:val="false"/>
        </w:trPr>
        <w:tc>
          <w:tcPr>
            <w:tcW w:type="dxa" w:w="25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SMD，AUC-ROC</w:t>
            </w:r>
          </w:p>
        </w:tc>
        <w:tc>
          <w:tcPr>
            <w:tcW w:type="dxa" w:w="15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0.771</w:t>
            </w:r>
          </w:p>
        </w:tc>
        <w:tc>
          <w:tcPr>
            <w:tcW w:type="dxa" w:w="15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CATCH 0.809</w:t>
            </w:r>
          </w:p>
        </w:tc>
        <w:tc>
          <w:tcPr>
            <w:tcW w:type="dxa" w:w="380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不是每一项都领先</w:t>
            </w:r>
          </w:p>
        </w:tc>
      </w:tr>
      <w:tr>
        <w:trPr>
          <w:cantSplit/>
          <w:tblHeader w:val="false"/>
        </w:trPr>
        <w:tc>
          <w:tcPr>
            <w:tcW w:type="dxa" w:w="2500"/>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七集平均，归属 F1</w:t>
            </w:r>
          </w:p>
        </w:tc>
        <w:tc>
          <w:tcPr>
            <w:tcW w:type="dxa" w:w="1500"/>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0.733</w:t>
            </w:r>
          </w:p>
        </w:tc>
        <w:tc>
          <w:tcPr>
            <w:tcW w:type="dxa" w:w="1500"/>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CrossAD 0.770</w:t>
            </w:r>
          </w:p>
        </w:tc>
        <w:tc>
          <w:tcPr>
            <w:tcW w:type="dxa" w:w="3806"/>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边界铺得偏宽，归属指标会罚</w:t>
            </w:r>
          </w:p>
        </w:tc>
      </w:tr>
    </w:tbl>
    <w:p>
      <w:pPr>
        <w:spacing w:before="60" w:after="120"/>
      </w:pPr>
      <w:r>
        <w:rPr>
          <w:rFonts w:ascii="Times New Roman" w:hAnsi="Times New Roman" w:eastAsia="宋体"/>
          <w:b w:val="false"/>
          <w:bCs w:val="false"/>
          <w:i w:val="false"/>
          <w:iCs w:val="false"/>
          <w:color w:val="555555"/>
          <w:sz w:val="18"/>
          <w:szCs w:val="18"/>
        </w:rPr>
        <w:t xml:space="preserve">表 2  不要只看平均。同一套方法在工况型异常上领先，在很短的局部异常上落后。</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所以这套方法偏向“一整段、看上下文、多个通道一起变”的异常。它不是对所有异常都更强。SMAP 和 GECCO 就是反例。论文里如果只报平均、不报这两处落后，审稿人一对原始表就能看出来。</w:t>
      </w:r>
    </w:p>
    <w:p>
      <w:pPr>
        <w:pStyle w:val="Heading1"/>
        <w:pBdr>
          <w:bottom w:val="single" w:color="1F4E79" w:sz="8" w:space="1"/>
        </w:pBdr>
        <w:spacing w:before="360" w:after="160"/>
      </w:pPr>
      <w:r>
        <w:rPr>
          <w:rFonts w:ascii="Times New Roman" w:hAnsi="Times New Roman" w:eastAsia="黑体"/>
          <w:b/>
          <w:bCs/>
          <w:color w:val="1F4E79"/>
          <w:sz w:val="32"/>
          <w:szCs w:val="32"/>
        </w:rPr>
        <w:t xml:space="preserve">五、笔记最后没写完的那句话</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实验说明的最后停在：“效果是提取了整体特征 d 的效果比”。我按现有的表把这句话补完。表里没有的内部对比，我写成假设，不写成已经测到的提升。</w:t>
      </w:r>
    </w:p>
    <w:p>
      <w:pPr>
        <w:pStyle w:val="ListParagraph"/>
        <w:numPr>
          <w:ilvl w:val="0"/>
          <w:numId w:val="2"/>
        </w:numPr>
        <w:spacing w:before="40" w:after="40" w:line="360" w:lineRule="auto"/>
      </w:pPr>
      <w:r>
        <w:rPr>
          <w:rFonts w:ascii="Times New Roman" w:hAnsi="Times New Roman" w:eastAsia="宋体"/>
          <w:b w:val="false"/>
          <w:bCs w:val="false"/>
          <w:i w:val="false"/>
          <w:iCs w:val="false"/>
          <w:color w:val="222222"/>
          <w:sz w:val="22"/>
          <w:szCs w:val="22"/>
        </w:rPr>
        <w:t xml:space="preserve">比“只用状态嵌入的距离”更好。证据就是 SWAT 和 PSM。原因是 d 在已知状态下看细节，不再惩罚少见工况。</w:t>
      </w:r>
    </w:p>
    <w:p>
      <w:pPr>
        <w:pStyle w:val="ListParagraph"/>
        <w:numPr>
          <w:ilvl w:val="0"/>
          <w:numId w:val="2"/>
        </w:numPr>
        <w:spacing w:before="40" w:after="40" w:line="360" w:lineRule="auto"/>
      </w:pPr>
      <w:r>
        <w:rPr>
          <w:rFonts w:ascii="Times New Roman" w:hAnsi="Times New Roman" w:eastAsia="宋体"/>
          <w:b w:val="false"/>
          <w:bCs w:val="false"/>
          <w:i w:val="false"/>
          <w:iCs w:val="false"/>
          <w:color w:val="222222"/>
          <w:sz w:val="22"/>
          <w:szCs w:val="22"/>
        </w:rPr>
        <w:t xml:space="preserve">比“在更高维上直接做流”更好。证据是宏平均。原因是检测对象变成了一个条件数，更好估。</w:t>
      </w:r>
    </w:p>
    <w:p>
      <w:pPr>
        <w:pStyle w:val="ListParagraph"/>
        <w:numPr>
          <w:ilvl w:val="0"/>
          <w:numId w:val="2"/>
        </w:numPr>
        <w:spacing w:before="40" w:after="40" w:line="360" w:lineRule="auto"/>
      </w:pPr>
      <w:r>
        <w:rPr>
          <w:rFonts w:ascii="Times New Roman" w:hAnsi="Times New Roman" w:eastAsia="宋体"/>
          <w:b w:val="false"/>
          <w:bCs w:val="false"/>
          <w:i w:val="false"/>
          <w:iCs w:val="false"/>
          <w:color w:val="222222"/>
          <w:sz w:val="22"/>
          <w:szCs w:val="22"/>
        </w:rPr>
        <w:t xml:space="preserve">比“只看逐点能量、不先收成 d”是否更好，现在不知道。你们是先收成一个数，再把数摊回去。这个数能抓住“形状还像、但整段偏高”；逐点能量负责事后指位置。这是先汇总、再摊开，不是联合建模。</w:t>
      </w:r>
    </w:p>
    <w:p>
      <w:pPr>
        <w:pStyle w:val="ListParagraph"/>
        <w:numPr>
          <w:ilvl w:val="0"/>
          <w:numId w:val="2"/>
        </w:numPr>
        <w:spacing w:before="40" w:after="40" w:line="360" w:lineRule="auto"/>
      </w:pPr>
      <w:r>
        <w:rPr>
          <w:rFonts w:ascii="Times New Roman" w:hAnsi="Times New Roman" w:eastAsia="宋体"/>
          <w:b w:val="false"/>
          <w:bCs w:val="false"/>
          <w:i w:val="false"/>
          <w:iCs w:val="false"/>
          <w:color w:val="222222"/>
          <w:sz w:val="22"/>
          <w:szCs w:val="22"/>
        </w:rPr>
        <w:t xml:space="preserve">比“有 d、但没有遮住目标的上下文”应当更好。上下文是为了不让片段自己解释自己。这一句还没有消融，先不要写进贡献。</w:t>
      </w:r>
    </w:p>
    <w:p>
      <w:pPr>
        <w:pStyle w:val="ListParagraph"/>
        <w:numPr>
          <w:ilvl w:val="0"/>
          <w:numId w:val="2"/>
        </w:numPr>
        <w:spacing w:before="40" w:after="40" w:line="360" w:lineRule="auto"/>
      </w:pPr>
      <w:r>
        <w:rPr>
          <w:rFonts w:ascii="Times New Roman" w:hAnsi="Times New Roman" w:eastAsia="宋体"/>
          <w:b w:val="false"/>
          <w:bCs w:val="false"/>
          <w:i w:val="false"/>
          <w:iCs w:val="false"/>
          <w:color w:val="222222"/>
          <w:sz w:val="22"/>
          <w:szCs w:val="22"/>
        </w:rPr>
        <w:t xml:space="preserve">比专门抓单点偏离的局部距离更差。SMAP 上你们 0.577，PaAno 0.670，MTGFlow 0.593。一个点上的尖峰会被 64 个点的平均稀释掉。这是整体特征的分辨率上限，不是调参没调好。</w:t>
      </w:r>
    </w:p>
    <w:p>
      <w:pPr>
        <w:pBdr>
          <w:left w:val="single" w:color="2E75B6" w:sz="12" w:space="8"/>
        </w:pBdr>
        <w:spacing w:before="80" w:after="80" w:line="360" w:lineRule="auto"/>
        <w:ind w:left="360"/>
      </w:pPr>
      <w:r>
        <w:rPr>
          <w:rFonts w:ascii="Times New Roman" w:hAnsi="Times New Roman" w:eastAsia="宋体"/>
          <w:b w:val="false"/>
          <w:bCs w:val="false"/>
          <w:i w:val="false"/>
          <w:iCs w:val="false"/>
          <w:color w:val="333333"/>
          <w:sz w:val="22"/>
          <w:szCs w:val="22"/>
        </w:rPr>
        <w:t xml:space="preserve">能放进论文的只有这一句：在这七个外部对照里，按状态和上下文看整体细节，优于按状态距离判异常，也优于在更高维上做流；它不优于单点局部距离。有 d 和无 d、有上下文和无上下文、有残差和无残差，这三组还没测。测完之前，d 是工作假设，不是贡献。</w:t>
      </w:r>
    </w:p>
    <w:p>
      <w:pPr>
        <w:pStyle w:val="Heading1"/>
        <w:pBdr>
          <w:bottom w:val="single" w:color="1F4E79" w:sz="8" w:space="1"/>
        </w:pBdr>
        <w:spacing w:before="360" w:after="160"/>
      </w:pPr>
      <w:r>
        <w:rPr>
          <w:rFonts w:ascii="Times New Roman" w:hAnsi="Times New Roman" w:eastAsia="黑体"/>
          <w:b/>
          <w:bCs/>
          <w:color w:val="1F4E79"/>
          <w:sz w:val="32"/>
          <w:szCs w:val="32"/>
        </w:rPr>
        <w:t xml:space="preserve">六、一篇 CCF-A 论文只能讲清一件事</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不要再加频域、图网络、大模型，也不要再扫 0.3、0.5、0.7。每加一条，文章就越像拼盘。我建议整篇文章只讲这一句：</w:t>
      </w:r>
    </w:p>
    <w:p>
      <w:pPr>
        <w:pBdr>
          <w:left w:val="single" w:color="2E75B6" w:sz="12" w:space="8"/>
        </w:pBdr>
        <w:spacing w:before="80" w:after="80" w:line="360" w:lineRule="auto"/>
        <w:ind w:left="360"/>
      </w:pPr>
      <w:r>
        <w:rPr>
          <w:rFonts w:ascii="Times New Roman" w:hAnsi="Times New Roman" w:eastAsia="宋体"/>
          <w:b w:val="false"/>
          <w:bCs w:val="false"/>
          <w:i w:val="false"/>
          <w:iCs w:val="false"/>
          <w:color w:val="333333"/>
          <w:sz w:val="22"/>
          <w:szCs w:val="22"/>
        </w:rPr>
        <w:t xml:space="preserve">在只有正常数据可以训练的前提下，上下文异常是“已知状态和上下文之后，行为的分布变了”，不是“这个状态少见”。行为至少包括随时间变化的能量曲线和通道活跃度。检测分数在正常数据上不能跟着状态变稀有而升高。每个时间点的分数，必须是这同一个分数沿时间拆开的结果，而不是另一个规则乘上一个常数。</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读者即使没看代码，也应该能从这句话推出：SWAT 这种工况型数据你们该赢，SMAP 这种单点尖峰你们不该赢。表如果符合这个预言，这就是方法论文。表如果只是平均高一点、预言对不上，那就还是一套组合系统。</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NeurIPS、ICML、ICLR 对这条线的要求更高，第一投不要放在这三处。以今天的稿子，KDD 和 AAAI 的 research track 也还不够。等下面的改法和人造实验都做完，并且和“SWAT 赢、SMAP 输”对得上，再投 KDD 或 AAAI。</w:t>
      </w:r>
    </w:p>
    <w:p>
      <w:pPr>
        <w:pStyle w:val="Heading1"/>
        <w:pBdr>
          <w:bottom w:val="single" w:color="1F4E79" w:sz="8" w:space="1"/>
        </w:pBdr>
        <w:spacing w:before="360" w:after="160"/>
      </w:pPr>
      <w:r>
        <w:rPr>
          <w:rFonts w:ascii="Times New Roman" w:hAnsi="Times New Roman" w:eastAsia="黑体"/>
          <w:b/>
          <w:bCs/>
          <w:color w:val="1F4E79"/>
          <w:sz w:val="32"/>
          <w:szCs w:val="32"/>
        </w:rPr>
        <w:t xml:space="preserve">七、我建议你们改成什么样</w:t>
      </w:r>
    </w:p>
    <w:p>
      <w:pPr>
        <w:pStyle w:val="Heading2"/>
        <w:spacing w:before="280" w:after="120"/>
      </w:pPr>
      <w:r>
        <w:rPr>
          <w:rFonts w:ascii="Times New Roman" w:hAnsi="Times New Roman" w:eastAsia="黑体"/>
          <w:b/>
          <w:bCs/>
          <w:color w:val="2E75B6"/>
          <w:sz w:val="28"/>
          <w:szCs w:val="28"/>
        </w:rPr>
        <w:t xml:space="preserve">7.1  留下的和删掉的</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留下四样。遮住目标片段再编码上下文；状态和行为分开表示；条件流可以作为估计密度的工具，但工具不是贡献；正常验证集上的尾部校准留在评测里，不要写成模型的一部分。</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删掉这些，而且不要用一个新的常数换上去：手工丢掉概率第一项；把编码器永远冻住；20 近邻、残差截断和尺度下限；一半对一半；活跃度和细节校准后再相加。旧系统和冻住的编码器只能出现在消融里，不能出现在方法正文里。</w:t>
      </w:r>
    </w:p>
    <w:p>
      <w:pPr>
        <w:pStyle w:val="Heading2"/>
        <w:spacing w:before="280" w:after="120"/>
      </w:pPr>
      <w:r>
        <w:rPr>
          <w:rFonts w:ascii="Times New Roman" w:hAnsi="Times New Roman" w:eastAsia="黑体"/>
          <w:b/>
          <w:bCs/>
          <w:color w:val="2E75B6"/>
          <w:sz w:val="28"/>
          <w:szCs w:val="28"/>
        </w:rPr>
        <w:t xml:space="preserve">7.2  用一条条件路径同时回答“有多异常”和“在哪一拍”</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每个目标片段的行为不要再压成一个数。让编码器输出三样东西，并且都接受梯度。状态 h 只做条件，不拿来打分。能量曲线 e(t) 保留 64 个时间位置，可以用现在的逐点能量当起点，但要允许编码器改这张图。活跃度 a 仍可以用通道相对历史的位置当输入，但不要再单独做 5 近邻。</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把曲线和活跃度捆成一个行为向量 u，在给定状态和上下文的条件下做流匹配。状态可以让速度场看见，但状态自己的坐标不要被拿去积分。线性插值的训练损失是：</w:t>
      </w:r>
    </w:p>
    <w:p>
      <w:pPr>
        <w:spacing w:before="160" w:after="160" w:line="360" w:lineRule="auto"/>
        <w:jc w:val="center"/>
      </w:pPr>
      <m:oMath>
        <m:sSub>
          <m:sSubPr/>
          <m:e>
            <m:r>
              <m:t>L</m:t>
            </m:r>
          </m:e>
          <m:sub>
            <m:r>
              <m:t>FM</m:t>
            </m:r>
          </m:sub>
        </m:sSub>
        <m:r>
          <m:t>=</m:t>
        </m:r>
        <m:r>
          <m:t>E</m:t>
        </m:r>
        <m:d>
          <m:dPr/>
          <m:e>
            <m:r>
              <m:t>‖</m:t>
            </m:r>
            <m:sSub>
              <m:sSubPr/>
              <m:e>
                <m:r>
                  <m:t>v</m:t>
                </m:r>
              </m:e>
              <m:sub>
                <m:r>
                  <m:t>θ</m:t>
                </m:r>
              </m:sub>
            </m:sSub>
            <m:d>
              <m:dPr/>
              <m:e>
                <m:sSub>
                  <m:sSubPr/>
                  <m:e>
                    <m:r>
                      <m:t>u</m:t>
                    </m:r>
                  </m:e>
                  <m:sub>
                    <m:r>
                      <m:t>τ</m:t>
                    </m:r>
                  </m:sub>
                </m:sSub>
                <m:r>
                  <m:t>,</m:t>
                </m:r>
                <m:r>
                  <m:t>τ</m:t>
                </m:r>
                <m:r>
                  <m:t>,</m:t>
                </m:r>
                <m:r>
                  <m:t>h,c</m:t>
                </m:r>
              </m:e>
            </m:d>
            <m:r>
              <m:t>−</m:t>
            </m:r>
            <m:d>
              <m:dPr/>
              <m:e>
                <m:r>
                  <m:t>u−</m:t>
                </m:r>
                <m:sSub>
                  <m:sSubPr/>
                  <m:e>
                    <m:r>
                      <m:t>u</m:t>
                    </m:r>
                  </m:e>
                  <m:sub>
                    <m:r>
                      <m:t>0</m:t>
                    </m:r>
                  </m:sub>
                </m:sSub>
              </m:e>
            </m:d>
            <m:sSup>
              <m:sSupPr/>
              <m:e>
                <m:r>
                  <m:t>‖</m:t>
                </m:r>
              </m:e>
              <m:sup>
                <m:r>
                  <m:t>2</m:t>
                </m:r>
              </m:sup>
            </m:sSup>
          </m:e>
        </m:d>
      </m:oMath>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速度场要允许曲线和活跃度互相影响。这样两者共享同一个归一化，不再是两条分数相加。片段级的异常分数只来自这个条件密度：</w:t>
      </w:r>
    </w:p>
    <w:p>
      <w:pPr>
        <w:spacing w:before="160" w:after="160" w:line="360" w:lineRule="auto"/>
        <w:jc w:val="center"/>
      </w:pPr>
      <m:oMath>
        <m:r>
          <m:t>s</m:t>
        </m:r>
        <m:r>
          <m:t>=</m:t>
        </m:r>
        <m:r>
          <m:t>−</m:t>
        </m:r>
        <m:func>
          <m:funcPr/>
          <m:fName>
            <m:r>
              <m:t>log</m:t>
            </m:r>
          </m:fName>
          <m:e>
            <m:d>
              <m:dPr/>
              <m:e>
                <m:func>
                  <m:funcPr/>
                  <m:fName>
                    <m:r>
                      <m:t>p</m:t>
                    </m:r>
                  </m:fName>
                  <m:e>
                    <m:d>
                      <m:dPr/>
                      <m:e>
                        <m:r>
                          <m:t>e,a</m:t>
                        </m:r>
                        <m:r>
                          <m:t>∣</m:t>
                        </m:r>
                        <m:r>
                          <m:t>h,c</m:t>
                        </m:r>
                      </m:e>
                    </m:d>
                  </m:e>
                </m:func>
              </m:e>
            </m:d>
          </m:e>
        </m:func>
      </m:oMath>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每个时间点的分数，用曲线那一段速度误差沿插值时间积出来，不要再乘 0.5。活跃度没有时间下标，它的成本除以 64，加到该片段盖住的每一个点上，相当于一块均匀的底。曲线的成本才是时间上不均匀的部分。两者谁大谁小，由速度场自己的大小决定。</w:t>
      </w:r>
    </w:p>
    <w:p>
      <w:pPr>
        <w:spacing w:before="160" w:after="160" w:line="360" w:lineRule="auto"/>
        <w:jc w:val="center"/>
      </w:pPr>
      <m:oMath>
        <m:func>
          <m:funcPr/>
          <m:fName>
            <m:r>
              <m:t>s</m:t>
            </m:r>
          </m:fName>
          <m:e>
            <m:d>
              <m:dPr/>
              <m:e>
                <m:r>
                  <m:t>t</m:t>
                </m:r>
              </m:e>
            </m:d>
          </m:e>
        </m:func>
        <m:r>
          <m:t>=</m:t>
        </m:r>
        <m:nary>
          <m:naryPr>
            <m:limLoc m:val="subSup"/>
          </m:naryPr>
          <m:sub>
            <m:r>
              <m:t>0</m:t>
            </m:r>
          </m:sub>
          <m:sup>
            <m:r>
              <m:t>1</m:t>
            </m:r>
          </m:sup>
          <m:e>
            <m:r>
              <m:t>‖</m:t>
            </m:r>
            <m:sSub>
              <m:sSubPr/>
              <m:e>
                <m:d>
                  <m:dPr/>
                  <m:e>
                    <m:sSub>
                      <m:sSubPr/>
                      <m:e>
                        <m:r>
                          <m:t>v</m:t>
                        </m:r>
                      </m:e>
                      <m:sub>
                        <m:r>
                          <m:t>θ</m:t>
                        </m:r>
                      </m:sub>
                    </m:sSub>
                    <m:d>
                      <m:dPr/>
                      <m:e>
                        <m:sSub>
                          <m:sSubPr/>
                          <m:e>
                            <m:r>
                              <m:t>u</m:t>
                            </m:r>
                          </m:e>
                          <m:sub>
                            <m:r>
                              <m:t>τ</m:t>
                            </m:r>
                          </m:sub>
                        </m:sSub>
                        <m:r>
                          <m:t>, τ, h, c</m:t>
                        </m:r>
                      </m:e>
                    </m:d>
                    <m:r>
                      <m:t>−</m:t>
                    </m:r>
                    <m:r>
                      <m:t>ė</m:t>
                    </m:r>
                  </m:e>
                </m:d>
              </m:e>
              <m:sub>
                <m:r>
                  <m:t>t</m:t>
                </m:r>
              </m:sub>
            </m:sSub>
            <m:sSup>
              <m:sSupPr/>
              <m:e>
                <m:r>
                  <m:t>‖</m:t>
                </m:r>
              </m:e>
              <m:sup>
                <m:r>
                  <m:t>2</m:t>
                </m:r>
              </m:sup>
            </m:sSup>
            <m:r>
              <m:t> dτ</m:t>
            </m:r>
          </m:e>
        </m:nary>
      </m:oMath>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重叠片段映回原序列之后可以取平均，因为这是窗口网格造成的，不是另一套归因。消融里请同时报告“不平均”的归属 F1。如果平均明显弄脏边界，就缩短步长，不要回到一半对一半。</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如果去掉近邻以后 SWAT 或 SMAP 突然垮掉，不要把 20 近邻加回去当主方法。那说明状态没有真正进到速度场里，应该先检查条件是不是接上了。</w:t>
      </w:r>
    </w:p>
    <w:p>
      <w:pPr>
        <w:pStyle w:val="Heading2"/>
        <w:spacing w:before="280" w:after="120"/>
      </w:pPr>
      <w:r>
        <w:rPr>
          <w:rFonts w:ascii="Times New Roman" w:hAnsi="Times New Roman" w:eastAsia="黑体"/>
          <w:b/>
          <w:bCs/>
          <w:color w:val="2E75B6"/>
          <w:sz w:val="28"/>
          <w:szCs w:val="28"/>
        </w:rPr>
        <w:t xml:space="preserve">7.3  用一条约束替换“我们把第一项删了”</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在正常训练批次上，用状态到正常记忆的距离当作“这个状态有多稀有”，记作 r(h)。这个距离只用来做惩罚，停止梯度，不能进最终分数。惩罚是检测分数和稀有度的相关系数的平方：</w:t>
      </w:r>
    </w:p>
    <w:p>
      <w:pPr>
        <w:spacing w:before="160" w:after="160" w:line="360" w:lineRule="auto"/>
        <w:jc w:val="center"/>
      </w:pPr>
      <m:oMath>
        <m:sSub>
          <m:sSubPr/>
          <m:e>
            <m:r>
              <m:t>L</m:t>
            </m:r>
          </m:e>
          <m:sub>
            <m:r>
              <m:t>inv</m:t>
            </m:r>
          </m:sub>
        </m:sSub>
        <m:r>
          <m:t>=</m:t>
        </m:r>
        <m:sSup>
          <m:sSupPr/>
          <m:e>
            <m:d>
              <m:dPr/>
              <m:e>
                <m:func>
                  <m:funcPr/>
                  <m:fName>
                    <m:r>
                      <m:t>Corr</m:t>
                    </m:r>
                  </m:fName>
                  <m:e>
                    <m:d>
                      <m:dPr/>
                      <m:e>
                        <m:r>
                          <m:t>s</m:t>
                        </m:r>
                        <m:r>
                          <m:t>,</m:t>
                        </m:r>
                        <m:func>
                          <m:funcPr/>
                          <m:fName>
                            <m:r>
                              <m:t>r</m:t>
                            </m:r>
                          </m:fName>
                          <m:e>
                            <m:d>
                              <m:dPr/>
                              <m:e>
                                <m:r>
                                  <m:t>h</m:t>
                                </m:r>
                              </m:e>
                            </m:d>
                          </m:e>
                        </m:func>
                      </m:e>
                    </m:d>
                  </m:e>
                </m:func>
              </m:e>
            </m:d>
          </m:e>
          <m:sup>
            <m:r>
              <m:t>2</m:t>
            </m:r>
          </m:sup>
        </m:sSup>
      </m:oMath>
    </w:p>
    <w:p>
      <w:pPr>
        <w:spacing w:before="160" w:after="160" w:line="360" w:lineRule="auto"/>
        <w:jc w:val="center"/>
      </w:pPr>
      <m:oMath>
        <m:r>
          <m:t>L</m:t>
        </m:r>
        <m:r>
          <m:t>=</m:t>
        </m:r>
        <m:sSub>
          <m:sSubPr/>
          <m:e>
            <m:r>
              <m:t>L</m:t>
            </m:r>
          </m:e>
          <m:sub>
            <m:r>
              <m:t>FM</m:t>
            </m:r>
          </m:sub>
        </m:sSub>
        <m:r>
          <m:t>+</m:t>
        </m:r>
        <m:r>
          <m:t>λ</m:t>
        </m:r>
        <m:sSub>
          <m:sSubPr/>
          <m:e>
            <m:r>
              <m:t>L</m:t>
            </m:r>
          </m:e>
          <m:sub>
            <m:r>
              <m:t>inv</m:t>
            </m:r>
          </m:sub>
        </m:sSub>
      </m:oMath>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λ 只在正常验证集上选。标准有两条，必须同时满足：条件负对数似然不要明显变差；分数和稀有度的相关要接近 0。不要在测试集上选 λ。</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论文里要放的不是“我们删了第一项”，而是一张散点图：加惩罚之前，正常验证点上分数随稀有度上升；加惩罚之后，这条斜线接近平的。同时，上下文异常在测试集上仍然占据高分，少见但正常的工况不再占据高分。如果斜率压不下去，这一条贡献就不要写。</w:t>
      </w:r>
    </w:p>
    <w:p>
      <w:pPr>
        <w:pStyle w:val="Heading1"/>
        <w:pBdr>
          <w:bottom w:val="single" w:color="1F4E79" w:sz="8" w:space="1"/>
        </w:pBdr>
        <w:spacing w:before="360" w:after="160"/>
      </w:pPr>
      <w:r>
        <w:rPr>
          <w:rFonts w:ascii="Times New Roman" w:hAnsi="Times New Roman" w:eastAsia="黑体"/>
          <w:b/>
          <w:bCs/>
          <w:color w:val="1F4E79"/>
          <w:sz w:val="32"/>
          <w:szCs w:val="32"/>
        </w:rPr>
        <w:t xml:space="preserve">八、动手改模型之前，先做六组对照</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先不要写论文，也不要并行改网络。用现有系统在 SWAT 和 SMAP 上做下面六行。一个是你们赢的例子，一个是你们输的例子，足够做判断。五个种子。主指标只用 VUS-PR 和归属 F1，不要用测试集上搜出来的 F1 做决定。</w:t>
      </w:r>
    </w:p>
    <w:p>
      <w:pPr>
        <w:spacing w:before="60" w:after="60"/>
      </w:pPr>
      <w:r>
        <w:rPr>
          <w:rFonts w:ascii="Times New Roman" w:hAnsi="Times New Roman" w:eastAsia="宋体"/>
          <w:b w:val="false"/>
          <w:bCs w:val="false"/>
          <w:i w:val="false"/>
          <w:iCs w:val="false"/>
          <w:color w:val="222222"/>
          <w:sz w:val="24"/>
          <w:szCs w:val="24"/>
        </w:rPr>
        <w:t xml:space="preserve"/>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4306"/>
      </w:tblGrid>
      <w:tr>
        <w:trPr>
          <w:cantSplit/>
          <w:tblHeader/>
        </w:trPr>
        <w:tc>
          <w:tcPr>
            <w:tcW w:type="dxa" w:w="1100"/>
            <w:tcBorders>
              <w:top w:val="single" w:color="C5CDD6" w:sz="4"/>
              <w:left w:val="single" w:color="C5CDD6" w:sz="4"/>
              <w:bottom w:val="single" w:color="C5CDD6" w:sz="4"/>
              <w:right w:val="single" w:color="C5CDD6" w:sz="4"/>
            </w:tcBorders>
            <w:shd w:fill="1F4E79" w:val="clear"/>
            <w:tcMar>
              <w:top w:type="dxa" w:w="50"/>
              <w:left w:type="dxa" w:w="70"/>
              <w:bottom w:type="dxa" w:w="50"/>
              <w:right w:type="dxa" w:w="70"/>
            </w:tcMar>
            <w:vAlign w:val="center"/>
          </w:tcPr>
          <w:p>
            <w:pPr>
              <w:spacing w:before="20" w:after="20"/>
              <w:jc w:val="center"/>
            </w:pPr>
            <w:r>
              <w:rPr>
                <w:rFonts w:ascii="Times New Roman" w:hAnsi="Times New Roman" w:eastAsia="宋体"/>
                <w:b/>
                <w:bCs/>
                <w:i w:val="false"/>
                <w:iCs w:val="false"/>
                <w:color w:val="FFFFFF"/>
                <w:sz w:val="18"/>
                <w:szCs w:val="18"/>
              </w:rPr>
              <w:t xml:space="preserve">编号</w:t>
            </w:r>
          </w:p>
        </w:tc>
        <w:tc>
          <w:tcPr>
            <w:tcW w:type="dxa" w:w="3900"/>
            <w:tcBorders>
              <w:top w:val="single" w:color="C5CDD6" w:sz="4"/>
              <w:left w:val="single" w:color="C5CDD6" w:sz="4"/>
              <w:bottom w:val="single" w:color="C5CDD6" w:sz="4"/>
              <w:right w:val="single" w:color="C5CDD6" w:sz="4"/>
            </w:tcBorders>
            <w:shd w:fill="1F4E79" w:val="clear"/>
            <w:tcMar>
              <w:top w:type="dxa" w:w="50"/>
              <w:left w:type="dxa" w:w="70"/>
              <w:bottom w:type="dxa" w:w="50"/>
              <w:right w:type="dxa" w:w="70"/>
            </w:tcMar>
            <w:vAlign w:val="center"/>
          </w:tcPr>
          <w:p>
            <w:pPr>
              <w:spacing w:before="20" w:after="20"/>
              <w:jc w:val="center"/>
            </w:pPr>
            <w:r>
              <w:rPr>
                <w:rFonts w:ascii="Times New Roman" w:hAnsi="Times New Roman" w:eastAsia="宋体"/>
                <w:b/>
                <w:bCs/>
                <w:i w:val="false"/>
                <w:iCs w:val="false"/>
                <w:color w:val="FFFFFF"/>
                <w:sz w:val="18"/>
                <w:szCs w:val="18"/>
              </w:rPr>
              <w:t xml:space="preserve">这一行只改什么</w:t>
            </w:r>
          </w:p>
        </w:tc>
        <w:tc>
          <w:tcPr>
            <w:tcW w:type="dxa" w:w="4306"/>
            <w:tcBorders>
              <w:top w:val="single" w:color="C5CDD6" w:sz="4"/>
              <w:left w:val="single" w:color="C5CDD6" w:sz="4"/>
              <w:bottom w:val="single" w:color="C5CDD6" w:sz="4"/>
              <w:right w:val="single" w:color="C5CDD6" w:sz="4"/>
            </w:tcBorders>
            <w:shd w:fill="1F4E79" w:val="clear"/>
            <w:tcMar>
              <w:top w:type="dxa" w:w="50"/>
              <w:left w:type="dxa" w:w="70"/>
              <w:bottom w:type="dxa" w:w="50"/>
              <w:right w:type="dxa" w:w="70"/>
            </w:tcMar>
            <w:vAlign w:val="center"/>
          </w:tcPr>
          <w:p>
            <w:pPr>
              <w:spacing w:before="20" w:after="20"/>
              <w:jc w:val="center"/>
            </w:pPr>
            <w:r>
              <w:rPr>
                <w:rFonts w:ascii="Times New Roman" w:hAnsi="Times New Roman" w:eastAsia="宋体"/>
                <w:b/>
                <w:bCs/>
                <w:i w:val="false"/>
                <w:iCs w:val="false"/>
                <w:color w:val="FFFFFF"/>
                <w:sz w:val="18"/>
                <w:szCs w:val="18"/>
              </w:rPr>
              <w:t xml:space="preserve">它回答的问题</w:t>
            </w:r>
          </w:p>
        </w:tc>
      </w:tr>
      <w:tr>
        <w:trPr>
          <w:cantSplit/>
          <w:tblHeader w:val="false"/>
        </w:trPr>
        <w:tc>
          <w:tcPr>
            <w:tcW w:type="dxa" w:w="11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A0</w:t>
            </w:r>
          </w:p>
        </w:tc>
        <w:tc>
          <w:tcPr>
            <w:tcW w:type="dxa" w:w="39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现有全系统，作为参照</w:t>
            </w:r>
          </w:p>
        </w:tc>
        <w:tc>
          <w:tcPr>
            <w:tcW w:type="dxa" w:w="430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后面每一行都和它比</w:t>
            </w:r>
          </w:p>
        </w:tc>
      </w:tr>
      <w:tr>
        <w:trPr>
          <w:cantSplit/>
          <w:tblHeader w:val="false"/>
        </w:trPr>
        <w:tc>
          <w:tcPr>
            <w:tcW w:type="dxa" w:w="1100"/>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A1</w:t>
            </w:r>
          </w:p>
        </w:tc>
        <w:tc>
          <w:tcPr>
            <w:tcW w:type="dxa" w:w="3900"/>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只用标准化之后的 d，不做流、不做残差、不加活跃度</w:t>
            </w:r>
          </w:p>
        </w:tc>
        <w:tc>
          <w:tcPr>
            <w:tcW w:type="dxa" w:w="4306"/>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d 本身有多强</w:t>
            </w:r>
          </w:p>
        </w:tc>
      </w:tr>
      <w:tr>
        <w:trPr>
          <w:cantSplit/>
          <w:tblHeader w:val="false"/>
        </w:trPr>
        <w:tc>
          <w:tcPr>
            <w:tcW w:type="dxa" w:w="11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A2</w:t>
            </w:r>
          </w:p>
        </w:tc>
        <w:tc>
          <w:tcPr>
            <w:tcW w:type="dxa" w:w="39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d 按状态 h 做稳健标准化，仍然不用流</w:t>
            </w:r>
          </w:p>
        </w:tc>
        <w:tc>
          <w:tcPr>
            <w:tcW w:type="dxa" w:w="430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“按状态看细节”是否已经够用</w:t>
            </w:r>
          </w:p>
        </w:tc>
      </w:tr>
      <w:tr>
        <w:trPr>
          <w:cantSplit/>
          <w:tblHeader w:val="false"/>
        </w:trPr>
        <w:tc>
          <w:tcPr>
            <w:tcW w:type="dxa" w:w="1100"/>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A3</w:t>
            </w:r>
          </w:p>
        </w:tc>
        <w:tc>
          <w:tcPr>
            <w:tcW w:type="dxa" w:w="3900"/>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现有条件流的分数，均匀铺到 64 个点，去掉残差</w:t>
            </w:r>
          </w:p>
        </w:tc>
        <w:tc>
          <w:tcPr>
            <w:tcW w:type="dxa" w:w="4306"/>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流比 A2 多出来多少</w:t>
            </w:r>
          </w:p>
        </w:tc>
      </w:tr>
      <w:tr>
        <w:trPr>
          <w:cantSplit/>
          <w:tblHeader w:val="false"/>
        </w:trPr>
        <w:tc>
          <w:tcPr>
            <w:tcW w:type="dxa" w:w="11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A4</w:t>
            </w:r>
          </w:p>
        </w:tc>
        <w:tc>
          <w:tcPr>
            <w:tcW w:type="dxa" w:w="390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在 A3 上加回现在的五五开残差</w:t>
            </w:r>
          </w:p>
        </w:tc>
        <w:tc>
          <w:tcPr>
            <w:tcW w:type="dxa" w:w="430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残差是不是只在改边界，不改排序</w:t>
            </w:r>
          </w:p>
        </w:tc>
      </w:tr>
      <w:tr>
        <w:trPr>
          <w:cantSplit/>
          <w:tblHeader w:val="false"/>
        </w:trPr>
        <w:tc>
          <w:tcPr>
            <w:tcW w:type="dxa" w:w="1100"/>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A5</w:t>
            </w:r>
          </w:p>
        </w:tc>
        <w:tc>
          <w:tcPr>
            <w:tcW w:type="dxa" w:w="3900"/>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全系统去掉活跃度这一路</w:t>
            </w:r>
          </w:p>
        </w:tc>
        <w:tc>
          <w:tcPr>
            <w:tcW w:type="dxa" w:w="4306"/>
            <w:tcBorders>
              <w:top w:val="single" w:color="C5CDD6" w:sz="4"/>
              <w:left w:val="single" w:color="C5CDD6" w:sz="4"/>
              <w:bottom w:val="single" w:color="C5CDD6" w:sz="4"/>
              <w:right w:val="single" w:color="C5CDD6" w:sz="4"/>
            </w:tcBorders>
            <w:shd w:fill="F4F7FB" w:val="clear"/>
            <w:tcMar>
              <w:top w:type="dxa" w:w="50"/>
              <w:left w:type="dxa" w:w="70"/>
              <w:bottom w:type="dxa" w:w="50"/>
              <w:right w:type="dxa" w:w="70"/>
            </w:tcMar>
            <w:vAlign w:val="center"/>
          </w:tcPr>
          <w:p>
            <w:pPr>
              <w:spacing w:before="20" w:after="20"/>
              <w:jc w:val="left"/>
            </w:pPr>
            <w:r>
              <w:rPr>
                <w:rFonts w:ascii="Times New Roman" w:hAnsi="Times New Roman" w:eastAsia="宋体"/>
                <w:b w:val="false"/>
                <w:bCs w:val="false"/>
                <w:i w:val="false"/>
                <w:iCs w:val="false"/>
                <w:color w:val="222222"/>
                <w:sz w:val="18"/>
                <w:szCs w:val="18"/>
              </w:rPr>
              <w:t xml:space="preserve">相加是不是只换来召回、丢掉精度</w:t>
            </w:r>
          </w:p>
        </w:tc>
      </w:tr>
    </w:tbl>
    <w:p>
      <w:pPr>
        <w:spacing w:before="60" w:after="120"/>
      </w:pPr>
      <w:r>
        <w:rPr>
          <w:rFonts w:ascii="Times New Roman" w:hAnsi="Times New Roman" w:eastAsia="宋体"/>
          <w:b w:val="false"/>
          <w:bCs w:val="false"/>
          <w:i w:val="false"/>
          <w:iCs w:val="false"/>
          <w:color w:val="555555"/>
          <w:sz w:val="18"/>
          <w:szCs w:val="18"/>
        </w:rPr>
        <w:t xml:space="preserve">表 3  这六行决定论文的主语。做完之前不要改贡献列表。</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结果出来以后，按下面的规则写，不要再改口。</w:t>
      </w:r>
    </w:p>
    <w:p>
      <w:pPr>
        <w:pStyle w:val="ListParagraph"/>
        <w:numPr>
          <w:ilvl w:val="0"/>
          <w:numId w:val="2"/>
        </w:numPr>
        <w:spacing w:before="40" w:after="40" w:line="360" w:lineRule="auto"/>
      </w:pPr>
      <w:r>
        <w:rPr>
          <w:rFonts w:ascii="Times New Roman" w:hAnsi="Times New Roman" w:eastAsia="宋体"/>
          <w:b w:val="false"/>
          <w:bCs w:val="false"/>
          <w:i w:val="false"/>
          <w:iCs w:val="false"/>
          <w:color w:val="222222"/>
          <w:sz w:val="22"/>
          <w:szCs w:val="22"/>
        </w:rPr>
        <w:t xml:space="preserve">如果 A2 在 SWAT 上的 VUS-PR 已经接近 A0，论文就不要说“我们提出了一种新的流”。后面仍可以用流去估计曲线的密度，但贡献是这个条件统计量，不是流本身。</w:t>
      </w:r>
    </w:p>
    <w:p>
      <w:pPr>
        <w:pStyle w:val="ListParagraph"/>
        <w:numPr>
          <w:ilvl w:val="0"/>
          <w:numId w:val="2"/>
        </w:numPr>
        <w:spacing w:before="40" w:after="40" w:line="360" w:lineRule="auto"/>
      </w:pPr>
      <w:r>
        <w:rPr>
          <w:rFonts w:ascii="Times New Roman" w:hAnsi="Times New Roman" w:eastAsia="宋体"/>
          <w:b w:val="false"/>
          <w:bCs w:val="false"/>
          <w:i w:val="false"/>
          <w:iCs w:val="false"/>
          <w:color w:val="222222"/>
          <w:sz w:val="22"/>
          <w:szCs w:val="22"/>
        </w:rPr>
        <w:t xml:space="preserve">如果 A4 相对 A3 主要改变归属 F1、几乎不改变 VUS-PR，一半对一半就是在迁就指标，按第七节删掉。</w:t>
      </w:r>
    </w:p>
    <w:p>
      <w:pPr>
        <w:pStyle w:val="ListParagraph"/>
        <w:numPr>
          <w:ilvl w:val="0"/>
          <w:numId w:val="2"/>
        </w:numPr>
        <w:spacing w:before="40" w:after="40" w:line="360" w:lineRule="auto"/>
      </w:pPr>
      <w:r>
        <w:rPr>
          <w:rFonts w:ascii="Times New Roman" w:hAnsi="Times New Roman" w:eastAsia="宋体"/>
          <w:b w:val="false"/>
          <w:bCs w:val="false"/>
          <w:i w:val="false"/>
          <w:iCs w:val="false"/>
          <w:color w:val="222222"/>
          <w:sz w:val="22"/>
          <w:szCs w:val="22"/>
        </w:rPr>
        <w:t xml:space="preserve">如果 A5 的精度上升、召回下降，活跃度就是一条独立检测器。它必须进入同一个行为向量，不能再相加。</w:t>
      </w:r>
    </w:p>
    <w:p>
      <w:pPr>
        <w:pStyle w:val="ListParagraph"/>
        <w:numPr>
          <w:ilvl w:val="0"/>
          <w:numId w:val="2"/>
        </w:numPr>
        <w:spacing w:before="40" w:after="40" w:line="360" w:lineRule="auto"/>
      </w:pPr>
      <w:r>
        <w:rPr>
          <w:rFonts w:ascii="Times New Roman" w:hAnsi="Times New Roman" w:eastAsia="宋体"/>
          <w:b w:val="false"/>
          <w:bCs w:val="false"/>
          <w:i w:val="false"/>
          <w:iCs w:val="false"/>
          <w:color w:val="222222"/>
          <w:sz w:val="22"/>
          <w:szCs w:val="22"/>
        </w:rPr>
        <w:t xml:space="preserve">如果六行在 SMAP 上都明显低于 PaAno 的 0.670 这一档，就接受很短的尖峰不是你们的目标。不要为了 SMAP 再加一个尖峰头，否则前面那句问题定义就站不住。</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如果第 A2 行已经解释了几乎全部提升，就不要把时间花在更复杂的微分方程上。把题目改成“按状态看行为，并把这个分数沿时间拆开”。这样收束，仍然可以写成一篇干净的 KDD 或 AAAI 论文。硬把流模型写成创新，会被 A2 这一行打掉。</w:t>
      </w:r>
    </w:p>
    <w:p>
      <w:pPr>
        <w:pStyle w:val="Heading1"/>
        <w:pBdr>
          <w:bottom w:val="single" w:color="1F4E79" w:sz="8" w:space="1"/>
        </w:pBdr>
        <w:spacing w:before="360" w:after="160"/>
      </w:pPr>
      <w:r>
        <w:rPr>
          <w:rFonts w:ascii="Times New Roman" w:hAnsi="Times New Roman" w:eastAsia="黑体"/>
          <w:b/>
          <w:bCs/>
          <w:color w:val="1F4E79"/>
          <w:sz w:val="32"/>
          <w:szCs w:val="32"/>
        </w:rPr>
        <w:t xml:space="preserve">九、用一组人造数据把道理钉死</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没有这组实验，第七节仍然会被看成“把一个数换成了一条曲线”。人造数据要按你们的问题来生成，不要生成完再用真实数据集的名字去圆。</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正常数据来自三个工况，出现概率大约是 0.8、0.15 和 0.05。每个工况有自己的平滑模板，再加上高斯噪声。通道数做 5 和 20 两档就够。然后只制造三类和定义对应的事件。</w:t>
      </w:r>
    </w:p>
    <w:p>
      <w:pPr>
        <w:pStyle w:val="ListParagraph"/>
        <w:numPr>
          <w:ilvl w:val="0"/>
          <w:numId w:val="2"/>
        </w:numPr>
        <w:spacing w:before="40" w:after="40" w:line="360" w:lineRule="auto"/>
      </w:pPr>
      <w:r>
        <w:rPr>
          <w:rFonts w:ascii="Times New Roman" w:hAnsi="Times New Roman" w:eastAsia="宋体"/>
          <w:b w:val="false"/>
          <w:bCs w:val="false"/>
          <w:i w:val="false"/>
          <w:iCs w:val="false"/>
          <w:color w:val="222222"/>
          <w:sz w:val="22"/>
          <w:szCs w:val="22"/>
        </w:rPr>
        <w:t xml:space="preserve">行为变了，工况没变。保持工况，把模板中一段连续区间换成另一条模板，或者把这段的方差放大到正常范围之外。区间位置随机，长度大约占总长的一成到三成。这是你们声称要抓的异常。</w:t>
      </w:r>
    </w:p>
    <w:p>
      <w:pPr>
        <w:pStyle w:val="ListParagraph"/>
        <w:numPr>
          <w:ilvl w:val="0"/>
          <w:numId w:val="2"/>
        </w:numPr>
        <w:spacing w:before="40" w:after="40" w:line="360" w:lineRule="auto"/>
      </w:pPr>
      <w:r>
        <w:rPr>
          <w:rFonts w:ascii="Times New Roman" w:hAnsi="Times New Roman" w:eastAsia="宋体"/>
          <w:b w:val="false"/>
          <w:bCs w:val="false"/>
          <w:i w:val="false"/>
          <w:iCs w:val="false"/>
          <w:color w:val="222222"/>
          <w:sz w:val="22"/>
          <w:szCs w:val="22"/>
        </w:rPr>
        <w:t xml:space="preserve">工况变了，行为规律没变。用训练里没出现过的第四个工况生成整段，噪声水平和正常一样。按你们的定义，这不该报。</w:t>
      </w:r>
    </w:p>
    <w:p>
      <w:pPr>
        <w:pStyle w:val="ListParagraph"/>
        <w:numPr>
          <w:ilvl w:val="0"/>
          <w:numId w:val="2"/>
        </w:numPr>
        <w:spacing w:before="40" w:after="40" w:line="360" w:lineRule="auto"/>
      </w:pPr>
      <w:r>
        <w:rPr>
          <w:rFonts w:ascii="Times New Roman" w:hAnsi="Times New Roman" w:eastAsia="宋体"/>
          <w:b w:val="false"/>
          <w:bCs w:val="false"/>
          <w:i w:val="false"/>
          <w:iCs w:val="false"/>
          <w:color w:val="222222"/>
          <w:sz w:val="22"/>
          <w:szCs w:val="22"/>
        </w:rPr>
        <w:t xml:space="preserve">一个通道、一个时间点上加一个大尖峰。这是压力测试，用来预言 SMAP，不是主定理要覆盖的情形。</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论文里必须有四张结果，少一张就不要写理论。第一，只看整体密度的流，在“新工况但行为正常”上的误报要明显高于你们的条件分数。第二，你们的条件分数在“工况不变、行为变了”上的检出不低于整体密度，同时在新工况上的误报接近普通正常段。第三，每个时间点的分数落在被改过的那段里面，不需要一半对一半。第四，尖峰短到一两个点时，你们的方法变差。第四条是为了在看到 SMAP 之前就把失败写出来。</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这里有一个必须写明的假设：行为上的异常没有把状态彻底认成另一个工况。如果异常同时把状态打飞了，条件分数会把异常吸进状态里，从而漏报。这是方法的边界，写在局限性里，不要藏。</w:t>
      </w:r>
    </w:p>
    <w:p>
      <w:pPr>
        <w:pStyle w:val="Heading1"/>
        <w:pBdr>
          <w:bottom w:val="single" w:color="1F4E79" w:sz="8" w:space="1"/>
        </w:pBdr>
        <w:spacing w:before="360" w:after="160"/>
      </w:pPr>
      <w:r>
        <w:rPr>
          <w:rFonts w:ascii="Times New Roman" w:hAnsi="Times New Roman" w:eastAsia="黑体"/>
          <w:b/>
          <w:bCs/>
          <w:color w:val="1F4E79"/>
          <w:sz w:val="32"/>
          <w:szCs w:val="32"/>
        </w:rPr>
        <w:t xml:space="preserve">十、论文按这个顺序写</w:t>
      </w:r>
    </w:p>
    <w:p>
      <w:pPr>
        <w:pStyle w:val="ListParagraph"/>
        <w:numPr>
          <w:ilvl w:val="0"/>
          <w:numId w:val="3"/>
        </w:numPr>
        <w:spacing w:before="60" w:after="60" w:line="360" w:lineRule="auto"/>
      </w:pPr>
      <w:r>
        <w:rPr>
          <w:rFonts w:ascii="Times New Roman" w:hAnsi="Times New Roman" w:eastAsia="宋体"/>
          <w:b w:val="false"/>
          <w:bCs w:val="false"/>
          <w:i w:val="false"/>
          <w:iCs w:val="false"/>
          <w:color w:val="222222"/>
          <w:sz w:val="22"/>
          <w:szCs w:val="22"/>
        </w:rPr>
        <w:t xml:space="preserve">引言用一个两工况的例子开头。工况 B 很少见，但行为正常；工况 A 很常见，但其中一段的规律变了。只看整体密度，会把 B 打成异常，又抓不准 A 的那一段。贡献只写三句：异常是条件规律变了，不是状态少见；正常数据上分数不随稀有度升高；时间位置是同一个分数拆出来的。不要写“我们还融合了活跃度”。</w:t>
      </w:r>
    </w:p>
    <w:p>
      <w:pPr>
        <w:pStyle w:val="ListParagraph"/>
        <w:numPr>
          <w:ilvl w:val="0"/>
          <w:numId w:val="3"/>
        </w:numPr>
        <w:spacing w:before="60" w:after="60" w:line="360" w:lineRule="auto"/>
      </w:pPr>
      <w:r>
        <w:rPr>
          <w:rFonts w:ascii="Times New Roman" w:hAnsi="Times New Roman" w:eastAsia="宋体"/>
          <w:b w:val="false"/>
          <w:bCs w:val="false"/>
          <w:i w:val="false"/>
          <w:iCs w:val="false"/>
          <w:color w:val="222222"/>
          <w:sz w:val="22"/>
          <w:szCs w:val="22"/>
        </w:rPr>
        <w:t xml:space="preserve">问题部分写第九节的两类事件和那个假设。明确写：本方法不声称覆盖一两个点的尖峰。</w:t>
      </w:r>
    </w:p>
    <w:p>
      <w:pPr>
        <w:pStyle w:val="ListParagraph"/>
        <w:numPr>
          <w:ilvl w:val="0"/>
          <w:numId w:val="3"/>
        </w:numPr>
        <w:spacing w:before="60" w:after="60" w:line="360" w:lineRule="auto"/>
      </w:pPr>
      <w:r>
        <w:rPr>
          <w:rFonts w:ascii="Times New Roman" w:hAnsi="Times New Roman" w:eastAsia="宋体"/>
          <w:b w:val="false"/>
          <w:bCs w:val="false"/>
          <w:i w:val="false"/>
          <w:iCs w:val="false"/>
          <w:color w:val="222222"/>
          <w:sz w:val="22"/>
          <w:szCs w:val="22"/>
        </w:rPr>
        <w:t xml:space="preserve">方法部分只写遮住上下文、行为向量、条件速度场、稀有度约束、沿时间拆开的分数。一半对一半、20 近邻、两套记忆库不要出现在方法里。</w:t>
      </w:r>
    </w:p>
    <w:p>
      <w:pPr>
        <w:pStyle w:val="ListParagraph"/>
        <w:numPr>
          <w:ilvl w:val="0"/>
          <w:numId w:val="3"/>
        </w:numPr>
        <w:spacing w:before="60" w:after="60" w:line="360" w:lineRule="auto"/>
      </w:pPr>
      <w:r>
        <w:rPr>
          <w:rFonts w:ascii="Times New Roman" w:hAnsi="Times New Roman" w:eastAsia="宋体"/>
          <w:b w:val="false"/>
          <w:bCs w:val="false"/>
          <w:i w:val="false"/>
          <w:iCs w:val="false"/>
          <w:color w:val="222222"/>
          <w:sz w:val="22"/>
          <w:szCs w:val="22"/>
        </w:rPr>
        <w:t xml:space="preserve">先放人造数据的四张结果，再放真实数据。读者先看到道理成立，再看到真实数据和道理一致。</w:t>
      </w:r>
    </w:p>
    <w:p>
      <w:pPr>
        <w:pStyle w:val="ListParagraph"/>
        <w:numPr>
          <w:ilvl w:val="0"/>
          <w:numId w:val="3"/>
        </w:numPr>
        <w:spacing w:before="60" w:after="60" w:line="360" w:lineRule="auto"/>
      </w:pPr>
      <w:r>
        <w:rPr>
          <w:rFonts w:ascii="Times New Roman" w:hAnsi="Times New Roman" w:eastAsia="宋体"/>
          <w:b w:val="false"/>
          <w:bCs w:val="false"/>
          <w:i w:val="false"/>
          <w:iCs w:val="false"/>
          <w:color w:val="222222"/>
          <w:sz w:val="22"/>
          <w:szCs w:val="22"/>
        </w:rPr>
        <w:t xml:space="preserve">真实数据先写 SWAT、PSM 这种更像“行为变了”的集合，再写 SMAP 这种更像尖峰的集合。SMAP 上输给局部距离时，用人造数据的第四条解释，不加新模块。</w:t>
      </w:r>
    </w:p>
    <w:p>
      <w:pPr>
        <w:pStyle w:val="ListParagraph"/>
        <w:numPr>
          <w:ilvl w:val="0"/>
          <w:numId w:val="3"/>
        </w:numPr>
        <w:spacing w:before="60" w:after="60" w:line="360" w:lineRule="auto"/>
      </w:pPr>
      <w:r>
        <w:rPr>
          <w:rFonts w:ascii="Times New Roman" w:hAnsi="Times New Roman" w:eastAsia="宋体"/>
          <w:b w:val="false"/>
          <w:bCs w:val="false"/>
          <w:i w:val="false"/>
          <w:iCs w:val="false"/>
          <w:color w:val="222222"/>
          <w:sz w:val="22"/>
          <w:szCs w:val="22"/>
        </w:rPr>
        <w:t xml:space="preserve">消融每次只动一个因素：第八节的六行，再加去掉稀有度约束、曲线改回单个 d、活跃度改回相加、时间分数改回均匀铺开。</w:t>
      </w:r>
    </w:p>
    <w:p>
      <w:pPr>
        <w:pStyle w:val="ListParagraph"/>
        <w:numPr>
          <w:ilvl w:val="0"/>
          <w:numId w:val="3"/>
        </w:numPr>
        <w:spacing w:before="60" w:after="60" w:line="360" w:lineRule="auto"/>
      </w:pPr>
      <w:r>
        <w:rPr>
          <w:rFonts w:ascii="Times New Roman" w:hAnsi="Times New Roman" w:eastAsia="宋体"/>
          <w:b w:val="false"/>
          <w:bCs w:val="false"/>
          <w:i w:val="false"/>
          <w:iCs w:val="false"/>
          <w:color w:val="222222"/>
          <w:sz w:val="22"/>
          <w:szCs w:val="22"/>
        </w:rPr>
        <w:t xml:space="preserve">局限性写三条：状态被异常彻底带偏时会漏；极短尖峰会漏；散度估计的方差要报告。如果计算量明显高于 CrossAD，单独列出来。</w:t>
      </w:r>
    </w:p>
    <w:p>
      <w:pPr>
        <w:pStyle w:val="Heading2"/>
        <w:spacing w:before="280" w:after="120"/>
      </w:pPr>
      <w:r>
        <w:rPr>
          <w:rFonts w:ascii="Times New Roman" w:hAnsi="Times New Roman" w:eastAsia="黑体"/>
          <w:b/>
          <w:bCs/>
          <w:color w:val="2E75B6"/>
          <w:sz w:val="28"/>
          <w:szCs w:val="28"/>
        </w:rPr>
        <w:t xml:space="preserve">10.1  真实实验的口径</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宏平均可以留，但不能是唯一证据。主指标改成 VUS-PR 和归属 F1。AUC-ROC 作辅助。测试集上搜阈值得到的 F1 放进附录，并写明用了测试标签。另报一列只在正常验证集的尾部上定阈值，然后到测试集上算一次精度、召回和归属 F1。这一列才说明方法能不能用。</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表里所有对照，包括 PaAno、CrossAD 和 MTGFlow，都要跑五个种子。现在这张表不能直接放进论文。每个数据集分开报。SWAT、PSM 上的领先和 SMAP、GECCO 上的落后必须同时出现。λ、积分步数和隐藏层大小只在正常验证集上定，定完就冻住，不要在公开测试集上来回试。七个数据集只有一个平均值、没有波动，会被直接打回来。至少给出五个种子的标准差。</w:t>
      </w:r>
    </w:p>
    <w:p>
      <w:pPr>
        <w:pStyle w:val="Heading1"/>
        <w:pBdr>
          <w:bottom w:val="single" w:color="1F4E79" w:sz="8" w:space="1"/>
        </w:pBdr>
        <w:spacing w:before="360" w:after="160"/>
      </w:pPr>
      <w:r>
        <w:rPr>
          <w:rFonts w:ascii="Times New Roman" w:hAnsi="Times New Roman" w:eastAsia="黑体"/>
          <w:b/>
          <w:bCs/>
          <w:color w:val="1F4E79"/>
          <w:sz w:val="32"/>
          <w:szCs w:val="32"/>
        </w:rPr>
        <w:t xml:space="preserve">十一、除了算法，还有几件我想提醒的事</w:t>
      </w:r>
    </w:p>
    <w:p>
      <w:pPr>
        <w:pStyle w:val="Heading2"/>
        <w:spacing w:before="280" w:after="120"/>
      </w:pPr>
      <w:r>
        <w:rPr>
          <w:rFonts w:ascii="Times New Roman" w:hAnsi="Times New Roman" w:eastAsia="黑体"/>
          <w:b/>
          <w:bCs/>
          <w:color w:val="2E75B6"/>
          <w:sz w:val="28"/>
          <w:szCs w:val="28"/>
        </w:rPr>
        <w:t xml:space="preserve">11.1  写作</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引言不要从“时间序列异常检测很重要”写起。用那个两工况的例子，半页之内让读者看到现有分数会错在哪里。一个概念只用一个词。状态、细节、上下文、活跃度，全文不要再换成别的说法。</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不要把“联合建模”“端到端”“首次”写在贡献里，除非第七节的公式已经是正文里的模型，并且消融证明拿掉耦合就退回相加。审稿人核对公式比核对形容词快。</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图表每张只说明一件事。表 1 说明平均不是全面领先。表 2 说明赢和输分别在哪一类数据。人造数据的图说明误报落在新工况上还是落在被改过的时间段上。不要把十六个指标铺成一张大表当主结果。</w:t>
      </w:r>
    </w:p>
    <w:p>
      <w:pPr>
        <w:pStyle w:val="Heading2"/>
        <w:spacing w:before="280" w:after="120"/>
      </w:pPr>
      <w:r>
        <w:rPr>
          <w:rFonts w:ascii="Times New Roman" w:hAnsi="Times New Roman" w:eastAsia="黑体"/>
          <w:b/>
          <w:bCs/>
          <w:color w:val="2E75B6"/>
          <w:sz w:val="28"/>
          <w:szCs w:val="28"/>
        </w:rPr>
        <w:t xml:space="preserve">11.2  实验上要诚实</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你们已经有一个好看的平均，这会诱使人继续只报赢的格子。CCF-A 更吃得消“我们预言自己会输，然后确实输了”。SMAP 上的落后如果和人造尖峰一致，就是加分项，不是耻辱。反过来，如果人造数据里新工况仍然被你们大面积误报，说明稀有度约束没起作用，这时不要用真实数据的平均把文章救回来。</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阈值一定要说清楚。现在表里的点级 F1、区间 F1 是逐项最优，等于看过测试标签之后选了一个最好的切分点。归属 F1 和 VUS 没有这个好处，所以它们更适合当主指标。正文里把这件事写明，比被审稿人指出来要好。</w:t>
      </w:r>
    </w:p>
    <w:p>
      <w:pPr>
        <w:pStyle w:val="Heading2"/>
        <w:spacing w:before="280" w:after="120"/>
      </w:pPr>
      <w:r>
        <w:rPr>
          <w:rFonts w:ascii="Times New Roman" w:hAnsi="Times New Roman" w:eastAsia="黑体"/>
          <w:b/>
          <w:bCs/>
          <w:color w:val="2E75B6"/>
          <w:sz w:val="28"/>
          <w:szCs w:val="28"/>
        </w:rPr>
        <w:t xml:space="preserve">11.3  两个人怎么分工</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建议一个人先把第八节的六行跑完，另一个人同时把第九节的人造数据生成器和四种事件的评价指标写好。两边都不要等对方。六行的结论出来之前，不要开始写方法节的贡献列表，否则很容易写成现在这套系统的说明书。</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人造数据的生成过程要单独做成一个可以复跑的脚本，随机种子固定。审稿人如果问“新工况的模板和正常模板差多少”，你们要能改一个参数重新出图，而不是靠口头解释。</w:t>
      </w:r>
    </w:p>
    <w:p>
      <w:pPr>
        <w:pStyle w:val="Heading2"/>
        <w:spacing w:before="280" w:after="120"/>
      </w:pPr>
      <w:r>
        <w:rPr>
          <w:rFonts w:ascii="Times New Roman" w:hAnsi="Times New Roman" w:eastAsia="黑体"/>
          <w:b/>
          <w:bCs/>
          <w:color w:val="2E75B6"/>
          <w:sz w:val="28"/>
          <w:szCs w:val="28"/>
        </w:rPr>
        <w:t xml:space="preserve">11.4  投稿节奏</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以今天的手稿，我不建议投。和 CrossAD 比，VUS-ROC 大约只高 0.013，归属 F1 还更低，定位用的是常数，两路分数是相加。这个状态投出去，大概率是“工程组合、增量不足”。</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合理的节奏是：一周内看完六行对照；接着改模型并在人造数据上对上四张图；最后再跑完整的真实数据。方法节只保留最后仍然成立的部件。第一投放在 KDD 或 AAAI 的 research track。如果六行对照说明流本身没有额外贡献，就把流降成实现工具，题目改成条件行为统计量，仍然可以投这两处，但不要再自称流模型论文。</w:t>
      </w:r>
    </w:p>
    <w:p>
      <w:pPr>
        <w:pStyle w:val="Heading2"/>
        <w:spacing w:before="280" w:after="120"/>
      </w:pPr>
      <w:r>
        <w:rPr>
          <w:rFonts w:ascii="Times New Roman" w:hAnsi="Times New Roman" w:eastAsia="黑体"/>
          <w:b/>
          <w:bCs/>
          <w:color w:val="2E75B6"/>
          <w:sz w:val="28"/>
          <w:szCs w:val="28"/>
        </w:rPr>
        <w:t xml:space="preserve">11.5  请不要做的事</w:t>
      </w:r>
    </w:p>
    <w:p>
      <w:pPr>
        <w:pStyle w:val="ListParagraph"/>
        <w:numPr>
          <w:ilvl w:val="0"/>
          <w:numId w:val="2"/>
        </w:numPr>
        <w:spacing w:before="40" w:after="40" w:line="360" w:lineRule="auto"/>
      </w:pPr>
      <w:r>
        <w:rPr>
          <w:rFonts w:ascii="Times New Roman" w:hAnsi="Times New Roman" w:eastAsia="宋体"/>
          <w:b w:val="false"/>
          <w:bCs w:val="false"/>
          <w:i w:val="false"/>
          <w:iCs w:val="false"/>
          <w:color w:val="222222"/>
          <w:sz w:val="22"/>
          <w:szCs w:val="22"/>
        </w:rPr>
        <w:t xml:space="preserve">不要再加一条新的支路来补 SMAP。那样做会把方法边界涂掉。</w:t>
      </w:r>
    </w:p>
    <w:p>
      <w:pPr>
        <w:pStyle w:val="ListParagraph"/>
        <w:numPr>
          <w:ilvl w:val="0"/>
          <w:numId w:val="2"/>
        </w:numPr>
        <w:spacing w:before="40" w:after="40" w:line="360" w:lineRule="auto"/>
      </w:pPr>
      <w:r>
        <w:rPr>
          <w:rFonts w:ascii="Times New Roman" w:hAnsi="Times New Roman" w:eastAsia="宋体"/>
          <w:b w:val="false"/>
          <w:bCs w:val="false"/>
          <w:i w:val="false"/>
          <w:iCs w:val="false"/>
          <w:color w:val="222222"/>
          <w:sz w:val="22"/>
          <w:szCs w:val="22"/>
        </w:rPr>
        <w:t xml:space="preserve">不要把 0.5 换成一个全局可学习的小数，然后说学会了融合。一个全局小数仍然不是沿时间拆开的分数。</w:t>
      </w:r>
    </w:p>
    <w:p>
      <w:pPr>
        <w:pStyle w:val="ListParagraph"/>
        <w:numPr>
          <w:ilvl w:val="0"/>
          <w:numId w:val="2"/>
        </w:numPr>
        <w:spacing w:before="40" w:after="40" w:line="360" w:lineRule="auto"/>
      </w:pPr>
      <w:r>
        <w:rPr>
          <w:rFonts w:ascii="Times New Roman" w:hAnsi="Times New Roman" w:eastAsia="宋体"/>
          <w:b w:val="false"/>
          <w:bCs w:val="false"/>
          <w:i w:val="false"/>
          <w:iCs w:val="false"/>
          <w:color w:val="222222"/>
          <w:sz w:val="22"/>
          <w:szCs w:val="22"/>
        </w:rPr>
        <w:t xml:space="preserve">不要用测试集最优 F1 的提升当作主结果。</w:t>
      </w:r>
    </w:p>
    <w:p>
      <w:pPr>
        <w:pStyle w:val="ListParagraph"/>
        <w:numPr>
          <w:ilvl w:val="0"/>
          <w:numId w:val="2"/>
        </w:numPr>
        <w:spacing w:before="40" w:after="40" w:line="360" w:lineRule="auto"/>
      </w:pPr>
      <w:r>
        <w:rPr>
          <w:rFonts w:ascii="Times New Roman" w:hAnsi="Times New Roman" w:eastAsia="宋体"/>
          <w:b w:val="false"/>
          <w:bCs w:val="false"/>
          <w:i w:val="false"/>
          <w:iCs w:val="false"/>
          <w:color w:val="222222"/>
          <w:sz w:val="22"/>
          <w:szCs w:val="22"/>
        </w:rPr>
        <w:t xml:space="preserve">不要在活跃度和曲线还没有放进同一个条件概率之前，写“局部和整体联合建模”。</w:t>
      </w:r>
    </w:p>
    <w:p>
      <w:pPr>
        <w:pStyle w:val="ListParagraph"/>
        <w:numPr>
          <w:ilvl w:val="0"/>
          <w:numId w:val="2"/>
        </w:numPr>
        <w:spacing w:before="40" w:after="40" w:line="360" w:lineRule="auto"/>
      </w:pPr>
      <w:r>
        <w:rPr>
          <w:rFonts w:ascii="Times New Roman" w:hAnsi="Times New Roman" w:eastAsia="宋体"/>
          <w:b w:val="false"/>
          <w:bCs w:val="false"/>
          <w:i w:val="false"/>
          <w:iCs w:val="false"/>
          <w:color w:val="222222"/>
          <w:sz w:val="22"/>
          <w:szCs w:val="22"/>
        </w:rPr>
        <w:t xml:space="preserve">不要在六行对照做完之前改写贡献。那一组实验可能会证明，真正有用的是按状态看 d，而不是后面的壳。</w:t>
      </w:r>
    </w:p>
    <w:p>
      <w:pPr>
        <w:pStyle w:val="Heading1"/>
        <w:pBdr>
          <w:bottom w:val="single" w:color="1F4E79" w:sz="8" w:space="1"/>
        </w:pBdr>
        <w:spacing w:before="360" w:after="160"/>
      </w:pPr>
      <w:r>
        <w:rPr>
          <w:rFonts w:ascii="Times New Roman" w:hAnsi="Times New Roman" w:eastAsia="黑体"/>
          <w:b/>
          <w:bCs/>
          <w:color w:val="1F4E79"/>
          <w:sz w:val="32"/>
          <w:szCs w:val="32"/>
        </w:rPr>
        <w:t xml:space="preserve">十二、数字从哪里来</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文中的数字都来自《七模型指标对比》这张表的“指标对比”和“逐数据集”两页，保留三位小数。MTDA 是种子 2023 到 2027 的平均。PaAno 是 seed 0。点级 F1 和区间 F1 是各方法自己的逐项最优，不是在验证集上定一次阈值之后的结果。</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宏平均里，你们的 AUC-ROC、AUC-PR、VUS-PR、点级 F1、区间 F1、归属 F1、精度依次是 0.788、0.425、0.491、0.455、0.331、0.733、0.701。CrossAD 对应是 0.749、0.391、0.467、0.394、0.295、0.770、0.794。分数据集只引用了和论点直接有关的格子，没有把整张表再抄一遍。</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如果你们核对时发现某一格和原始表不一致，以原始表为准，并把这一份里的对应句子改掉。不要为了把故事说圆去改数字。</w:t>
      </w:r>
    </w:p>
    <w:p>
      <w:pPr>
        <w:pStyle w:val="Heading1"/>
        <w:pBdr>
          <w:bottom w:val="single" w:color="1F4E79" w:sz="8" w:space="1"/>
        </w:pBdr>
        <w:spacing w:before="360" w:after="160"/>
      </w:pPr>
      <w:r>
        <w:rPr>
          <w:rFonts w:ascii="Times New Roman" w:hAnsi="Times New Roman" w:eastAsia="黑体"/>
          <w:b/>
          <w:bCs/>
          <w:color w:val="1F4E79"/>
          <w:sz w:val="32"/>
          <w:szCs w:val="32"/>
        </w:rPr>
        <w:t xml:space="preserve">十三、我希望你们下一步做什么</w:t>
      </w:r>
    </w:p>
    <w:p>
      <w:pPr>
        <w:pStyle w:val="ListParagraph"/>
        <w:numPr>
          <w:ilvl w:val="0"/>
          <w:numId w:val="4"/>
        </w:numPr>
        <w:spacing w:before="60" w:after="60" w:line="360" w:lineRule="auto"/>
      </w:pPr>
      <w:r>
        <w:rPr>
          <w:rFonts w:ascii="Times New Roman" w:hAnsi="Times New Roman" w:eastAsia="宋体"/>
          <w:b w:val="false"/>
          <w:bCs w:val="false"/>
          <w:i w:val="false"/>
          <w:iCs w:val="false"/>
          <w:color w:val="222222"/>
          <w:sz w:val="22"/>
          <w:szCs w:val="22"/>
        </w:rPr>
        <w:t xml:space="preserve">本周只做 SWAT 和 SMAP 上的 A0 到 A5，五个种子，主指标 VUS-PR 和归属 F1。做完把六行数字发给我，我们再决定论文的主语。</w:t>
      </w:r>
    </w:p>
    <w:p>
      <w:pPr>
        <w:pStyle w:val="ListParagraph"/>
        <w:numPr>
          <w:ilvl w:val="0"/>
          <w:numId w:val="4"/>
        </w:numPr>
        <w:spacing w:before="60" w:after="60" w:line="360" w:lineRule="auto"/>
      </w:pPr>
      <w:r>
        <w:rPr>
          <w:rFonts w:ascii="Times New Roman" w:hAnsi="Times New Roman" w:eastAsia="宋体"/>
          <w:b w:val="false"/>
          <w:bCs w:val="false"/>
          <w:i w:val="false"/>
          <w:iCs w:val="false"/>
          <w:color w:val="222222"/>
          <w:sz w:val="22"/>
          <w:szCs w:val="22"/>
        </w:rPr>
        <w:t xml:space="preserve">同时把人造数据的生成器写出来，先不要接新模型。确认三类事件的标签和区间位置能对上。</w:t>
      </w:r>
    </w:p>
    <w:p>
      <w:pPr>
        <w:pStyle w:val="ListParagraph"/>
        <w:numPr>
          <w:ilvl w:val="0"/>
          <w:numId w:val="4"/>
        </w:numPr>
        <w:spacing w:before="60" w:after="60" w:line="360" w:lineRule="auto"/>
      </w:pPr>
      <w:r>
        <w:rPr>
          <w:rFonts w:ascii="Times New Roman" w:hAnsi="Times New Roman" w:eastAsia="宋体"/>
          <w:b w:val="false"/>
          <w:bCs w:val="false"/>
          <w:i w:val="false"/>
          <w:iCs w:val="false"/>
          <w:color w:val="222222"/>
          <w:sz w:val="22"/>
          <w:szCs w:val="22"/>
        </w:rPr>
        <w:t xml:space="preserve">六行结果出来之后，再决定是把打分对象改成曲线加活跃度，还是把贡献收束成“按状态看整体细节”。不要两条路同时写成贡献。</w:t>
      </w:r>
    </w:p>
    <w:p>
      <w:pPr>
        <w:pStyle w:val="ListParagraph"/>
        <w:numPr>
          <w:ilvl w:val="0"/>
          <w:numId w:val="4"/>
        </w:numPr>
        <w:spacing w:before="60" w:after="60" w:line="360" w:lineRule="auto"/>
      </w:pPr>
      <w:r>
        <w:rPr>
          <w:rFonts w:ascii="Times New Roman" w:hAnsi="Times New Roman" w:eastAsia="宋体"/>
          <w:b w:val="false"/>
          <w:bCs w:val="false"/>
          <w:i w:val="false"/>
          <w:iCs w:val="false"/>
          <w:color w:val="222222"/>
          <w:sz w:val="22"/>
          <w:szCs w:val="22"/>
        </w:rPr>
        <w:t xml:space="preserve">方法改完后，先对人造数据的四张图，再跑七个真实数据集。旧系统留在消融里。</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你们已经把一套能跑、而且在工况型数据上确实更强的系统做出来了。下一步不是再证明它平均更高，而是让它只因为一个道理而强，并且把这个道理证到会输的地方也说得通。做到这一步，才谈得上 CCF-A。</w:t>
      </w:r>
    </w:p>
    <w:p>
      <w:pPr>
        <w:spacing w:before="80" w:after="80" w:line="400" w:lineRule="auto"/>
        <w:ind w:firstLine="480"/>
        <w:jc w:val="both"/>
      </w:pPr>
      <w:r>
        <w:rPr>
          <w:rFonts w:ascii="Times New Roman" w:hAnsi="Times New Roman" w:eastAsia="宋体"/>
          <w:b w:val="false"/>
          <w:bCs w:val="false"/>
          <w:i w:val="false"/>
          <w:iCs w:val="false"/>
          <w:color w:val="222222"/>
          <w:sz w:val="24"/>
          <w:szCs w:val="24"/>
        </w:rPr>
        <w:t xml:space="preserve">有哪一格数字对不上，或者哪一段和你们的实现不一致，直接标在原稿上发我。我们按实现改意见，不按想象改意见。</w:t>
      </w:r>
    </w:p>
    <w:p>
      <w:pPr>
        <w:spacing w:before="200" w:after="40"/>
      </w:pPr>
      <w:r>
        <w:rPr>
          <w:rFonts w:ascii="Times New Roman" w:hAnsi="Times New Roman" w:eastAsia="宋体"/>
          <w:b w:val="false"/>
          <w:bCs w:val="false"/>
          <w:i w:val="false"/>
          <w:iCs w:val="false"/>
          <w:color w:val="222222"/>
          <w:sz w:val="24"/>
          <w:szCs w:val="24"/>
        </w:rPr>
        <w:t xml:space="preserve">高星可</w:t>
      </w:r>
    </w:p>
    <w:p>
      <w:pPr>
        <w:spacing w:before="0" w:after="0"/>
      </w:pPr>
      <w:r>
        <w:rPr>
          <w:rFonts w:ascii="Times New Roman" w:hAnsi="Times New Roman" w:eastAsia="宋体"/>
          <w:b w:val="false"/>
          <w:bCs w:val="false"/>
          <w:i w:val="false"/>
          <w:iCs w:val="false"/>
          <w:color w:val="555555"/>
          <w:sz w:val="24"/>
          <w:szCs w:val="24"/>
        </w:rPr>
        <w:t xml:space="preserve">2026年10月16日</w:t>
      </w:r>
    </w:p>
    <w:sectPr>
      <w:headerReference w:type="default" r:id="rId6"/>
      <w:footerReference w:type="default" r:id="rId7"/>
      <w:pgSz w:w="11906" w:h="16838" w:orient="portrait"/>
      <w:pgMar w:top="1134" w:right="1300" w:bottom="1134" w:left="1300" w:header="568" w:footer="56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spacing w:before="80"/>
      <w:jc w:val="center"/>
    </w:pPr>
    <w:r>
      <w:rPr>
        <w:rFonts w:ascii="Times New Roman" w:hAnsi="Times New Roman" w:eastAsia="宋体"/>
        <w:b w:val="false"/>
        <w:bCs w:val="false"/>
        <w:i w:val="false"/>
        <w:iCs w:val="false"/>
        <w:color w:val="666666"/>
        <w:sz w:val="18"/>
        <w:szCs w:val="18"/>
      </w:rPr>
      <w:t xml:space="preserve">第 </w:t>
    </w:r>
    <w:r>
      <w:rPr>
        <w:rFonts w:ascii="Times New Roman" w:hAnsi="Times New Roman" w:eastAsia="宋体"/>
        <w:color w:val="666666"/>
        <w:sz w:val="18"/>
        <w:szCs w:val="18"/>
      </w:rPr>
      <w:fldChar w:fldCharType="begin"/>
      <w:instrText xml:space="preserve">PAGE</w:instrText>
      <w:fldChar w:fldCharType="separate"/>
      <w:fldChar w:fldCharType="end"/>
    </w:r>
    <w:r>
      <w:rPr>
        <w:rFonts w:ascii="Times New Roman" w:hAnsi="Times New Roman" w:eastAsia="宋体"/>
        <w:b w:val="false"/>
        <w:bCs w:val="false"/>
        <w:i w:val="false"/>
        <w:iCs w:val="false"/>
        <w:color w:val="666666"/>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80"/>
    </w:pPr>
    <w:r>
      <w:rPr>
        <w:rFonts w:ascii="Times New Roman" w:hAnsi="Times New Roman" w:eastAsia="宋体"/>
        <w:b w:val="false"/>
        <w:bCs w:val="false"/>
        <w:i w:val="false"/>
        <w:iCs w:val="false"/>
        <w:color w:val="1F4E79"/>
        <w:sz w:val="18"/>
        <w:szCs w:val="18"/>
      </w:rPr>
      <w:t xml:space="preserve">MTDA 修改意见  ·  给张令羽、丁威  ·  2026-10-16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Times New Roman" w:hAnsi="Times New Roman" w:eastAsia="黑体"/>
      <w:b/>
      <w:bCs/>
      <w:color w:val="1F4E79"/>
      <w:sz w:val="32"/>
      <w:szCs w:val="32"/>
    </w:rPr>
  </w:style>
  <w:style w:type="paragraph" w:styleId="Heading2">
    <w:name w:val="Heading 2"/>
    <w:basedOn w:val="Normal"/>
    <w:next w:val="Normal"/>
    <w:qFormat/>
    <w:pPr>
      <w:spacing w:before="280" w:after="120"/>
      <w:outlineLvl w:val="1"/>
    </w:pPr>
    <w:rPr>
      <w:rFonts w:ascii="Times New Roman" w:hAnsi="Times New Roman" w:eastAsia="黑体"/>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把 MTDA 写成一篇能够投稿 CCF-A 的论文</dc:title>
  <dc:creator>高星可</dc:creator>
  <dc:description>给张令羽、丁威的完整修改意见。替代此前拆开的两封邮件。</dc:description>
  <cp:lastModifiedBy>Un-named</cp:lastModifiedBy>
  <cp:revision>1</cp:revision>
  <dcterms:created xsi:type="dcterms:W3CDTF">2026-10-16T16:05:46.639Z</dcterms:created>
  <dcterms:modified xsi:type="dcterms:W3CDTF">2026-10-16T16:05:46.640Z</dcterms:modified>
</cp:coreProperties>
</file>

<file path=docProps/custom.xml><?xml version="1.0" encoding="utf-8"?>
<Properties xmlns="http://schemas.openxmlformats.org/officeDocument/2006/custom-properties" xmlns:vt="http://schemas.openxmlformats.org/officeDocument/2006/docPropsVTypes"/>
</file>