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流匹配时间序列异常检测</w:t>
        <w:br/>
        <w:t>已有实验结果分析报告</w:t>
      </w:r>
    </w:p>
    <w:p>
      <w:r>
        <w:t>评估协议影响 算法对照与研究结论边界</w:t>
      </w:r>
    </w:p>
    <w:p>
      <w:r>
        <w:t>项目  流匹配算法研究    日期  2026年10月17日    版本  1.0</w:t>
      </w:r>
    </w:p>
    <w:p>
      <w:pPr>
        <w:pStyle w:val="Heading1"/>
      </w:pPr>
      <w:r>
        <w:t>一 核心判断与结题意见</w:t>
      </w:r>
    </w:p>
    <w:p>
      <w:r>
        <w:t>这是本项目实验过程中发现的一项重要结论。现有证据表明，在已完成的工业数据配置中，异常检测的高 F1 可以强烈依赖点调整和阈值来源；同一模型、同一异常分数的评估口径变化，足以产生远大于部分算法差异的分数变化。因此，跨论文比较必须先核对指标定义、阈值选择、异常区间处理和数据划分。</w:t>
      </w:r>
    </w:p>
    <w:p>
      <w:r>
        <w:t>最直接的证据来自 PRONTO day3：当前 FM 的完整五训练种子平均 F1 在验证集定阈值、无 PA 时为 19.11%，同一阈值加 PA 后为 97.90%，相差 78.79 个百分点。该对照没有新增训练，也没有改善原始连续异常分数的排序能力。[E1]</w:t>
      </w:r>
    </w:p>
    <w:p>
      <w:r>
        <w:t>当前本地 FM 没有获得稳定、普遍优于基线的证据。严格口径下，FM 在 TEP、SKAB、PRONTO day3 的 F1 均低于配对 USAD；部分数据还出现严重误报或漏报。该结论只适用于已冻结的本地实现、数据处理和参数，不代表所有 Flow Matching 变种的能力上限。[E2–E3]</w:t>
      </w:r>
    </w:p>
    <w:p>
      <w:pPr>
        <w:pStyle w:val="Heading2"/>
      </w:pPr>
      <w:r>
        <w:t>结论的重要性</w:t>
      </w:r>
    </w:p>
    <w:p>
      <w:r>
        <w:t>对本项目，这项发现具有直接的方法学和工程价值：它解释了严格评估成绩为何可能与论文九十几分相距很远，也防止把后处理收益误记为模型学习收益。但本次分析没有开展新的文献新颖性检索，不能据此声称首次发现、独立创新点或已具备论文发表条件。</w:t>
      </w:r>
    </w:p>
    <w:p>
      <w:pPr>
        <w:pStyle w:val="Heading2"/>
      </w:pPr>
      <w:r>
        <w:t>停止追加实验的处理意见</w:t>
      </w:r>
    </w:p>
    <w:p>
      <w:r>
        <w:t>现有证据足以形成一份有明确边界的阶段性研究报告，并结束当前计算投入。保持实验停止，保留结果、配置和证据链；将未完成的原论文一致性验证明确记为未验证，不再以补齐所有组合为目标追加训练。[E7]</w:t>
      </w:r>
    </w:p>
    <w:p>
      <w:r>
        <w:br w:type="page"/>
      </w:r>
    </w:p>
    <w:p>
      <w:pPr>
        <w:pStyle w:val="Heading1"/>
      </w:pPr>
      <w:r>
        <w:t>二 证据范围与比较规则</w:t>
      </w:r>
    </w:p>
    <w:p>
      <w:r>
        <w:t>工业主证据覆盖 466 个已有分数条件，包含 89 个完整五种子模型与数据集组，另有不完整组。PA 与校准诊断共保留 12116 个条件口径单元。这些数字代表已保存分数的评估或汇总范围，不代表 12116 次独立模型训练，也不代表全部论文复现完成。[E1]</w:t>
      </w:r>
    </w:p>
    <w:p>
      <w:r>
        <w:t>其中，FM 在本文五个工业数据配置上的主要数字来自完整五种子组。三个 PRONTO 日期配置存在关联，不能把它们当作三个完全独立的数据集来夸大外推力度。CrossAD 的对照来自 GECCO 上已完整的五种子主模型与重建消融。[E3–E4]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082"/>
        <w:gridCol w:w="3061"/>
      </w:tblGrid>
      <w:tr>
        <w:trPr>
          <w:tblHeader/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 w:line="264" w:lineRule="auto"/>
            </w:pPr>
            <w:r>
              <w:rPr>
                <w:b/>
                <w:sz w:val="18"/>
              </w:rPr>
              <w:t>口径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sz w:val="18"/>
              </w:rPr>
              <w:t>使用的信息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sz w:val="18"/>
              </w:rPr>
              <w:t>本文定位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验证集阈值 无PA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冻结验证分数定阈值 测试标签仅计分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主要比较口径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相同阈值 加PA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另用真实测试异常区间修正预测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标签辅助事件计分诊断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训练测试分数混合校准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测试分数参与定阈值 不必使用测试标签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测试分布适配诊断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测试标签选最佳网格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测试标签参与阈值选择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事后参考 不作部署成绩</w:t>
            </w:r>
          </w:p>
        </w:tc>
      </w:tr>
    </w:tbl>
    <w:p>
      <w:r>
        <w:t>主要设置为验证集 1% 告警预算、无 PA；0.1% 与 5% 是预先固定的敏感性设置，不能在测试后挑最高分作为主结果。验证预算并不意味着测试正常点误报率必为 1%；验证数据含异常、时间相关性及分布变化均可能破坏这一对应关系。</w:t>
      </w:r>
    </w:p>
    <w:p>
      <w:pPr>
        <w:pStyle w:val="Heading2"/>
      </w:pPr>
      <w:r>
        <w:t>证据强度</w:t>
      </w:r>
    </w:p>
    <w:p>
      <w:r>
        <w:t>同一分数与同一阈值下的 PA 对照，对“评估规则改变会改变计分”具有很强的直接证据。FM 与 USAD 的对照包含相同训练种子的配对区间，但仍只覆盖固定数据划分和配方。诊断结果可以揭示失败位置，尚不能单独确定物理原因或网络机制。</w:t>
      </w:r>
    </w:p>
    <w:p>
      <w:r>
        <w:t>工业证据主要属于已保存分数的独立指标与来源审计，不等同于所有模型重新训练或全部检查点独立神经前向复核。CrossAD 消融属于论文描述重建，原作者精确结构等价性尚未认证。本文也未完成原始 TAB 全训练协议等价认证，因此统一口径结果不能直接命名为 TAB 官方复现结果。</w:t>
      </w:r>
    </w:p>
    <w:p>
      <w:r>
        <w:br w:type="page"/>
      </w:r>
    </w:p>
    <w:p>
      <w:pPr>
        <w:pStyle w:val="Heading1"/>
      </w:pPr>
      <w:r>
        <w:t>三 相同分数下的点调整影响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324"/>
        <w:gridCol w:w="2324"/>
        <w:gridCol w:w="2324"/>
      </w:tblGrid>
      <w:tr>
        <w:trPr>
          <w:tblHeader/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 w:line="264" w:lineRule="auto"/>
            </w:pPr>
            <w:r>
              <w:rPr>
                <w:b/>
                <w:sz w:val="18"/>
              </w:rPr>
              <w:t>数据配置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sz w:val="18"/>
              </w:rPr>
              <w:t>无PA F1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sz w:val="18"/>
              </w:rPr>
              <w:t>加PA F1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sz w:val="18"/>
              </w:rPr>
              <w:t>增加百分点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TEP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73.06%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99.47%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26.41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SKAB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50.92%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58.89%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7.97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PRONTO day2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16.48%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86.31%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69.83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PRONTO day3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19.11%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97.90%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78.79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PRONTO day4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0.41%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34.34%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33.93</w:t>
            </w:r>
          </w:p>
        </w:tc>
      </w:tr>
    </w:tbl>
    <w:p>
      <w:r>
        <w:t>表1  同一 FM 分数、同一验证阈值，完整五训练种子平均值。差值由未四舍五入的原始均值计算。[E1]</w:t>
      </w:r>
    </w:p>
    <w:p>
      <w:pPr>
        <w:pStyle w:val="Heading2"/>
      </w:pPr>
      <w:r>
        <w:t>为什么会出现如此大的变化</w:t>
      </w:r>
    </w:p>
    <w:p>
      <w:r>
        <w:t>本地 PA 规则按每个原始实体的真实异常段处理：一个真实异常段内只要出现命中，就将整段预测回填为异常。假设一段异常有 100 个点，模型只命中其中 1 点，逐点召回只计 1 个命中；PA 可以将这段计为 100 个命中。该例仅解释规则，并非新增实验。</w:t>
      </w:r>
    </w:p>
    <w:p>
      <w:r>
        <w:t>PA 可以表达“事件是否被碰到”这一评价意图，但标准 PA F1 无法充分区分早发现、晚发现、稀疏命中及持续跟踪能力；也依赖事后真实区间，不能直接作为在线系统可获得的预测输出。报告 PA 结果时，应同步报告逐点指标和检测延迟等实际任务指标，不能与无 PA F1 直接横比。</w:t>
      </w:r>
    </w:p>
    <w:p>
      <w:pPr>
        <w:pStyle w:val="Heading2"/>
      </w:pPr>
      <w:r>
        <w:t>这项发现能证明什么</w:t>
      </w:r>
    </w:p>
    <w:p>
      <w:r>
        <w:t>在全部 89 个完整五种子组中，存在 19 组原始 AUROC 均值低于 0.5，而同一验证阈值加 PA 后的 F1 均值高于 0.9。这表明很高的 PA F1 可以与较差的原始异常排序共存。PA 改变二值预测计账，不提高原始连续分数的 AUROC 或 AP。[E1]</w:t>
      </w:r>
    </w:p>
    <w:p>
      <w:r>
        <w:t>其重要性在于揭示“高分”含义受评估规则约束。该发现不能证明已列论文均采用同一 PA 实现，也不能据此认定作者有数据泄漏、错误代码或学术不端；这些归因必须逐篇核对原文与作者流程。</w:t>
      </w:r>
    </w:p>
    <w:p>
      <w:r>
        <w:br w:type="page"/>
      </w:r>
    </w:p>
    <w:p>
      <w:pPr>
        <w:pStyle w:val="Heading1"/>
      </w:pPr>
      <w:r>
        <w:t>四 算法对照与协议交互</w:t>
      </w:r>
    </w:p>
    <w:p>
      <w:r>
        <w:t>表2 使用五个相同种子的配对差值。单位为 F1 百分点，区间是固定划分上配对均值的 t 型 95% 区间，未作跨数据集或多重比较校正。[E2]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381"/>
        <w:gridCol w:w="4309"/>
      </w:tblGrid>
      <w:tr>
        <w:trPr>
          <w:tblHeader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 w:line="264" w:lineRule="auto"/>
            </w:pPr>
            <w:r>
              <w:rPr>
                <w:b/>
                <w:sz w:val="18"/>
              </w:rPr>
              <w:t>数据配置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sz w:val="18"/>
              </w:rPr>
              <w:t>FM减USAD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sz w:val="18"/>
              </w:rPr>
              <w:t>配对95%区间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TEP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-10.15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[-10.63, -9.67]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SKAB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-0.68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[-0.87, -0.49]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PRONTO day4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+0.41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[+0.41, +0.41]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PRONTO day2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-0.14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[-1.08, +0.81]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PRONTO day3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-6.11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[-6.95, -5.27]</w:t>
            </w:r>
          </w:p>
        </w:tc>
      </w:tr>
    </w:tbl>
    <w:p>
      <w:r>
        <w:t>TEP、SKAB、day3 的区间均在零以下，支持当前冻结配置中 FM 的 F1 更低。day2 区间跨零，不能判定明确胜负；day4 虽有极小正差，但 FM F1 仅 0.41%，USAD 为零，不能解释为有实用意义的成功。</w:t>
      </w:r>
    </w:p>
    <w:p>
      <w:pPr>
        <w:pStyle w:val="Heading2"/>
      </w:pPr>
      <w:r>
        <w:t>排序能力与阈值决策能力需要分别理解</w:t>
      </w:r>
    </w:p>
    <w:p>
      <w:r>
        <w:t>TEP 上 FM 的 AUROC 比 USAD 高 3.07 个百分点，F1 却低 10.15 个百分点；同时 FM 的正常点误报比例低约 19.24 个百分点。FM 排序较好但固定阈值下更保守，因此不能只凭一个 F1 判断所有应用效用。SKAB 上 FM 的 AUROC 和 AP 也较低，说明部分失败还涉及异常分数质量。</w:t>
      </w:r>
    </w:p>
    <w:p>
      <w:pPr>
        <w:pStyle w:val="Heading2"/>
      </w:pPr>
      <w:r>
        <w:t>CrossAD 提供了第二类同分数对照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2438"/>
        <w:gridCol w:w="2438"/>
      </w:tblGrid>
      <w:tr>
        <w:trPr>
          <w:tblHeader/>
          <w:cantSplit/>
        </w:trP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 w:line="264" w:lineRule="auto"/>
            </w:pPr>
            <w:r>
              <w:rPr>
                <w:b/>
                <w:sz w:val="18"/>
              </w:rPr>
              <w:t>GECCO上1%预算口径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sz w:val="18"/>
              </w:rPr>
              <w:t>主模型F1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sz w:val="18"/>
              </w:rPr>
              <w:t>重建row1 F1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验证阈值 无PA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40.29%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36.59%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验证阈值 加PA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46.41%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46.49%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混合分数阈值 无PA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48.38%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25.10%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混合分数阈值 加PA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59.76%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32.80%</w:t>
            </w:r>
          </w:p>
        </w:tc>
      </w:tr>
    </w:tbl>
    <w:p>
      <w:r>
        <w:t>验证阈值无 PA 时，主模型高出 row1 约 3.70 个百分点；加 PA 后均值接近，row1 减主模型区间为 [−0.33, +0.50] 个百分点，不能声称反超。混合分数校准使主模型升分、row1 降分，说明协议与算法存在交互，不能把校准影响概括为必然涨分。[E4]</w:t>
      </w:r>
    </w:p>
    <w:p>
      <w:r>
        <w:br w:type="page"/>
      </w:r>
    </w:p>
    <w:p>
      <w:pPr>
        <w:pStyle w:val="Heading1"/>
      </w:pPr>
      <w:r>
        <w:t>五 性能不匹配的解释与未决原因</w:t>
      </w:r>
    </w:p>
    <w:p>
      <w:pPr>
        <w:pStyle w:val="Heading2"/>
      </w:pPr>
      <w:r>
        <w:t>已有证据支持的解释</w:t>
      </w:r>
    </w:p>
    <w:p>
      <w:r>
        <w:t>第一，计分口径可直接造成巨大差距。PA 差异已由同分数对照验证；测试分数校准与测试标签选阈值还应分开，因为使用的信息不同。89 个完整组在混合分数 1% 校准且无 PA 时，有 21 组 F1 上升、68 组下降，这进一步否定“只要测试校准就一定涨分”的简化解释。[E1]</w:t>
      </w:r>
    </w:p>
    <w:p>
      <w:r>
        <w:t>第二，阈值迁移存在失效。SKAB 上当前 FM 的测试正常点误报比例约 62.12%；PRONTO day4 的召回约 0.206%，表现为大范围漏报。两者方向不同，说明固定验证预算并没有在所有目标工况上转化为可接受的决策。此处是故障表现，不能据此直接证明分布漂移为唯一原因。[E3]</w:t>
      </w:r>
    </w:p>
    <w:p>
      <w:r>
        <w:t>第三，部分异常分数本身质量不足。PRONTO day4 的 AUROC 约 0.463，day3 约 0.378。训练目标、异常打分定义、分数方向、预处理与工况迁移均是可能解释；现有对照没有逐项排除，不能把某个猜测写成确定根因。根据测试标签事后反转分数也不能算独立改进。[E5]</w:t>
      </w:r>
    </w:p>
    <w:p>
      <w:pPr>
        <w:pStyle w:val="Heading2"/>
      </w:pPr>
      <w:r>
        <w:t>数据与指标结构会放大表面印象</w:t>
      </w:r>
    </w:p>
    <w:p>
      <w:r>
        <w:t>TEP 当前测试异常比例为 83.33%，因此恒报异常的逐点 F1 约为 90.91%。该数值由类别比例直接计算，F1=2π/(1+π)，不是新增模型实验；其正常点误报率为 100%。这说明高异常占比下 F1 可很高，也说明低误报模型即使 F1 较低仍可能更符合部署约束。[E6]</w:t>
      </w:r>
    </w:p>
    <w:p>
      <w:r>
        <w:t>PRONTO day2 的异常比例约为 94.19%；PRONTO 的正常训练与验证样本选择带有标签辅助，日期配置也有关联，不能包装成完全无标签、相互独立的跨域验证。SKAB 验证集包含异常点，也应避免把验证分位数当作纯正常校准保证。[E6]</w:t>
      </w:r>
    </w:p>
    <w:p>
      <w:r>
        <w:t>同一 FM 在 PRONTO day3 上逐点 AUROC 约为 0.378，而原记录 VUS ROC 约为 0.904。两者衡量对象、时间容忍与区间处理不同，不能互相替代。此处 VUS 来自已保存原始指标及范围参数审计，并非本次独立重算完整 VUS 积分。[E5]</w:t>
      </w:r>
    </w:p>
    <w:p>
      <w:r>
        <w:br w:type="page"/>
      </w:r>
    </w:p>
    <w:p>
      <w:pPr>
        <w:pStyle w:val="Heading1"/>
      </w:pPr>
      <w:r>
        <w:t>六 重要性评价与适当的研究表述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rPr>
          <w:tblHeader/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 w:line="264" w:lineRule="auto"/>
            </w:pPr>
            <w:r>
              <w:rPr>
                <w:b/>
                <w:sz w:val="18"/>
              </w:rPr>
              <w:t>判断层面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sz w:val="18"/>
              </w:rPr>
              <w:t>当前可以支持的结论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项目重要性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高 直接解释分数差距并改变比较方式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本地证据确定性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同分数PA效应直接 算法优劣限于冻结设置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跨论文适用性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待逐篇认证 不能普遍归因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学术新颖性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未评估 不能声称首次发现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sz w:val="18"/>
              </w:rPr>
              <w:t>是否值得继续烧算力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  <w:jc w:val="center"/>
            </w:pPr>
            <w:r>
              <w:rPr>
                <w:b w:val="0"/>
                <w:sz w:val="18"/>
              </w:rPr>
              <w:t>本阶段无需追加训练即可完成报告</w:t>
            </w:r>
          </w:p>
        </w:tc>
      </w:tr>
    </w:tbl>
    <w:p>
      <w:r>
        <w:t>建议采用的结论表述：在本地已冻结的工业时间序列异常检测配置中，同一模型输出经不同评估协议处理后可呈现显著不同的 F1；PA 可使较差的逐点检测表现获得很高的事件调整分数。阈值来源还与算法发生交互，改变方法间差距。因此，算法比较必须以明确且一致的信息使用规则与任务指标为前提。当前 FM 尚未显示稳定的普遍优势。</w:t>
      </w:r>
    </w:p>
    <w:p>
      <w:r>
        <w:t>该表述覆盖已观察到的事实，不把局部结果外推为全部 Flow Matching 方法的否定，也不把评估规则差异等同于所有论文结论失效。以固定五种子得到的窄区间只描述训练随机性，不能消除预处理、数据选择、结构不等价、历史实现和未知工况带来的系统不确定性。</w:t>
      </w:r>
    </w:p>
    <w:p>
      <w:pPr>
        <w:pStyle w:val="Heading2"/>
      </w:pPr>
      <w:r>
        <w:t>现有证据不能支持的主张</w:t>
      </w:r>
    </w:p>
    <w:p>
      <w:r>
        <w:t>不能声称所有引用论文都已复现，或全部高分都来自泄漏；不能声称已经证明 TAB 与各作者原协议等价；不能把尚未完成的训练、部分种子或分数后处理单元计为完整算法复现实验；不能声称 FM 理论上不适合异常检测，也不能声称当前失败已找到唯一原因。</w:t>
      </w:r>
    </w:p>
    <w:p>
      <w:pPr>
        <w:pStyle w:val="Heading2"/>
      </w:pPr>
      <w:r>
        <w:t>资源停止条件与成果保留</w:t>
      </w:r>
    </w:p>
    <w:p>
      <w:r>
        <w:t>本阶段以“可核查的评估协议发现与当前方法局限”结题。实验维持暂停，不恢复 GRASP 全组合、不补跑新种子、不重新训练竞争模型，也不另开数据集。保留当前数据、检查点、分数、配置及原始日志，将已完成和未认证部分分开归档。[E7]</w:t>
      </w:r>
    </w:p>
    <w:p>
      <w:r>
        <w:t>本报告可用于团队内部判断研究投入与复现规范。若未来决定公开投稿，应重新核对相关文献与原作者协议并审查表述；这属于未来的独立决策，不构成本报告要求追加实验的任务。</w:t>
      </w:r>
    </w:p>
    <w:p>
      <w:r>
        <w:br w:type="page"/>
      </w:r>
    </w:p>
    <w:p>
      <w:pPr>
        <w:pStyle w:val="Heading1"/>
      </w:pPr>
      <w:r>
        <w:t>七 证据索引与审计边界</w:t>
      </w:r>
    </w:p>
    <w:p>
      <w:r>
        <w:t>以下索引指向仓库中截至 2026年10月17日已存在的证据。正文数字沿用冻结产物，表2仅将原有配对差值转换为百分点。本次工作不新增模型训练、神经推理、阈值搜索或实验条件。</w:t>
      </w:r>
    </w:p>
    <w:p>
      <w:pPr>
        <w:pStyle w:val="Heading2"/>
      </w:pPr>
      <w:r>
        <w:t>E1 工业466条件的 PA 与校准对照 主要表格及完整组计数</w:t>
      </w:r>
    </w:p>
    <w:p>
      <w:r>
        <w:t>projects/flow_matching_research/results/2026-10-16/industrial_all466_full_PA_and_calibration_controls_v1/README.md</w:t>
      </w:r>
    </w:p>
    <w:p>
      <w:pPr>
        <w:pStyle w:val="Heading2"/>
      </w:pPr>
      <w:r>
        <w:t>E2 FM 与 USAD 五种子配对差值及均值区间</w:t>
      </w:r>
    </w:p>
    <w:p>
      <w:r>
        <w:t>projects/flow_matching_research/results/2026-10-16/industrial_full5_466_canonical_saved_score_metric_audits_v1/FM_USAD_all5_complete_paired_seed_summaries.csv</w:t>
      </w:r>
    </w:p>
    <w:p>
      <w:pPr>
        <w:pStyle w:val="Heading2"/>
      </w:pPr>
      <w:r>
        <w:t>E3 FM 五个工业配置 三个固定预算的完整种子统计</w:t>
      </w:r>
    </w:p>
    <w:p>
      <w:r>
        <w:t>projects/flow_matching_research/results/2026-10-16/industrial_full5_466_canonical_saved_score_metric_audits_v1/FM_independent_full5seed_all15_frozen_alarm_budget_controls.csv</w:t>
      </w:r>
    </w:p>
    <w:p>
      <w:pPr>
        <w:pStyle w:val="Heading2"/>
      </w:pPr>
      <w:r>
        <w:t>E4 CrossAD 两个五种子组 同分数四种评估口径对照</w:t>
      </w:r>
    </w:p>
    <w:p>
      <w:r>
        <w:t>projects/flow_matching_research/results/2026-10-16/CrossAD_two_complete_five_seed_cohorts_same_score_factorial_v1/README.md</w:t>
      </w:r>
    </w:p>
    <w:p>
      <w:pPr>
        <w:pStyle w:val="Heading2"/>
      </w:pPr>
      <w:r>
        <w:t>E5 FM 逐点与区间指标对照 原始保存指标审计</w:t>
      </w:r>
    </w:p>
    <w:p>
      <w:r>
        <w:t>projects/flow_matching_research/results/2026-10-16/industrial_all466_full_native_range_metrics_v2/FM_all5_complete_five_seed_point_and_range_comparison.csv</w:t>
      </w:r>
    </w:p>
    <w:p>
      <w:pPr>
        <w:pStyle w:val="Heading2"/>
      </w:pPr>
      <w:r>
        <w:t>E6 工业数据集范围 标签比例与样本选择说明</w:t>
      </w:r>
    </w:p>
    <w:p>
      <w:r>
        <w:t>projects/flow_matching_research/results/2026-10-16/industrial_full5_466_canonical_saved_score_metric_audits_v1/all5_dataset_native_scope_and_selection.json</w:t>
      </w:r>
    </w:p>
    <w:p>
      <w:pPr>
        <w:pStyle w:val="Heading2"/>
      </w:pPr>
      <w:r>
        <w:t>E7 用户要求停止实验的项目总结与范围说明</w:t>
      </w:r>
    </w:p>
    <w:p>
      <w:r>
        <w:t>projects/flow_matching_research/wiki/2026-10-17-experiment-stop-and-scope-review.md</w:t>
      </w:r>
    </w:p>
    <w:p>
      <w:r>
        <w:t>仓库地址  https://github.com/gaoxingkele/IIA_benchmark</w:t>
      </w:r>
    </w:p>
    <w:p>
      <w:r>
        <w:t>报告附带 evidence_manifest.json，记录上述源文件的 SHA256、文件大小及报告生成前的 Git 提交标识，便于核对来源。哈希绑定只证明此次引用的文件身份，不代表对所有历史训练过程重新验收。</w:t>
      </w:r>
    </w:p>
    <w:p>
      <w:r>
        <w:t>统计说明  五种子组只对完整配对训练种子作均值与区间比较。不完整组不并入完整组统计。PRONTO 日期配置不视为独立数据集样本。本文描述性比较不宣称跨数据集总体显著性。</w:t>
      </w:r>
    </w:p>
    <w:sectPr w:rsidR="00FC693F" w:rsidRPr="0006063C" w:rsidSect="00034616">
      <w:footerReference w:type="default" r:id="rId9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流匹配算法研究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Calibri" w:hAnsi="Calibr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