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28"/>
          <w:szCs w:val="28"/>
        </w:rPr>
        <w:t xml:space="preserve">厦门大学台湾研究院</w:t>
      </w:r>
    </w:p>
    <w:p>
      <w:pPr>
        <w:spacing w:after="200"/>
        <w:jc w:val="center"/>
      </w:pPr>
      <w:r>
        <w:rPr>
          <w:rFonts w:ascii="Arial" w:cs="Arial" w:eastAsia="Arial" w:hAnsi="Arial"/>
          <w:b/>
          <w:bCs/>
          <w:color w:val="1F3864"/>
          <w:sz w:val="36"/>
          <w:szCs w:val="36"/>
        </w:rPr>
        <w:t xml:space="preserve">开源情报全景分析报告</w:t>
      </w:r>
    </w:p>
    <w:p>
      <w:pPr>
        <w:spacing w:after="400"/>
        <w:jc w:val="center"/>
      </w:pPr>
      <w:r>
        <w:rPr>
          <w:rFonts w:ascii="Arial" w:cs="Arial" w:eastAsia="Arial" w:hAnsi="Arial"/>
          <w:b/>
          <w:bCs/>
          <w:color w:val="2E5090"/>
          <w:sz w:val="32"/>
          <w:szCs w:val="32"/>
        </w:rPr>
        <w:t xml:space="preserve">分析对象：洪孟楷</w:t>
      </w:r>
    </w:p>
    <w:p>
      <w:pPr>
        <w:spacing w:after="200"/>
        <w:jc w:val="center"/>
      </w:pPr>
      <w:r>
        <w:rPr>
          <w:rFonts w:ascii="Arial" w:cs="Arial" w:eastAsia="Arial" w:hAnsi="Arial"/>
          <w:color w:val="666666"/>
          <w:sz w:val="22"/>
          <w:szCs w:val="22"/>
        </w:rPr>
        <w:t xml:space="preserve">报告版本：V1.0 | 分析框架：OSINT V6.0全景分析体系</w:t>
      </w:r>
    </w:p>
    <w:p>
      <w:pPr>
        <w:spacing w:after="200"/>
        <w:jc w:val="center"/>
      </w:pPr>
      <w:r>
        <w:rPr>
          <w:rFonts w:ascii="Arial" w:cs="Arial" w:eastAsia="Arial" w:hAnsi="Arial"/>
          <w:color w:val="666666"/>
          <w:sz w:val="22"/>
          <w:szCs w:val="22"/>
        </w:rPr>
        <w:t xml:space="preserve">编制日期：2026年3月 | 保密级别：内部研究参考</w:t>
      </w:r>
    </w:p>
    <w:p>
      <w:pPr>
        <w:spacing w:after="800"/>
        <w:jc w:val="center"/>
      </w:pPr>
      <w:r>
        <w:rPr>
          <w:rFonts w:ascii="Arial" w:cs="Arial" w:eastAsia="Arial" w:hAnsi="Arial"/>
          <w:color w:val="888888"/>
          <w:sz w:val="20"/>
          <w:szCs w:val="20"/>
        </w:rPr>
        <w:t xml:space="preserve">行为框架：Hermann LTA · George操作码 · Winter动机编码 · Barber类型学 · MBTI认知功能</w:t>
      </w:r>
    </w:p>
    <w:p>
      <w:r>
        <w:br w:type="page"/>
      </w:r>
    </w:p>
    <w:p>
      <w:pPr>
        <w:spacing w:after="200" w:before="400" w:line="360"/>
      </w:pPr>
      <w:r>
        <w:rPr>
          <w:rFonts w:ascii="Arial" w:cs="Arial" w:eastAsia="Arial" w:hAnsi="Arial"/>
          <w:b/>
          <w:bCs/>
          <w:color w:val="1F3864"/>
          <w:sz w:val="32"/>
          <w:szCs w:val="32"/>
        </w:rPr>
        <w:t xml:space="preserve">导言</w:t>
      </w:r>
    </w:p>
    <w:p>
      <w:pPr>
        <w:spacing w:after="120" w:line="300"/>
        <w:jc w:val="left"/>
      </w:pPr>
      <w:r>
        <w:rPr>
          <w:rFonts w:ascii="Arial" w:cs="Arial" w:eastAsia="Arial" w:hAnsi="Arial"/>
          <w:sz w:val="22"/>
          <w:szCs w:val="22"/>
        </w:rPr>
        <w:t xml:space="preserve">本报告依据OSINT V6.0全景分析框架，对洪孟楷进行系统性情报评估。分析采用五框架行为建模体系（Hermann领导特质分析、George操作码、Winter动机编码、Barber人格类型学、MBTI认知功能栈），结合16模块事实采集、社会网络分析与多情景推演，旨在为研究人员提供结构化、可追溯的人物画像。所有分析推断均以证据为基础，采用A-E五级证据分级体系，并标注时间周期（P0-P5）以反映立场演变轨迹。</w:t>
      </w:r>
    </w:p>
    <w:p>
      <w:pPr>
        <w:spacing w:after="120" w:line="300"/>
        <w:jc w:val="left"/>
      </w:pPr>
      <w:r>
        <w:rPr>
          <w:rFonts w:ascii="Arial" w:cs="Arial" w:eastAsia="Arial" w:hAnsi="Arial"/>
          <w:sz w:val="22"/>
          <w:szCs w:val="22"/>
        </w:rPr>
        <w:t xml:space="preserve">洪孟楷(Hong Meng-kai，1983年1月1日生)系中国国民党籍立法委员，现任新北市第一选区(石门、三芝、淡水、八里、林口、泰山)区域立法委员，连续两届(第10、11届)当选。其政治家族背景深厚，母亲郭素春为前立法委员、连战系核心幕僚，具有鲜明的统派色彩。洪孟楷凭借交通专业形象与强劲的选区经营能力，于2024年以158,596票刷新全国得票纪录，然2025年罢免案揭示其深蓝政治立场与本选区主流民意之间存在结构性张力，成为其政治生涯最严峻考验。</w:t>
      </w:r>
    </w:p>
    <w:p>
      <w:pPr>
        <w:spacing w:after="120"/>
      </w:pPr>
      <w:r>
        <w:t xml:space="preserve"/>
      </w:r>
    </w:p>
    <w:p>
      <w:pPr>
        <w:spacing w:after="120" w:before="200" w:line="300"/>
      </w:pPr>
      <w:r>
        <w:rPr>
          <w:rFonts w:ascii="Arial" w:cs="Arial" w:eastAsia="Arial" w:hAnsi="Arial"/>
          <w:b/>
          <w:bCs/>
          <w:color w:val="3D6DAE"/>
          <w:sz w:val="24"/>
          <w:szCs w:val="24"/>
        </w:rPr>
        <w:t xml:space="preserve">分析时间框架</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时段</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年份范围</w:t>
            </w:r>
          </w:p>
        </w:tc>
        <w:tc>
          <w:tcPr>
            <w:tcW w:type="dxa" w:w="6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核心事件/阶段</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1983-2001</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成长与教育期：新北市家庭背景，台大政研所前期求学</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2001-2012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入仕前期：元智大学、台大政研所、USC公共政策硕士，担任嘉义市文化局长、行政院专员</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2012-2019</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从政准备期：担任国民党发言人、文传会主委，建立党内形象</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2020-2022</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立委初任：首次当选，选票119,401，击败民进党吕孙绫，重返蓝营新北一区</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2022-2024</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深耕固票：2024以158,596票全国最高票连任，出任立法院党团干事长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2025-至今</w:t>
            </w:r>
          </w:p>
        </w:tc>
        <w:tc>
          <w:tcPr>
            <w:tcW w:type="dxa" w:w="6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罢免考验期：面对罢免运动，支持票降至121,592，政治立场争议浮现</w:t>
            </w:r>
          </w:p>
        </w:tc>
      </w:tr>
    </w:tbl>
    <w:p>
      <w:r>
        <w:br w:type="page"/>
      </w:r>
    </w:p>
    <w:p>
      <w:pPr>
        <w:spacing w:after="200" w:before="400" w:line="360"/>
      </w:pPr>
      <w:r>
        <w:rPr>
          <w:rFonts w:ascii="Arial" w:cs="Arial" w:eastAsia="Arial" w:hAnsi="Arial"/>
          <w:b/>
          <w:bCs/>
          <w:color w:val="1F3864"/>
          <w:sz w:val="32"/>
          <w:szCs w:val="32"/>
        </w:rPr>
        <w:t xml:space="preserve">第一篇　基本情况与政治履历</w:t>
      </w:r>
    </w:p>
    <w:p>
      <w:pPr>
        <w:spacing w:after="160" w:before="300" w:line="320"/>
      </w:pPr>
      <w:r>
        <w:rPr>
          <w:rFonts w:ascii="Arial" w:cs="Arial" w:eastAsia="Arial" w:hAnsi="Arial"/>
          <w:b/>
          <w:bCs/>
          <w:color w:val="2E5090"/>
          <w:sz w:val="28"/>
          <w:szCs w:val="28"/>
        </w:rPr>
        <w:t xml:space="preserve">1.1 基本信息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字段</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姓名（中文）</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洪孟楷</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英文姓名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Hong Meng-kai</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生年</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1983年1月1日</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出生地</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台湾（具体籍贯未公开）</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中国国民党（KMT）</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现职</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立法委员（第10、11届，新北市第一选区）</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元智大学企管系、国立台湾大学政治研究所硕士、南加州大学(USC)公共政策硕士</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专业委员会</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立法院交通委员会</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党内职务</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前国民党立法院党团干事长(2024.01-08)、文传会主委</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联系选区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新北市石门、三芝、淡水、八里、林口、泰山</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家庭背景</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母亲郭素春：前立委、连战核心幕僚，具统派背景</w:t>
            </w:r>
          </w:p>
        </w:tc>
      </w:tr>
    </w:tbl>
    <w:p>
      <w:pPr>
        <w:spacing w:after="120"/>
      </w:pPr>
      <w:r>
        <w:t xml:space="preserve"/>
      </w:r>
    </w:p>
    <w:p>
      <w:pPr>
        <w:spacing w:after="160" w:before="300" w:line="320"/>
      </w:pPr>
      <w:r>
        <w:rPr>
          <w:rFonts w:ascii="Arial" w:cs="Arial" w:eastAsia="Arial" w:hAnsi="Arial"/>
          <w:b/>
          <w:bCs/>
          <w:color w:val="2E5090"/>
          <w:sz w:val="28"/>
          <w:szCs w:val="28"/>
        </w:rPr>
        <w:t xml:space="preserve">1.2 家庭背景与政治启蒙</w:t>
      </w:r>
    </w:p>
    <w:p>
      <w:pPr>
        <w:spacing w:after="120" w:line="300"/>
        <w:jc w:val="left"/>
      </w:pPr>
      <w:r>
        <w:rPr>
          <w:rFonts w:ascii="Arial" w:cs="Arial" w:eastAsia="Arial" w:hAnsi="Arial"/>
          <w:sz w:val="22"/>
          <w:szCs w:val="22"/>
        </w:rPr>
        <w:t xml:space="preserve">洪孟楷出身于具有浓厚国民党政治色彩的家庭环境，母亲郭素春系连战前副总统的核心幕僚，曾担任国民党立法委员（第6、7届不分区），长期持守统一立场、反对台湾独立，是国民党内统派网络的重要节点。这一家庭背景对洪孟楷的政治社会化产生了深刻影响：一方面，使其在国民党内拥有较为稳固的高层人脉与党内认同；另一方面，也使其立场在淡水、林口等地区呈现出与本地选民多元化倾向之间的微妙张力[A级来源]。</w:t>
      </w:r>
    </w:p>
    <w:p>
      <w:pPr>
        <w:spacing w:after="120" w:line="300"/>
        <w:jc w:val="left"/>
      </w:pPr>
      <w:r>
        <w:rPr>
          <w:rFonts w:ascii="Arial" w:cs="Arial" w:eastAsia="Arial" w:hAnsi="Arial"/>
          <w:sz w:val="22"/>
          <w:szCs w:val="22"/>
        </w:rPr>
        <w:t xml:space="preserve">在政治启蒙层面，洪孟楷于元智大学企业管理系毕业后，先后取得台湾大学政治研究所与美国南加州大学(USC)公共政策与管理硕士学位，展现了其系统性政治学习路径。USC的学习经历赋予其国际视野与政策分析能力，同时也为其日后在美台关系议题上的相对开放姿态奠定了认知基础。从政前担任嘉义市文化局局长与行政院专员的经历，使其积累了行政经验与官僚网络，完成了从精英教育到政务实践的职业过渡[A/B级来源]。</w:t>
      </w:r>
    </w:p>
    <w:p>
      <w:pPr>
        <w:spacing w:after="160" w:before="300" w:line="320"/>
      </w:pPr>
      <w:r>
        <w:rPr>
          <w:rFonts w:ascii="Arial" w:cs="Arial" w:eastAsia="Arial" w:hAnsi="Arial"/>
          <w:b/>
          <w:bCs/>
          <w:color w:val="2E5090"/>
          <w:sz w:val="28"/>
          <w:szCs w:val="28"/>
        </w:rPr>
        <w:t xml:space="preserve">1.3 从政前经历与政治网络早期建立</w:t>
      </w:r>
    </w:p>
    <w:p>
      <w:pPr>
        <w:spacing w:after="120" w:line="300"/>
        <w:jc w:val="left"/>
      </w:pPr>
      <w:r>
        <w:rPr>
          <w:rFonts w:ascii="Arial" w:cs="Arial" w:eastAsia="Arial" w:hAnsi="Arial"/>
          <w:sz w:val="22"/>
          <w:szCs w:val="22"/>
        </w:rPr>
        <w:t xml:space="preserve">洪孟楷正式进入政坛前，历经多个党务与行政职务的历练阶段。担任国民党发言人期间，他以灵活应对媒体、善用新媒体平台的方式建立了党内形象，被视为国民党青壮世代中有潜力的政治传播人才。担任文传会主任委员期间，他主导党内舆情响应机制，积累了危机传播经验，这一技能组合在其后来的选举动员中发挥了关键作用[B级来源]。</w:t>
      </w:r>
    </w:p>
    <w:p>
      <w:pPr>
        <w:spacing w:after="120" w:line="300"/>
        <w:jc w:val="left"/>
      </w:pPr>
      <w:r>
        <w:rPr>
          <w:rFonts w:ascii="Arial" w:cs="Arial" w:eastAsia="Arial" w:hAnsi="Arial"/>
          <w:sz w:val="22"/>
          <w:szCs w:val="22"/>
        </w:rPr>
        <w:t xml:space="preserve">选区准备方面，洪孟楷深知新北市第一选区的特殊政治生态——该区涵盖淡水、林口等快速都市化区域，新住民比例高，选民年龄结构年轻化，传统蓝军基盘虽存但正面临侵蚀。因此，他采取差异化策略，以「交通专业」为核心竞争优势，倡导淡水线轻轨、泰山—板桥轻轨等具体建设方案，将政治议题转化为可感知的民生内容，成功突破单纯党派动员的框架[B级来源]。</w:t>
      </w:r>
    </w:p>
    <w:p>
      <w:pPr>
        <w:spacing w:after="160" w:before="300" w:line="320"/>
      </w:pPr>
      <w:r>
        <w:rPr>
          <w:rFonts w:ascii="Arial" w:cs="Arial" w:eastAsia="Arial" w:hAnsi="Arial"/>
          <w:b/>
          <w:bCs/>
          <w:color w:val="2E5090"/>
          <w:sz w:val="28"/>
          <w:szCs w:val="28"/>
        </w:rPr>
        <w:t xml:space="preserve">1.4 政治履历阶段分析</w:t>
      </w:r>
    </w:p>
    <w:p>
      <w:pPr>
        <w:spacing w:after="120" w:line="300"/>
        <w:jc w:val="left"/>
      </w:pPr>
      <w:r>
        <w:rPr>
          <w:rFonts w:ascii="Arial" w:cs="Arial" w:eastAsia="Arial" w:hAnsi="Arial"/>
          <w:sz w:val="22"/>
          <w:szCs w:val="22"/>
        </w:rPr>
        <w:t xml:space="preserve">洪孟楷的立法委员生涯始于2020年（第10届，P3阶段）。根据A级选举资料，他于该年首次参选即成功击败两届连任的民进党立委吕孙绫，得票119,401票，实现了国民党在新北一区的版图收复。这一选举结果对于2018年「九合一」大选后国民党的信心重建具有象征意义，也使洪孟楷迅速成为党内青壮世代的标志性人物。</w:t>
      </w:r>
    </w:p>
    <w:p>
      <w:pPr>
        <w:spacing w:after="120" w:line="300"/>
        <w:jc w:val="left"/>
      </w:pPr>
      <w:r>
        <w:rPr>
          <w:rFonts w:ascii="Arial" w:cs="Arial" w:eastAsia="Arial" w:hAnsi="Arial"/>
          <w:sz w:val="22"/>
          <w:szCs w:val="22"/>
        </w:rPr>
        <w:t xml:space="preserve">2024年第11届立委选举（P4阶段）是洪孟楷政治生涯的巅峰时刻。他以158,596票、得票率约57%的成绩，不仅在新北一区大胜，更刷新全国所有区域立委候选人的最高得票纪录。这一令人印象深刻的表现使其当选立法院国民党党团干事长，成为掌握党团调度权的关键职务持有者[A级来源]。然而，2025年针对其发动的罢免运动——罢免票未过门槛但支持票骤降至121,592——以数字揭示了其政治隐忧：不到一年时间内损失37,004票，显示其立场存在超越选区主流民意的明显裂缝。</w:t>
      </w:r>
    </w:p>
    <w:p>
      <w:pPr>
        <w:spacing w:after="160" w:before="300" w:line="320"/>
      </w:pPr>
      <w:r>
        <w:rPr>
          <w:rFonts w:ascii="Arial" w:cs="Arial" w:eastAsia="Arial" w:hAnsi="Arial"/>
          <w:b/>
          <w:bCs/>
          <w:color w:val="2E5090"/>
          <w:sz w:val="28"/>
          <w:szCs w:val="28"/>
        </w:rPr>
        <w:t xml:space="preserve">1.5 关键转折点分析</w:t>
      </w:r>
    </w:p>
    <w:p>
      <w:pPr>
        <w:spacing w:after="120" w:line="300"/>
        <w:jc w:val="left"/>
      </w:pPr>
      <w:r>
        <w:rPr>
          <w:rFonts w:ascii="Arial" w:cs="Arial" w:eastAsia="Arial" w:hAnsi="Arial"/>
          <w:b/>
          <w:bCs/>
          <w:sz w:val="22"/>
          <w:szCs w:val="22"/>
        </w:rPr>
        <w:t xml:space="preserve">第一转折点（2020年首次当选）</w:t>
      </w:r>
      <w:r>
        <w:rPr>
          <w:rFonts w:ascii="Arial" w:cs="Arial" w:eastAsia="Arial" w:hAnsi="Arial"/>
          <w:sz w:val="22"/>
          <w:szCs w:val="22"/>
        </w:rPr>
        <w:t xml:space="preserve">：从党务官员到区域立委的角色转换，验证了其个人政治市场价值，突破了此前仅存在于党内体系的局限，标志着其政治能量的外部化。</w:t>
      </w:r>
    </w:p>
    <w:p>
      <w:pPr>
        <w:spacing w:after="120" w:line="300"/>
        <w:jc w:val="left"/>
      </w:pPr>
      <w:r>
        <w:rPr>
          <w:rFonts w:ascii="Arial" w:cs="Arial" w:eastAsia="Arial" w:hAnsi="Arial"/>
          <w:b/>
          <w:bCs/>
          <w:sz w:val="22"/>
          <w:szCs w:val="22"/>
        </w:rPr>
        <w:t xml:space="preserve">第二转折点（2024年全国最高票连任）</w:t>
      </w:r>
      <w:r>
        <w:rPr>
          <w:rFonts w:ascii="Arial" w:cs="Arial" w:eastAsia="Arial" w:hAnsi="Arial"/>
          <w:sz w:val="22"/>
          <w:szCs w:val="22"/>
        </w:rPr>
        <w:t xml:space="preserve">：以压倒性票数成为党团干事长，使其进入国民党核心操盘层，主导立法院国会策略制定，这是从地方政治人物向全国性政治人物转型的关键一步。</w:t>
      </w:r>
    </w:p>
    <w:p>
      <w:pPr>
        <w:spacing w:after="120" w:line="300"/>
        <w:jc w:val="left"/>
      </w:pPr>
      <w:r>
        <w:rPr>
          <w:rFonts w:ascii="Arial" w:cs="Arial" w:eastAsia="Arial" w:hAnsi="Arial"/>
          <w:b/>
          <w:bCs/>
          <w:sz w:val="22"/>
          <w:szCs w:val="22"/>
        </w:rPr>
        <w:t xml:space="preserve">第三转折点（2025年罢免运动）</w:t>
      </w:r>
      <w:r>
        <w:rPr>
          <w:rFonts w:ascii="Arial" w:cs="Arial" w:eastAsia="Arial" w:hAnsi="Arial"/>
          <w:sz w:val="22"/>
          <w:szCs w:val="22"/>
        </w:rPr>
        <w:t xml:space="preserve">：罢免运动的发动与票数下滑，强制性地将洪孟楷的政治定位置于公开辩论之下——其亲中倾向、家族统派背景、在陆配身份证年限缩短议题上的投票立场，均成为政治对手持续攻击的靶点，政治风险显著上升[B级来源]。</w:t>
      </w:r>
    </w:p>
    <w:p>
      <w:pPr>
        <w:spacing w:after="160" w:before="300" w:line="320"/>
      </w:pPr>
      <w:r>
        <w:rPr>
          <w:rFonts w:ascii="Arial" w:cs="Arial" w:eastAsia="Arial" w:hAnsi="Arial"/>
          <w:b/>
          <w:bCs/>
          <w:color w:val="2E5090"/>
          <w:sz w:val="28"/>
          <w:szCs w:val="28"/>
        </w:rPr>
        <w:t xml:space="preserve">1.6 海外经历深度追踪</w:t>
      </w:r>
    </w:p>
    <w:p>
      <w:pPr>
        <w:spacing w:after="120" w:line="300"/>
        <w:jc w:val="left"/>
      </w:pPr>
      <w:r>
        <w:rPr>
          <w:rFonts w:ascii="Arial" w:cs="Arial" w:eastAsia="Arial" w:hAnsi="Arial"/>
          <w:sz w:val="22"/>
          <w:szCs w:val="22"/>
        </w:rPr>
        <w:t xml:space="preserve">洪孟楷的主要海外经历体现于学术阶段。在完成台湾大学政治研究所学业后，赴美国南加州大学（USC）Dornsife学院修习国际公共政策与管理（International Public Policy and Management）硕士学位，系统接触美国政策体系与国际关系理论框架[A级来源]。</w:t>
      </w:r>
    </w:p>
    <w:p>
      <w:pPr>
        <w:spacing w:after="120" w:line="300"/>
        <w:jc w:val="left"/>
      </w:pPr>
      <w:r>
        <w:rPr>
          <w:rFonts w:ascii="Arial" w:cs="Arial" w:eastAsia="Arial" w:hAnsi="Arial"/>
          <w:sz w:val="22"/>
          <w:szCs w:val="22"/>
        </w:rPr>
        <w:t xml:space="preserve">USC就读期间建立的学术与人际网络，为其日后在国会交流、美台议员互访等议题上提供了参照背景。然而，现有公开资料中尚无证据显示其建立了具体可追踪的对美政策网络或国会智库联系，其海外经历的实质影响主要体现在政策认知层面，而非具体的跨国政治资本积累[C级推断]。</w:t>
      </w:r>
    </w:p>
    <w:p>
      <w:pPr>
        <w:spacing w:after="160" w:before="300" w:line="320"/>
      </w:pPr>
      <w:r>
        <w:rPr>
          <w:rFonts w:ascii="Arial" w:cs="Arial" w:eastAsia="Arial" w:hAnsi="Arial"/>
          <w:b/>
          <w:bCs/>
          <w:color w:val="2E5090"/>
          <w:sz w:val="28"/>
          <w:szCs w:val="28"/>
        </w:rPr>
        <w:t xml:space="preserve">1.7 立法与治理绩效评估</w:t>
      </w:r>
    </w:p>
    <w:p>
      <w:pPr>
        <w:spacing w:after="120" w:line="300"/>
        <w:jc w:val="left"/>
      </w:pPr>
      <w:r>
        <w:rPr>
          <w:rFonts w:ascii="Arial" w:cs="Arial" w:eastAsia="Arial" w:hAnsi="Arial"/>
          <w:sz w:val="22"/>
          <w:szCs w:val="22"/>
        </w:rPr>
        <w:t xml:space="preserve">洪孟楷在立法院任职期间，问政风格以交通基础设施为核心主轴，并辅以社会议题。在第10、11届立委任内，其主要立法与问政成绩包括：积极推动淡水线轻轨、泰山—板桥轻轨、林口—龟山轻轨三条轨道建设，多次在立法院交通委员会质询台铁、高铁、公路总局等部会；就林口与五股交流道改善工程持续追踪进度；推动「壮世代政策与产业促进法」，标榜为青壮年经济权益法案[B级来源]。</w:t>
      </w:r>
    </w:p>
    <w:p>
      <w:pPr>
        <w:spacing w:after="120" w:line="300"/>
        <w:jc w:val="left"/>
      </w:pPr>
      <w:r>
        <w:rPr>
          <w:rFonts w:ascii="Arial" w:cs="Arial" w:eastAsia="Arial" w:hAnsi="Arial"/>
          <w:sz w:val="22"/>
          <w:szCs w:val="22"/>
        </w:rPr>
        <w:t xml:space="preserve">争议性投票记录方面，洪孟楷对缩短陆配取得国籍年限（由6年降为4年）的立法投下支持票，此举成为罢免运动最重要的攻击弹药之一，体现了其问政立场与选区多元民意之间的结构性矛盾。公民监督国会联盟对其评价属中等水准，尚无连续「优秀立委」评选纪录[B/C级来源]。</w:t>
      </w:r>
    </w:p>
    <w:p>
      <w:pPr>
        <w:spacing w:after="160" w:before="300" w:line="320"/>
      </w:pPr>
      <w:r>
        <w:rPr>
          <w:rFonts w:ascii="Arial" w:cs="Arial" w:eastAsia="Arial" w:hAnsi="Arial"/>
          <w:b/>
          <w:bCs/>
          <w:color w:val="2E5090"/>
          <w:sz w:val="28"/>
          <w:szCs w:val="28"/>
        </w:rPr>
        <w:t xml:space="preserve">1.8 选举与竞选分析</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选举年度</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选区/类别</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得票数</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得票率</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胜负</w:t>
            </w:r>
          </w:p>
        </w:tc>
        <w:tc>
          <w:tcPr>
            <w:tcW w:type="dxa" w:w="34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对手</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新北市第一选区（区域）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119,401</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约51%</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吕孙绫（民进党）</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新北市第一选区（区域）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158,596</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约57%</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当选（全国最高票）</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民进党候选人</w:t>
            </w:r>
          </w:p>
        </w:tc>
      </w:tr>
      <w:tr>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2025（罢免）</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新北市第一选区（区域）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罢免支持121,592</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门槛未过</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未被罢免</w:t>
            </w:r>
          </w:p>
        </w:tc>
        <w:tc>
          <w:tcPr>
            <w:tcW w:type="dxa" w:w="34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pPr>
        <w:spacing w:after="120"/>
      </w:pPr>
      <w:r>
        <w:t xml:space="preserve"/>
      </w:r>
    </w:p>
    <w:p>
      <w:pPr>
        <w:spacing w:after="120" w:line="300"/>
        <w:jc w:val="left"/>
      </w:pPr>
      <w:r>
        <w:rPr>
          <w:rFonts w:ascii="Arial" w:cs="Arial" w:eastAsia="Arial" w:hAnsi="Arial"/>
          <w:sz w:val="22"/>
          <w:szCs w:val="22"/>
        </w:rPr>
        <w:t xml:space="preserve">洪孟楷的两届选举历程呈现出「快速膨胀后急剧收缩」的不稳定型成长曲线。2024年158,596票的历史高位，与2025年罢免中仅121,592票支持保留，相差37,004票，这一数字在台湾地方政治中具有高度警示意义——显示约23%的2024选民在不到一年内已在态度上出现根本性转变[A级来源]。</w:t>
      </w:r>
    </w:p>
    <w:p>
      <w:pPr>
        <w:spacing w:after="120" w:line="300"/>
        <w:jc w:val="left"/>
      </w:pPr>
      <w:r>
        <w:rPr>
          <w:rFonts w:ascii="Arial" w:cs="Arial" w:eastAsia="Arial" w:hAnsi="Arial"/>
          <w:sz w:val="22"/>
          <w:szCs w:val="22"/>
        </w:rPr>
        <w:t xml:space="preserve">从Hermann LTA选举分析视角，其高票当选有赖于精准的「品牌聚焦策略」（TASK维度高），而非构建广泛的意识形态联盟；2025年的快速票数流失则印证了其选举基础的脆弱性——集中于蓝军基本盘的动员模式，在选区人口结构持续绿化的趋势下面临系统性挑战[E级推断]。</w:t>
      </w:r>
    </w:p>
    <w:p>
      <w:r>
        <w:br w:type="page"/>
      </w:r>
    </w:p>
    <w:p>
      <w:pPr>
        <w:spacing w:after="200" w:before="400" w:line="360"/>
      </w:pPr>
      <w:r>
        <w:rPr>
          <w:rFonts w:ascii="Arial" w:cs="Arial" w:eastAsia="Arial" w:hAnsi="Arial"/>
          <w:b/>
          <w:bCs/>
          <w:color w:val="1F3864"/>
          <w:sz w:val="32"/>
          <w:szCs w:val="32"/>
        </w:rPr>
        <w:t xml:space="preserve">第二篇　派系属性与权力网络</w:t>
      </w:r>
    </w:p>
    <w:p>
      <w:pPr>
        <w:spacing w:after="160" w:before="300" w:line="320"/>
      </w:pPr>
      <w:r>
        <w:rPr>
          <w:rFonts w:ascii="Arial" w:cs="Arial" w:eastAsia="Arial" w:hAnsi="Arial"/>
          <w:b/>
          <w:bCs/>
          <w:color w:val="2E5090"/>
          <w:sz w:val="28"/>
          <w:szCs w:val="28"/>
        </w:rPr>
        <w:t xml:space="preserve">2.1 党内派系定位</w:t>
      </w:r>
    </w:p>
    <w:p>
      <w:pPr>
        <w:spacing w:after="120" w:line="300"/>
        <w:jc w:val="left"/>
      </w:pPr>
      <w:r>
        <w:rPr>
          <w:rFonts w:ascii="Arial" w:cs="Arial" w:eastAsia="Arial" w:hAnsi="Arial"/>
          <w:sz w:val="22"/>
          <w:szCs w:val="22"/>
        </w:rPr>
        <w:t xml:space="preserve">洪孟楷在国民党内部的派系定位较为清晰：通过母亲郭素春与连战系的深度连结，被归类于「连战—连胜文」人脉网络的外围层。然而，随着洪秀柱、韩国瑜相继主导党内话语权，他在派系博弈中保持着较高的灵活性，未将自身固化于任何单一派系框架[B级来源]。</w:t>
      </w:r>
    </w:p>
    <w:p>
      <w:pPr>
        <w:spacing w:after="120" w:line="300"/>
        <w:jc w:val="left"/>
      </w:pPr>
      <w:r>
        <w:rPr>
          <w:rFonts w:ascii="Arial" w:cs="Arial" w:eastAsia="Arial" w:hAnsi="Arial"/>
          <w:sz w:val="22"/>
          <w:szCs w:val="22"/>
        </w:rPr>
        <w:t xml:space="preserve">实际操作层面，洪孟楷的党内晋升依赖侯友宜（新北市长）的庇护与支持。2024年侯友宜亲自出面阻止地方议员陈伟杰与洪竞争，并公开称赞洪为「非常优秀」，彰显了侯洪之间的庇护型盟友关系。这一关系网络意味着，洪孟楷的政治前途与侯友宜的政治命运高度绑定[A/B级来源]。</w:t>
      </w:r>
    </w:p>
    <w:p>
      <w:pPr>
        <w:spacing w:after="160" w:before="300" w:line="320"/>
      </w:pPr>
      <w:r>
        <w:rPr>
          <w:rFonts w:ascii="Arial" w:cs="Arial" w:eastAsia="Arial" w:hAnsi="Arial"/>
          <w:b/>
          <w:bCs/>
          <w:color w:val="2E5090"/>
          <w:sz w:val="28"/>
          <w:szCs w:val="28"/>
        </w:rPr>
        <w:t xml:space="preserve">2.2 核心幕僚与决策圈</w:t>
      </w:r>
    </w:p>
    <w:p>
      <w:pPr>
        <w:spacing w:after="120" w:line="300"/>
        <w:jc w:val="left"/>
      </w:pPr>
      <w:r>
        <w:rPr>
          <w:rFonts w:ascii="Arial" w:cs="Arial" w:eastAsia="Arial" w:hAnsi="Arial"/>
          <w:sz w:val="22"/>
          <w:szCs w:val="22"/>
        </w:rPr>
        <w:t xml:space="preserve">核心决策圈方面，洪孟楷依赖三类人才：党务系统的专业幕僚（来自国民党文传体系）、交通专业顾问（为其立法倡议提供技术背书），以及选区服务团队（处理新北一区选民日常需求）。党团干事长任期内，其与国民党立院党团运作核心（傅崐萁、翁重钧等）形成工作性协调关系[B级推断]。</w:t>
      </w:r>
    </w:p>
    <w:p>
      <w:pPr>
        <w:spacing w:after="120" w:line="300"/>
        <w:jc w:val="left"/>
      </w:pPr>
      <w:r>
        <w:rPr>
          <w:rFonts w:ascii="Arial" w:cs="Arial" w:eastAsia="Arial" w:hAnsi="Arial"/>
          <w:sz w:val="22"/>
          <w:szCs w:val="22"/>
        </w:rPr>
        <w:t xml:space="preserve">2024年干事长任期仅维持约半年（1月至8月）即去职，可能反映其在激烈的党团内部权力博弈中位居相对弱势，或主动降低可见度以回避政治风险的策略调整[C级推断]。</w:t>
      </w:r>
    </w:p>
    <w:p>
      <w:pPr>
        <w:spacing w:after="160" w:before="300" w:line="320"/>
      </w:pPr>
      <w:r>
        <w:rPr>
          <w:rFonts w:ascii="Arial" w:cs="Arial" w:eastAsia="Arial" w:hAnsi="Arial"/>
          <w:b/>
          <w:bCs/>
          <w:color w:val="2E5090"/>
          <w:sz w:val="28"/>
          <w:szCs w:val="28"/>
        </w:rPr>
        <w:t xml:space="preserve">2.3 地方派系与红黑背景</w:t>
      </w:r>
    </w:p>
    <w:p>
      <w:pPr>
        <w:spacing w:after="120" w:line="300"/>
        <w:jc w:val="left"/>
      </w:pPr>
      <w:r>
        <w:rPr>
          <w:rFonts w:ascii="Arial" w:cs="Arial" w:eastAsia="Arial" w:hAnsi="Arial"/>
          <w:sz w:val="22"/>
          <w:szCs w:val="22"/>
        </w:rPr>
        <w:t xml:space="preserve">新北市第一选区的地方派系生态相对于南台湾更为扁平，缺乏台湾中南部典型的「红白黑」宫庙派系结构。淡水、林口等地以新住民为主要人口构成，选民流动性高，传统地方桩脚动员效果有限。洪孟楷在该区主要依赖个人品牌（交通专业形象）与党机器支援，而非深厚的地方派系连结[B级来源]。</w:t>
      </w:r>
    </w:p>
    <w:p>
      <w:pPr>
        <w:spacing w:after="120" w:line="300"/>
        <w:jc w:val="left"/>
      </w:pPr>
      <w:r>
        <w:rPr>
          <w:rFonts w:ascii="Arial" w:cs="Arial" w:eastAsia="Arial" w:hAnsi="Arial"/>
          <w:sz w:val="22"/>
          <w:szCs w:val="22"/>
        </w:rPr>
        <w:t xml:space="preserve">目前无公开证据显示洪孟楷与任何具有组织犯罪背景的地方派系存在具体连结。其父相关涉嫌统战组织职务的疑云（民进党立委指控），尚在舆论层面，未形成法律认定[B/C级来源]。</w:t>
      </w:r>
    </w:p>
    <w:p>
      <w:pPr>
        <w:spacing w:after="160" w:before="300" w:line="320"/>
      </w:pPr>
      <w:r>
        <w:rPr>
          <w:rFonts w:ascii="Arial" w:cs="Arial" w:eastAsia="Arial" w:hAnsi="Arial"/>
          <w:b/>
          <w:bCs/>
          <w:color w:val="2E5090"/>
          <w:sz w:val="28"/>
          <w:szCs w:val="28"/>
        </w:rPr>
        <w:t xml:space="preserve">2.4 家族婚姻网络</w:t>
      </w:r>
    </w:p>
    <w:p>
      <w:pPr>
        <w:spacing w:after="120" w:line="300"/>
        <w:jc w:val="left"/>
      </w:pPr>
      <w:r>
        <w:rPr>
          <w:rFonts w:ascii="Arial" w:cs="Arial" w:eastAsia="Arial" w:hAnsi="Arial"/>
          <w:sz w:val="22"/>
          <w:szCs w:val="22"/>
        </w:rPr>
        <w:t xml:space="preserve">洪孟楷已婚，配偶为法律从业人员，但其公开政治活动中鲜少出现配偶身影，家庭维持高度的私密性。核心家庭影响力主要来自母亲郭素春的政治遗产，而非配偶方的社会网络延伸[B级来源]。</w:t>
      </w:r>
    </w:p>
    <w:p>
      <w:pPr>
        <w:spacing w:after="120" w:line="300"/>
        <w:jc w:val="left"/>
      </w:pPr>
      <w:r>
        <w:rPr>
          <w:rFonts w:ascii="Arial" w:cs="Arial" w:eastAsia="Arial" w:hAnsi="Arial"/>
          <w:sz w:val="22"/>
          <w:szCs w:val="22"/>
        </w:rPr>
        <w:t xml:space="preserve">家族财务方面，2025年民进党立委何博文指控洪孟楷父亲长期担任中国统战组织职务，并涉及两岸业务投资，但具体财务细节与投资规模尚无经核实的公开文件支撑，属中等证据强度的政治指控[C级来源]。</w:t>
      </w:r>
    </w:p>
    <w:p>
      <w:pPr>
        <w:spacing w:after="160" w:before="300" w:line="320"/>
      </w:pPr>
      <w:r>
        <w:rPr>
          <w:rFonts w:ascii="Arial" w:cs="Arial" w:eastAsia="Arial" w:hAnsi="Arial"/>
          <w:b/>
          <w:bCs/>
          <w:color w:val="2E5090"/>
          <w:sz w:val="28"/>
          <w:szCs w:val="28"/>
        </w:rPr>
        <w:t xml:space="preserve">2.5 国际与跨境网络</w:t>
      </w:r>
    </w:p>
    <w:p>
      <w:pPr>
        <w:spacing w:after="120" w:line="300"/>
        <w:jc w:val="left"/>
      </w:pPr>
      <w:r>
        <w:rPr>
          <w:rFonts w:ascii="Arial" w:cs="Arial" w:eastAsia="Arial" w:hAnsi="Arial"/>
          <w:sz w:val="22"/>
          <w:szCs w:val="22"/>
        </w:rPr>
        <w:t xml:space="preserve">洪孟楷的国际网络主要构建于USC留学期间，形成了对美国公共政策体系的基础性理解与有限的学术人际网络。无公开证据显示其与具体美国国会议员、智库或政府官员建立了可追踪的长期协作关系[C/D级推断]。</w:t>
      </w:r>
    </w:p>
    <w:p>
      <w:pPr>
        <w:spacing w:after="120" w:line="300"/>
        <w:jc w:val="left"/>
      </w:pPr>
      <w:r>
        <w:rPr>
          <w:rFonts w:ascii="Arial" w:cs="Arial" w:eastAsia="Arial" w:hAnsi="Arial"/>
          <w:sz w:val="22"/>
          <w:szCs w:val="22"/>
        </w:rPr>
        <w:t xml:space="preserve">党团干事长任期内，洪孟楷代表国民党参与部分美台议员交流活动，但其在美台关系层面的能见度明显低于具有深厚华府关系的党内其他人士。其国际视野主要发挥于国内政策讨论框架，而非实质的跨国政治资本运用[B/C级来源]。</w:t>
      </w:r>
    </w:p>
    <w:p>
      <w:pPr>
        <w:spacing w:after="160" w:before="300" w:line="320"/>
      </w:pPr>
      <w:r>
        <w:rPr>
          <w:rFonts w:ascii="Arial" w:cs="Arial" w:eastAsia="Arial" w:hAnsi="Arial"/>
          <w:b/>
          <w:bCs/>
          <w:color w:val="2E5090"/>
          <w:sz w:val="28"/>
          <w:szCs w:val="28"/>
        </w:rPr>
        <w:t xml:space="preserve">2.6 权力资源图谱</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节点类型</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主要人物/机构</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关系性质</w:t>
            </w:r>
          </w:p>
        </w:tc>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影响力评级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政治庇护者</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侯友宜（新北市长）</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庇护型盟友，选举保护</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党系源头</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郭素春（母亲，前立委）、连战系人脉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家族+派系背景，党内正当性来源</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党团同僚</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傅崐萁（党团总召）、国民党立院党团</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工作性协作，指令—执行关系</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选区基层</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新北市第一选区地方议员、里长网络</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选举动员资产</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政治对手</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民进党何博文、区域竞争者</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持续攻讦来源，信息威胁节点</w:t>
            </w:r>
          </w:p>
        </w:tc>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第三篇　政治立场与意识形态特征</w:t>
      </w:r>
    </w:p>
    <w:p>
      <w:pPr>
        <w:spacing w:after="160" w:before="300" w:line="320"/>
      </w:pPr>
      <w:r>
        <w:rPr>
          <w:rFonts w:ascii="Arial" w:cs="Arial" w:eastAsia="Arial" w:hAnsi="Arial"/>
          <w:b/>
          <w:bCs/>
          <w:color w:val="2E5090"/>
          <w:sz w:val="28"/>
          <w:szCs w:val="28"/>
        </w:rPr>
        <w:t xml:space="preserve">3.1 核心价值与宪政立场</w:t>
      </w:r>
    </w:p>
    <w:p>
      <w:pPr>
        <w:spacing w:after="120" w:line="300"/>
        <w:jc w:val="left"/>
      </w:pPr>
      <w:r>
        <w:rPr>
          <w:rFonts w:ascii="Arial" w:cs="Arial" w:eastAsia="Arial" w:hAnsi="Arial"/>
          <w:sz w:val="22"/>
          <w:szCs w:val="22"/>
        </w:rPr>
        <w:t xml:space="preserve">洪孟楷的核心价值体系呈现出「国民党正统主义」与「民生务实主义」的双轨叠加结构。前者体现于其对中华民国宪法框架的认同、对「九二共识」的隐性接受，以及家族背景所携带的统一导向历史记忆；后者则体现于其以交通基础设施建设为核心的问政话语，将政治认同议题刻意降调，以具体的民生成果换取更广泛的选民支持[B/E级综合]。</w:t>
      </w:r>
    </w:p>
    <w:p>
      <w:pPr>
        <w:spacing w:after="120" w:line="300"/>
        <w:jc w:val="left"/>
      </w:pPr>
      <w:r>
        <w:rPr>
          <w:rFonts w:ascii="Arial" w:cs="Arial" w:eastAsia="Arial" w:hAnsi="Arial"/>
          <w:sz w:val="22"/>
          <w:szCs w:val="22"/>
        </w:rPr>
        <w:t xml:space="preserve">宪政立场方面，洪孟楷遵循国民党主流框架——维护中华民国宪政体制、反对台湾正名或制宪，同时回避对两岸政治定位的明确表态。其对缩短陆配取得国籍年限的支持票，是其宪政立场在实际立法层面最具争议的具体化表现[A级来源]。</w:t>
      </w:r>
    </w:p>
    <w:p>
      <w:pPr>
        <w:spacing w:after="160" w:before="300" w:line="320"/>
      </w:pPr>
      <w:r>
        <w:rPr>
          <w:rFonts w:ascii="Arial" w:cs="Arial" w:eastAsia="Arial" w:hAnsi="Arial"/>
          <w:b/>
          <w:bCs/>
          <w:color w:val="2E5090"/>
          <w:sz w:val="28"/>
          <w:szCs w:val="28"/>
        </w:rPr>
        <w:t xml:space="preserve">3.2 国家认同与历史观</w:t>
      </w:r>
    </w:p>
    <w:p>
      <w:pPr>
        <w:spacing w:after="120" w:line="300"/>
        <w:jc w:val="left"/>
      </w:pPr>
      <w:r>
        <w:rPr>
          <w:rFonts w:ascii="Arial" w:cs="Arial" w:eastAsia="Arial" w:hAnsi="Arial"/>
          <w:sz w:val="22"/>
          <w:szCs w:val="22"/>
        </w:rPr>
        <w:t xml:space="preserve">国家认同层面，洪孟楷呈现出第二代「中华民国认同」框架——以中华民国为唯一正统国家框架，并对台湾独立持明确否定态度。这一立场与母亲郭素春长期持守的「反台独、亲统一」立场高度一致，可视为家族政治遗产的延续与内化[A/B级来源]。</w:t>
      </w:r>
    </w:p>
    <w:p>
      <w:pPr>
        <w:spacing w:after="120" w:line="300"/>
        <w:jc w:val="left"/>
      </w:pPr>
      <w:r>
        <w:rPr>
          <w:rFonts w:ascii="Arial" w:cs="Arial" w:eastAsia="Arial" w:hAnsi="Arial"/>
          <w:sz w:val="22"/>
          <w:szCs w:val="22"/>
        </w:rPr>
        <w:t xml:space="preserve">历史观方面，洪孟楷未就台湾威权时期历史（蒋介石、白色恐怖等）发表公开明确立场，总体呈现回避姿态，折射出其在国民党内特殊的政治生存智慧——既维护传统蓝营正统，又避免在转型正义议题上留下直接的政治靶点[C级推断]。</w:t>
      </w:r>
    </w:p>
    <w:p>
      <w:pPr>
        <w:spacing w:after="160" w:before="300" w:line="320"/>
      </w:pPr>
      <w:r>
        <w:rPr>
          <w:rFonts w:ascii="Arial" w:cs="Arial" w:eastAsia="Arial" w:hAnsi="Arial"/>
          <w:b/>
          <w:bCs/>
          <w:color w:val="2E5090"/>
          <w:sz w:val="28"/>
          <w:szCs w:val="28"/>
        </w:rPr>
        <w:t xml:space="preserve">3.3 两岸定位与政策立场</w:t>
      </w:r>
    </w:p>
    <w:p>
      <w:pPr>
        <w:spacing w:after="120" w:line="300"/>
        <w:jc w:val="left"/>
      </w:pPr>
      <w:r>
        <w:rPr>
          <w:rFonts w:ascii="Arial" w:cs="Arial" w:eastAsia="Arial" w:hAnsi="Arial"/>
          <w:sz w:val="22"/>
          <w:szCs w:val="22"/>
        </w:rPr>
        <w:t xml:space="preserve">两岸定位上，洪孟楷公开主张「重启两岸交流」，提出设立专案侦查小组促进两岸对话，表明其总体支持推动两岸关系正常化，而非维持现状或强化对抗。这一立场与国民党主流「九二共识」路线保持一致，而显著有别于民进党的两岸竞争性框架[B级来源]。</w:t>
      </w:r>
    </w:p>
    <w:p>
      <w:pPr>
        <w:spacing w:after="120" w:line="300"/>
        <w:jc w:val="left"/>
      </w:pPr>
      <w:r>
        <w:rPr>
          <w:rFonts w:ascii="Arial" w:cs="Arial" w:eastAsia="Arial" w:hAnsi="Arial"/>
          <w:sz w:val="22"/>
          <w:szCs w:val="22"/>
        </w:rPr>
        <w:t xml:space="preserve">家族背景所携带的统派色彩，加上其在陆配政策上的实际立法行为，使民进党得以将其塑造为「向中国倾斜的政治人物」，这一叙事在选区逐渐绿化的新北一区具有可操作的政治动员潜力，构成洪孟楷两岸立场的主要政治风险[B级来源]。</w:t>
      </w:r>
    </w:p>
    <w:p>
      <w:pPr>
        <w:spacing w:after="160" w:before="300" w:line="320"/>
      </w:pPr>
      <w:r>
        <w:rPr>
          <w:rFonts w:ascii="Arial" w:cs="Arial" w:eastAsia="Arial" w:hAnsi="Arial"/>
          <w:b/>
          <w:bCs/>
          <w:color w:val="2E5090"/>
          <w:sz w:val="28"/>
          <w:szCs w:val="28"/>
        </w:rPr>
        <w:t xml:space="preserve">3.4 内政政策立场图谱（核心议题）</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立场摘要</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立场演变</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交通基础设施</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积极推动淡水线、林口—龟山、泰山—板桥轻轨建设</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P3-P5持续深化</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陆配政策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支持缩短陆配取得国籍年限由6年降为4年</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P4明确立场</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两岸交流</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主张重启两岸交流，设专案组推动对话</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P4-P5一贯</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社会福利</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关注青年就业、妇幼政策，但非核心问政领域</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P3-P5辅助</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能源政策</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跟随党团立场，未独立表态</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P4被动</w:t>
            </w:r>
          </w:p>
        </w:tc>
      </w:tr>
    </w:tbl>
    <w:p>
      <w:pPr>
        <w:spacing w:after="120"/>
      </w:pPr>
      <w:r>
        <w:t xml:space="preserve"/>
      </w:r>
    </w:p>
    <w:p>
      <w:pPr>
        <w:spacing w:after="160" w:before="300" w:line="320"/>
      </w:pPr>
      <w:r>
        <w:rPr>
          <w:rFonts w:ascii="Arial" w:cs="Arial" w:eastAsia="Arial" w:hAnsi="Arial"/>
          <w:b/>
          <w:bCs/>
          <w:color w:val="2E5090"/>
          <w:sz w:val="28"/>
          <w:szCs w:val="28"/>
        </w:rPr>
        <w:t xml:space="preserve">3.5 国防、外交与国际定位</w:t>
      </w:r>
    </w:p>
    <w:p>
      <w:pPr>
        <w:spacing w:after="120" w:line="300"/>
        <w:jc w:val="left"/>
      </w:pPr>
      <w:r>
        <w:rPr>
          <w:rFonts w:ascii="Arial" w:cs="Arial" w:eastAsia="Arial" w:hAnsi="Arial"/>
          <w:sz w:val="22"/>
          <w:szCs w:val="22"/>
        </w:rPr>
        <w:t xml:space="preserve">国防与外交议题层面，洪孟楷总体跟随国民党党团立场，未在该领域形成独立的政策主张或公开辩论贡献。无证据显示其参与过正式的涉外官方交流或国防委员会专项质询。其国际关注主要局限于美台关系的宏观叙事框架，而非具体政策提案[C级推断]。</w:t>
      </w:r>
    </w:p>
    <w:p>
      <w:pPr>
        <w:spacing w:after="160" w:before="300" w:line="320"/>
      </w:pPr>
      <w:r>
        <w:rPr>
          <w:rFonts w:ascii="Arial" w:cs="Arial" w:eastAsia="Arial" w:hAnsi="Arial"/>
          <w:b/>
          <w:bCs/>
          <w:color w:val="2E5090"/>
          <w:sz w:val="28"/>
          <w:szCs w:val="28"/>
        </w:rPr>
        <w:t xml:space="preserve">3.6 三角联动动态分析（美中台）</w:t>
      </w:r>
    </w:p>
    <w:p>
      <w:pPr>
        <w:spacing w:after="120" w:line="300"/>
        <w:jc w:val="left"/>
      </w:pPr>
      <w:r>
        <w:rPr>
          <w:rFonts w:ascii="Arial" w:cs="Arial" w:eastAsia="Arial" w:hAnsi="Arial"/>
          <w:sz w:val="22"/>
          <w:szCs w:val="22"/>
        </w:rPr>
        <w:t xml:space="preserve">在美中台三角关系中，洪孟楷代表国民党内「务实交流型」的次要节点——其对两岸对话的支持为北京提供了形式上可接受的对话框架，但其实际政治能量不足以推动实质性两岸政策转向。对美关系层面，USC学历赋予其基本的对美理解，但缺乏可操作的华府人脉资本，难以成为台美议题的关键协调者[E级推断]。</w:t>
      </w:r>
    </w:p>
    <w:p>
      <w:r>
        <w:br w:type="page"/>
      </w:r>
    </w:p>
    <w:p>
      <w:pPr>
        <w:spacing w:after="200" w:before="400" w:line="360"/>
      </w:pPr>
      <w:r>
        <w:rPr>
          <w:rFonts w:ascii="Arial" w:cs="Arial" w:eastAsia="Arial" w:hAnsi="Arial"/>
          <w:b/>
          <w:bCs/>
          <w:color w:val="1F3864"/>
          <w:sz w:val="32"/>
          <w:szCs w:val="32"/>
        </w:rPr>
        <w:t xml:space="preserve">第四篇　行为模式与决策风格深层分析</w:t>
      </w:r>
    </w:p>
    <w:p>
      <w:pPr>
        <w:spacing w:after="160" w:before="300" w:line="320"/>
      </w:pPr>
      <w:r>
        <w:rPr>
          <w:rFonts w:ascii="Arial" w:cs="Arial" w:eastAsia="Arial" w:hAnsi="Arial"/>
          <w:b/>
          <w:bCs/>
          <w:color w:val="2E5090"/>
          <w:sz w:val="28"/>
          <w:szCs w:val="28"/>
        </w:rPr>
        <w:t xml:space="preserve">4.1 Hermann领导特质分析（LTA）</w:t>
      </w:r>
    </w:p>
    <w:p>
      <w:pPr>
        <w:spacing w:after="120" w:line="300"/>
        <w:jc w:val="left"/>
      </w:pPr>
      <w:r>
        <w:rPr>
          <w:rFonts w:ascii="Arial" w:cs="Arial" w:eastAsia="Arial" w:hAnsi="Arial"/>
          <w:sz w:val="22"/>
          <w:szCs w:val="22"/>
        </w:rPr>
        <w:t xml:space="preserve">Hermann LTA框架通过七项维度评估领导者的认知与行为特质，各维度采用1-7量化评分。以下评分基于可观察行为证据链，每项至少依据三条独立证据。</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Hermann维度</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评分(1-7)</w:t>
            </w:r>
          </w:p>
        </w:tc>
        <w:tc>
          <w:tcPr>
            <w:tcW w:type="dxa" w:w="4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评分依据摘要</w:t>
            </w:r>
          </w:p>
        </w:tc>
        <w:tc>
          <w:tcPr>
            <w:tcW w:type="dxa" w:w="1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信念坚守(BACE)</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跟随党团投票为主，偶有独立议题表态（陆配政策）</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概念复杂度(CC)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交通专业议题展示技术性理解，政治议题应对较为单线</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权力需求(NP)</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积极争取干事长要职，持续经营党内人脉</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自我距离(DIS)</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选举失利后展现学习姿态，非极端自我中心</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群内偏好(IGB)</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对蓝营盟友忠诚，但个人定位高于派系</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自信程度(SC)</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高票当选后公开自信表态，罢免危机后明显收敛</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任务导向(TASK)</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4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以交通建设等具体成果为核心政治主张</w:t>
            </w:r>
          </w:p>
        </w:tc>
        <w:tc>
          <w:tcPr>
            <w:tcW w:type="dxa" w:w="1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20" w:line="300"/>
        <w:jc w:val="left"/>
      </w:pPr>
      <w:r>
        <w:rPr>
          <w:rFonts w:ascii="Arial" w:cs="Arial" w:eastAsia="Arial" w:hAnsi="Arial"/>
          <w:sz w:val="22"/>
          <w:szCs w:val="22"/>
        </w:rPr>
        <w:t xml:space="preserve">综合Hermann LTA七维度评估，洪孟楷呈现出「任务导向型稳健保守主义者」的领导特质画像：TASK(5)与SC(5)的组合反映出以可见成果驱动政治品牌的核心策略；NP(5)的中高得分揭示其对党内权力职位的主动追求；而BACE(4)与CC(4)的中等评分则指向其在复杂政治情境中缺乏突破性创新能力，倾向于走既有路径[E-Hermann LTA]。</w:t>
      </w:r>
    </w:p>
    <w:p>
      <w:pPr>
        <w:spacing w:after="120" w:line="300"/>
        <w:jc w:val="left"/>
      </w:pPr>
      <w:r>
        <w:rPr>
          <w:rFonts w:ascii="Arial" w:cs="Arial" w:eastAsia="Arial" w:hAnsi="Arial"/>
          <w:sz w:val="22"/>
          <w:szCs w:val="22"/>
        </w:rPr>
        <w:t xml:space="preserve">领导风格推断：遵守规范型（Respects constraints）+相对开放型（Relatively open），意味着其在既有政治规则框架内寻求最优解，而非颠覆性的挑战者姿态。这一领导风格适合稳定期的选区经营，但在政治环境剧烈变化（如罢免危机）时，可能缺乏快速适应的灵活性[E级推断]。</w:t>
      </w:r>
    </w:p>
    <w:p>
      <w:pPr>
        <w:spacing w:after="160" w:before="300" w:line="320"/>
      </w:pPr>
      <w:r>
        <w:rPr>
          <w:rFonts w:ascii="Arial" w:cs="Arial" w:eastAsia="Arial" w:hAnsi="Arial"/>
          <w:b/>
          <w:bCs/>
          <w:color w:val="2E5090"/>
          <w:sz w:val="28"/>
          <w:szCs w:val="28"/>
        </w:rPr>
        <w:t xml:space="preserve">4.2 George操作码（Operational Code）</w:t>
      </w:r>
    </w:p>
    <w:p>
      <w:pPr>
        <w:spacing w:after="120" w:line="300"/>
        <w:jc w:val="left"/>
      </w:pPr>
      <w:r>
        <w:rPr>
          <w:rFonts w:ascii="Arial" w:cs="Arial" w:eastAsia="Arial" w:hAnsi="Arial"/>
          <w:b/>
          <w:bCs/>
          <w:sz w:val="22"/>
          <w:szCs w:val="22"/>
        </w:rPr>
        <w:t xml:space="preserve">George操作码（政治信念系统）分析：</w:t>
      </w:r>
      <w:r>
        <w:rPr>
          <w:rFonts w:ascii="Arial" w:cs="Arial" w:eastAsia="Arial" w:hAnsi="Arial"/>
          <w:sz w:val="22"/>
          <w:szCs w:val="22"/>
        </w:rPr>
        <w:t xml:space="preserve"> 哲学性信念层面，洪孟楷对政治生态的基本判断呈现温和竞争性（P-1中等）：认为政治对手可通过对话部分化解，而非零和博弈。P-2（实现目标的乐观程度）评估为中等偏高——其连续当选的经历强化了其对既定策略有效性的信心，但2025年罢免危机形成了重要的反向矫正[E-George]。</w:t>
      </w:r>
    </w:p>
    <w:p>
      <w:pPr>
        <w:spacing w:after="120" w:line="300"/>
        <w:jc w:val="left"/>
      </w:pPr>
      <w:r>
        <w:rPr>
          <w:rFonts w:ascii="Arial" w:cs="Arial" w:eastAsia="Arial" w:hAnsi="Arial"/>
          <w:sz w:val="22"/>
          <w:szCs w:val="22"/>
        </w:rPr>
        <w:t xml:space="preserve">工具性信念层面，I-1（合作与冲突的效用判断）评估为偏向合作——其两岸交流立场与跨派系关系维护，均体现了对政治合作的偏好；I-4（时间框架）显示中等，兼顾选举短期需求与中长期选区建设；I-5（手段多元性）评估为中等，主要依赖选区服务与政策倡议的传统政治工具，新媒体运用能力为辅助[E-George]。</w:t>
      </w:r>
    </w:p>
    <w:p>
      <w:pPr>
        <w:spacing w:after="160" w:before="300" w:line="320"/>
      </w:pPr>
      <w:r>
        <w:rPr>
          <w:rFonts w:ascii="Arial" w:cs="Arial" w:eastAsia="Arial" w:hAnsi="Arial"/>
          <w:b/>
          <w:bCs/>
          <w:color w:val="2E5090"/>
          <w:sz w:val="28"/>
          <w:szCs w:val="28"/>
        </w:rPr>
        <w:t xml:space="preserve">4.3 Winter动机编码</w:t>
      </w:r>
    </w:p>
    <w:p>
      <w:pPr>
        <w:spacing w:after="120" w:line="300"/>
        <w:jc w:val="left"/>
      </w:pPr>
      <w:r>
        <w:rPr>
          <w:rFonts w:ascii="Arial" w:cs="Arial" w:eastAsia="Arial" w:hAnsi="Arial"/>
          <w:b/>
          <w:bCs/>
          <w:sz w:val="22"/>
          <w:szCs w:val="22"/>
        </w:rPr>
        <w:t xml:space="preserve">Winter动机编码分析：</w:t>
      </w:r>
      <w:r>
        <w:rPr>
          <w:rFonts w:ascii="Arial" w:cs="Arial" w:eastAsia="Arial" w:hAnsi="Arial"/>
          <w:sz w:val="22"/>
          <w:szCs w:val="22"/>
        </w:rPr>
        <w:t xml:space="preserve"> 权力动机（Power Motive）评估为中高程度——党团干事长的主动争取、2024年高票连任的政治资本积累，均显示对政治影响力与制度性权力位置的强烈需求[E-Winter]。</w:t>
      </w:r>
    </w:p>
    <w:p>
      <w:pPr>
        <w:spacing w:after="120" w:line="300"/>
        <w:jc w:val="left"/>
      </w:pPr>
      <w:r>
        <w:rPr>
          <w:rFonts w:ascii="Arial" w:cs="Arial" w:eastAsia="Arial" w:hAnsi="Arial"/>
          <w:sz w:val="22"/>
          <w:szCs w:val="22"/>
        </w:rPr>
        <w:t xml:space="preserve">成就动机（Achievement Motive）评估为中高程度——交通建设成果的持续量化展示、以「全国最高票」为竞选话语，反映出以可测量成绩构建政治认同的成就导向。亲和动机（Affiliation Motive）评估为中等偏低——其政治关系网络以利益协调为主，缺乏深度的情感动员或群众魅力型政治风格。三动机组合（高权力+中高成就+中低亲和）历史上与具有官僚政治倾向的「管理者型」政治人物相关联[E-Winter]。</w:t>
      </w:r>
    </w:p>
    <w:p>
      <w:pPr>
        <w:spacing w:after="160" w:before="300" w:line="320"/>
      </w:pPr>
      <w:r>
        <w:rPr>
          <w:rFonts w:ascii="Arial" w:cs="Arial" w:eastAsia="Arial" w:hAnsi="Arial"/>
          <w:b/>
          <w:bCs/>
          <w:color w:val="2E5090"/>
          <w:sz w:val="28"/>
          <w:szCs w:val="28"/>
        </w:rPr>
        <w:t xml:space="preserve">4.4 Barber人格类型学</w:t>
      </w:r>
    </w:p>
    <w:p>
      <w:pPr>
        <w:spacing w:after="120" w:line="300"/>
        <w:jc w:val="left"/>
      </w:pPr>
      <w:r>
        <w:rPr>
          <w:rFonts w:ascii="Arial" w:cs="Arial" w:eastAsia="Arial" w:hAnsi="Arial"/>
          <w:b/>
          <w:bCs/>
          <w:sz w:val="22"/>
          <w:szCs w:val="22"/>
        </w:rPr>
        <w:t xml:space="preserve">Barber人格类型学分析：</w:t>
      </w:r>
      <w:r>
        <w:rPr>
          <w:rFonts w:ascii="Arial" w:cs="Arial" w:eastAsia="Arial" w:hAnsi="Arial"/>
          <w:sz w:val="22"/>
          <w:szCs w:val="22"/>
        </w:rPr>
        <w:t xml:space="preserve"> 活动度评估为Active（主动型）——主动争取干事长职位、大规模选举动员、多议题问政均体现高活动度。情感基调评估为Positive（积极型）——总体上呈现出在政治工作中获得满足感的特征，危机下的收缩性响应（非攻击性崩溃）也符合此类型的情绪特征。综合判定：</w:t>
      </w:r>
      <w:r>
        <w:rPr>
          <w:rFonts w:ascii="Arial" w:cs="Arial" w:eastAsia="Arial" w:hAnsi="Arial"/>
          <w:b/>
          <w:bCs/>
          <w:sz w:val="22"/>
          <w:szCs w:val="22"/>
        </w:rPr>
        <w:t xml:space="preserve">Active-Positive</w:t>
      </w:r>
      <w:r>
        <w:rPr>
          <w:rFonts w:ascii="Arial" w:cs="Arial" w:eastAsia="Arial" w:hAnsi="Arial"/>
          <w:sz w:val="22"/>
          <w:szCs w:val="22"/>
        </w:rPr>
        <w:t xml:space="preserve">类型，历史上与具有「学习者」特质的改革导向政治人物关联，表现为在挫折中调整而非固执坚守，符合洪孟楷在罢免危机后展现的相对务实应对姿态[E-Barber]。</w:t>
      </w:r>
    </w:p>
    <w:p>
      <w:r>
        <w:br w:type="page"/>
      </w:r>
    </w:p>
    <w:p>
      <w:pPr>
        <w:spacing w:after="200" w:before="400" w:line="360"/>
      </w:pPr>
      <w:r>
        <w:rPr>
          <w:rFonts w:ascii="Arial" w:cs="Arial" w:eastAsia="Arial" w:hAnsi="Arial"/>
          <w:b/>
          <w:bCs/>
          <w:color w:val="1F3864"/>
          <w:sz w:val="32"/>
          <w:szCs w:val="32"/>
        </w:rPr>
        <w:t xml:space="preserve">第五篇　人格特征与认知模式研判</w:t>
      </w:r>
    </w:p>
    <w:p>
      <w:pPr>
        <w:spacing w:after="160" w:before="300" w:line="320"/>
      </w:pPr>
      <w:r>
        <w:rPr>
          <w:rFonts w:ascii="Arial" w:cs="Arial" w:eastAsia="Arial" w:hAnsi="Arial"/>
          <w:b/>
          <w:bCs/>
          <w:color w:val="2E5090"/>
          <w:sz w:val="28"/>
          <w:szCs w:val="28"/>
        </w:rPr>
        <w:t xml:space="preserve">5.1 MBTI四维度判定</w:t>
      </w:r>
    </w:p>
    <w:p>
      <w:pPr>
        <w:spacing w:after="120" w:line="300"/>
        <w:jc w:val="left"/>
      </w:pPr>
      <w:r>
        <w:rPr>
          <w:rFonts w:ascii="Arial" w:cs="Arial" w:eastAsia="Arial" w:hAnsi="Arial"/>
          <w:sz w:val="22"/>
          <w:szCs w:val="22"/>
        </w:rPr>
        <w:t xml:space="preserve">MBTI四维度评估：</w:t>
      </w:r>
      <w:r>
        <w:rPr>
          <w:rFonts w:ascii="Arial" w:cs="Arial" w:eastAsia="Arial" w:hAnsi="Arial"/>
          <w:b/>
          <w:bCs/>
          <w:sz w:val="22"/>
          <w:szCs w:val="22"/>
        </w:rPr>
        <w:t xml:space="preserve">E（外向）vs I（内向）</w:t>
      </w:r>
      <w:r>
        <w:rPr>
          <w:rFonts w:ascii="Arial" w:cs="Arial" w:eastAsia="Arial" w:hAnsi="Arial"/>
          <w:sz w:val="22"/>
          <w:szCs w:val="22"/>
        </w:rPr>
        <w:t xml:space="preserve">——洪孟楷的公开媒体表现、高强度的选区活动、积极的党内职务争取，均强烈指向E（外向）；</w:t>
      </w:r>
      <w:r>
        <w:rPr>
          <w:rFonts w:ascii="Arial" w:cs="Arial" w:eastAsia="Arial" w:hAnsi="Arial"/>
          <w:b/>
          <w:bCs/>
          <w:sz w:val="22"/>
          <w:szCs w:val="22"/>
        </w:rPr>
        <w:t xml:space="preserve">S（感觉）vs N（直觉）</w:t>
      </w:r>
      <w:r>
        <w:rPr>
          <w:rFonts w:ascii="Arial" w:cs="Arial" w:eastAsia="Arial" w:hAnsi="Arial"/>
          <w:sz w:val="22"/>
          <w:szCs w:val="22"/>
        </w:rPr>
        <w:t xml:space="preserve">——以轻轨里程数、得票数等具体数字构建政治话语，反映S（感觉型）的信息处理偏好；</w:t>
      </w:r>
      <w:r>
        <w:rPr>
          <w:rFonts w:ascii="Arial" w:cs="Arial" w:eastAsia="Arial" w:hAnsi="Arial"/>
          <w:b/>
          <w:bCs/>
          <w:sz w:val="22"/>
          <w:szCs w:val="22"/>
        </w:rPr>
        <w:t xml:space="preserve">T（思维）vs F（情感）</w:t>
      </w:r>
      <w:r>
        <w:rPr>
          <w:rFonts w:ascii="Arial" w:cs="Arial" w:eastAsia="Arial" w:hAnsi="Arial"/>
          <w:sz w:val="22"/>
          <w:szCs w:val="22"/>
        </w:rPr>
        <w:t xml:space="preserve">——政策讨论以实用逻辑主导，情感动员较为有限，指向T（思维型）倾向；</w:t>
      </w:r>
      <w:r>
        <w:rPr>
          <w:rFonts w:ascii="Arial" w:cs="Arial" w:eastAsia="Arial" w:hAnsi="Arial"/>
          <w:b/>
          <w:bCs/>
          <w:sz w:val="22"/>
          <w:szCs w:val="22"/>
        </w:rPr>
        <w:t xml:space="preserve">J（判断）vs P（感知）</w:t>
      </w:r>
      <w:r>
        <w:rPr>
          <w:rFonts w:ascii="Arial" w:cs="Arial" w:eastAsia="Arial" w:hAnsi="Arial"/>
          <w:sz w:val="22"/>
          <w:szCs w:val="22"/>
        </w:rPr>
        <w:t xml:space="preserve">——选举工作的系统化规划与固定的话语框架，指向J（判断型）。综合初步判定：</w:t>
      </w:r>
      <w:r>
        <w:rPr>
          <w:rFonts w:ascii="Arial" w:cs="Arial" w:eastAsia="Arial" w:hAnsi="Arial"/>
          <w:b/>
          <w:bCs/>
          <w:sz w:val="22"/>
          <w:szCs w:val="22"/>
        </w:rPr>
        <w:t xml:space="preserve">ESTJ</w:t>
      </w:r>
      <w:r>
        <w:rPr>
          <w:rFonts w:ascii="Arial" w:cs="Arial" w:eastAsia="Arial" w:hAnsi="Arial"/>
          <w:sz w:val="22"/>
          <w:szCs w:val="22"/>
        </w:rPr>
        <w:t xml:space="preserve">[E-MBTI]。</w:t>
      </w:r>
    </w:p>
    <w:p>
      <w:pPr>
        <w:spacing w:after="120" w:line="300"/>
        <w:jc w:val="left"/>
      </w:pPr>
      <w:r>
        <w:rPr>
          <w:rFonts w:ascii="Arial" w:cs="Arial" w:eastAsia="Arial" w:hAnsi="Arial"/>
          <w:sz w:val="22"/>
          <w:szCs w:val="22"/>
        </w:rPr>
        <w:t xml:space="preserve">ESTJ认知特征在洪孟楷身上的具体体现：主导功能Te（外倾思维）——倾向于以外部可见的逻辑框架组织行动，包括选举战略的系统化设计；辅助功能Si（内倾感觉）——依赖过往验证有效的选举方法，重视历史先例与惯例；第三功能Ne（外倾直觉）——偶尔展现议题切换的弹性；劣势功能Fi（内倾情感）——在价值观挑战时（如罢免危机中的道德质疑）可能反应较为迟缓或防御性过强[E-MBTI]。</w:t>
      </w:r>
    </w:p>
    <w:p>
      <w:pPr>
        <w:spacing w:after="160" w:before="300" w:line="320"/>
      </w:pPr>
      <w:r>
        <w:rPr>
          <w:rFonts w:ascii="Arial" w:cs="Arial" w:eastAsia="Arial" w:hAnsi="Arial"/>
          <w:b/>
          <w:bCs/>
          <w:color w:val="2E5090"/>
          <w:sz w:val="28"/>
          <w:szCs w:val="28"/>
        </w:rPr>
        <w:t xml:space="preserve">5.2 认知功能栈分析</w:t>
      </w:r>
    </w:p>
    <w:p>
      <w:pPr>
        <w:spacing w:after="120" w:line="300"/>
        <w:jc w:val="left"/>
      </w:pPr>
      <w:r>
        <w:rPr>
          <w:rFonts w:ascii="Arial" w:cs="Arial" w:eastAsia="Arial" w:hAnsi="Arial"/>
          <w:sz w:val="22"/>
          <w:szCs w:val="22"/>
        </w:rPr>
        <w:t xml:space="preserve">认知功能栈在政治行为中的映射：</w:t>
      </w:r>
      <w:r>
        <w:rPr>
          <w:rFonts w:ascii="Arial" w:cs="Arial" w:eastAsia="Arial" w:hAnsi="Arial"/>
          <w:b/>
          <w:bCs/>
          <w:sz w:val="22"/>
          <w:szCs w:val="22"/>
        </w:rPr>
        <w:t xml:space="preserve">主导功能Te</w:t>
      </w:r>
      <w:r>
        <w:rPr>
          <w:rFonts w:ascii="Arial" w:cs="Arial" w:eastAsia="Arial" w:hAnsi="Arial"/>
          <w:sz w:val="22"/>
          <w:szCs w:val="22"/>
        </w:rPr>
        <w:t xml:space="preserve">驱动其对可量化政策成果的追求（轻轨建设、得票数）；</w:t>
      </w:r>
      <w:r>
        <w:rPr>
          <w:rFonts w:ascii="Arial" w:cs="Arial" w:eastAsia="Arial" w:hAnsi="Arial"/>
          <w:b/>
          <w:bCs/>
          <w:sz w:val="22"/>
          <w:szCs w:val="22"/>
        </w:rPr>
        <w:t xml:space="preserve">辅助功能Si</w:t>
      </w:r>
      <w:r>
        <w:rPr>
          <w:rFonts w:ascii="Arial" w:cs="Arial" w:eastAsia="Arial" w:hAnsi="Arial"/>
          <w:sz w:val="22"/>
          <w:szCs w:val="22"/>
        </w:rPr>
        <w:t xml:space="preserve">解释其对既有选区经营模式的高度依赖，以及面对新型政治攻击（罢免运动）时适应迟缓的倾向；</w:t>
      </w:r>
      <w:r>
        <w:rPr>
          <w:rFonts w:ascii="Arial" w:cs="Arial" w:eastAsia="Arial" w:hAnsi="Arial"/>
          <w:b/>
          <w:bCs/>
          <w:sz w:val="22"/>
          <w:szCs w:val="22"/>
        </w:rPr>
        <w:t xml:space="preserve">劣势功能Fi</w:t>
      </w:r>
      <w:r>
        <w:rPr>
          <w:rFonts w:ascii="Arial" w:cs="Arial" w:eastAsia="Arial" w:hAnsi="Arial"/>
          <w:sz w:val="22"/>
          <w:szCs w:val="22"/>
        </w:rPr>
        <w:t xml:space="preserve">的弱点体现于：当价值观与立场层面受到公开质疑时（家族统派背景、陆配投票），其内部整合与公开回应的能力较弱，易陷入防御性叙事框架[E-MBTI]。</w:t>
      </w:r>
    </w:p>
    <w:p>
      <w:pPr>
        <w:spacing w:after="160" w:before="300" w:line="320"/>
      </w:pPr>
      <w:r>
        <w:rPr>
          <w:rFonts w:ascii="Arial" w:cs="Arial" w:eastAsia="Arial" w:hAnsi="Arial"/>
          <w:b/>
          <w:bCs/>
          <w:color w:val="2E5090"/>
          <w:sz w:val="28"/>
          <w:szCs w:val="28"/>
        </w:rPr>
        <w:t xml:space="preserve">5.3 压力反应预测（Grip Theory）</w:t>
      </w:r>
    </w:p>
    <w:p>
      <w:pPr>
        <w:spacing w:after="120" w:line="300"/>
        <w:jc w:val="left"/>
      </w:pPr>
      <w:r>
        <w:rPr>
          <w:rFonts w:ascii="Arial" w:cs="Arial" w:eastAsia="Arial" w:hAnsi="Arial"/>
          <w:b/>
          <w:bCs/>
          <w:sz w:val="22"/>
          <w:szCs w:val="22"/>
        </w:rPr>
        <w:t xml:space="preserve">Grip Theory压力预测（基于ESTJ）</w:t>
      </w:r>
      <w:r>
        <w:rPr>
          <w:rFonts w:ascii="Arial" w:cs="Arial" w:eastAsia="Arial" w:hAnsi="Arial"/>
          <w:sz w:val="22"/>
          <w:szCs w:val="22"/>
        </w:rPr>
        <w:t xml:space="preserve">：ESTJ型在极端压力下（如罢免危机）可能触发劣势功能Fi（内倾情感）的异常激活，表现为：过度个人化地感知政治攻击、决策中偶发的情绪化反应替代惯常的逻辑分析。2025年罢免期间洪孟楷对「亲中」指控的防御性应对，部分符合此预测模式。恢复路径：回归Te主导的具体成果展示与逻辑反驳，而非情感性对抗[E-MBTI]。</w:t>
      </w:r>
    </w:p>
    <w:p>
      <w:pPr>
        <w:spacing w:after="160" w:before="300" w:line="320"/>
      </w:pPr>
      <w:r>
        <w:rPr>
          <w:rFonts w:ascii="Arial" w:cs="Arial" w:eastAsia="Arial" w:hAnsi="Arial"/>
          <w:b/>
          <w:bCs/>
          <w:color w:val="2E5090"/>
          <w:sz w:val="28"/>
          <w:szCs w:val="28"/>
        </w:rPr>
        <w:t xml:space="preserve">5.4 五框架交叉验证综合画像</w:t>
      </w:r>
    </w:p>
    <w:p>
      <w:pPr>
        <w:spacing w:after="120" w:before="200" w:line="300"/>
      </w:pPr>
      <w:r>
        <w:rPr>
          <w:rFonts w:ascii="Arial" w:cs="Arial" w:eastAsia="Arial" w:hAnsi="Arial"/>
          <w:b/>
          <w:bCs/>
          <w:color w:val="3D6DAE"/>
          <w:sz w:val="24"/>
          <w:szCs w:val="24"/>
        </w:rPr>
        <w:t xml:space="preserve">C.6.3 交叉验证矩阵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MBTI维度</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Hermann对应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Winter对应</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Barber对应</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一致性</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E（外向）</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SC=5(中高)/TASK=5(中高)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中高权力动机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高度一致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S（感觉）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CC=4(中等)</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中高成就动机(量化)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T（思维）</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TASK=5(偏高)</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中等权力结合</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w:t>
            </w:r>
          </w:p>
        </w:tc>
      </w:tr>
      <w:tr>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J（判断）</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BACE=4(中等)偏刚硬</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成就驱动强</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Active-Positive</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一致</w:t>
            </w:r>
          </w:p>
        </w:tc>
      </w:tr>
    </w:tbl>
    <w:p>
      <w:pPr>
        <w:spacing w:after="120"/>
      </w:pPr>
      <w:r>
        <w:t xml:space="preserve"/>
      </w:r>
    </w:p>
    <w:p>
      <w:pPr>
        <w:spacing w:after="120" w:line="300"/>
        <w:jc w:val="left"/>
      </w:pPr>
      <w:r>
        <w:rPr>
          <w:rFonts w:ascii="Arial" w:cs="Arial" w:eastAsia="Arial" w:hAnsi="Arial"/>
          <w:sz w:val="22"/>
          <w:szCs w:val="22"/>
        </w:rPr>
        <w:t xml:space="preserve">五框架交叉验证结论：四框架（Hermann、George、Winter、Barber）与MBTI在核心特质判断上呈现高度一致性——均指向一个「目标明确、行动主动、依赖既有框架、价值观整合能力偏弱」的政治人物类型。主要矛盾点在于：CC(4)中等与MBTI-S的组合在复杂政治情境（如多维度危机管理）中的适配性存疑；高权力动机与中低亲和动机的组合，可能导致其在需要广泛社会动员时显露结构性缺陷[E-Composite]。</w:t>
      </w:r>
    </w:p>
    <w:p>
      <w:r>
        <w:br w:type="page"/>
      </w:r>
    </w:p>
    <w:p>
      <w:pPr>
        <w:spacing w:after="200" w:before="400" w:line="360"/>
      </w:pPr>
      <w:r>
        <w:rPr>
          <w:rFonts w:ascii="Arial" w:cs="Arial" w:eastAsia="Arial" w:hAnsi="Arial"/>
          <w:b/>
          <w:bCs/>
          <w:color w:val="1F3864"/>
          <w:sz w:val="32"/>
          <w:szCs w:val="32"/>
        </w:rPr>
        <w:t xml:space="preserve">第六篇　综合研判与前瞻推演</w:t>
      </w:r>
    </w:p>
    <w:p>
      <w:pPr>
        <w:spacing w:after="160" w:before="300" w:line="320"/>
      </w:pPr>
      <w:r>
        <w:rPr>
          <w:rFonts w:ascii="Arial" w:cs="Arial" w:eastAsia="Arial" w:hAnsi="Arial"/>
          <w:b/>
          <w:bCs/>
          <w:color w:val="2E5090"/>
          <w:sz w:val="28"/>
          <w:szCs w:val="28"/>
        </w:rPr>
        <w:t xml:space="preserve">6.1 政治人物类型判断</w:t>
      </w:r>
    </w:p>
    <w:p>
      <w:pPr>
        <w:spacing w:after="120" w:line="300"/>
        <w:jc w:val="left"/>
      </w:pPr>
      <w:r>
        <w:rPr>
          <w:rFonts w:ascii="Arial" w:cs="Arial" w:eastAsia="Arial" w:hAnsi="Arial"/>
          <w:sz w:val="22"/>
          <w:szCs w:val="22"/>
        </w:rPr>
        <w:t xml:space="preserve">洪孟楷属于「技术官僚型政党干部」政治人物类型——以具体政策专长（交通）构建选举品牌，以党内职务积累为晋升路径，以系统化的选区经营维持基本盘。其核心竞争力在于高效的选举动员机制与精准的受众定位，而非思想领袖型的意识形态感召力[E-Composite]。</w:t>
      </w:r>
    </w:p>
    <w:p>
      <w:pPr>
        <w:spacing w:after="160" w:before="300" w:line="320"/>
      </w:pPr>
      <w:r>
        <w:rPr>
          <w:rFonts w:ascii="Arial" w:cs="Arial" w:eastAsia="Arial" w:hAnsi="Arial"/>
          <w:b/>
          <w:bCs/>
          <w:color w:val="2E5090"/>
          <w:sz w:val="28"/>
          <w:szCs w:val="28"/>
        </w:rPr>
        <w:t xml:space="preserve">6.2 风险等级判断</w:t>
      </w:r>
    </w:p>
    <w:p>
      <w:pPr>
        <w:spacing w:after="120" w:line="300"/>
        <w:jc w:val="left"/>
      </w:pPr>
      <w:r>
        <w:rPr>
          <w:rFonts w:ascii="Arial" w:cs="Arial" w:eastAsia="Arial" w:hAnsi="Arial"/>
          <w:sz w:val="22"/>
          <w:szCs w:val="22"/>
        </w:rPr>
        <w:t xml:space="preserve">当前风险等级评估：</w:t>
      </w:r>
      <w:r>
        <w:rPr>
          <w:rFonts w:ascii="Arial" w:cs="Arial" w:eastAsia="Arial" w:hAnsi="Arial"/>
          <w:b/>
          <w:bCs/>
          <w:sz w:val="22"/>
          <w:szCs w:val="22"/>
        </w:rPr>
        <w:t xml:space="preserve">中高（Medium-High）</w:t>
      </w:r>
      <w:r>
        <w:rPr>
          <w:rFonts w:ascii="Arial" w:cs="Arial" w:eastAsia="Arial" w:hAnsi="Arial"/>
          <w:sz w:val="22"/>
          <w:szCs w:val="22"/>
        </w:rPr>
        <w:t xml:space="preserve">。主要风险来源：①选区人口结构持续绿化的结构性侵蚀；②2025年罢免运动造成的支持基盘萎缩（损失约23%的2024选票）；③家族统派背景与陆配政策立场成为持续可操作的政治攻击点；④党内派系依附（侯友宜系）的对应风险——若侯友宜政治地位下降，洪的庇护伞同步弱化[E级综合]。</w:t>
      </w:r>
    </w:p>
    <w:p>
      <w:pPr>
        <w:spacing w:after="160" w:before="300" w:line="320"/>
      </w:pPr>
      <w:r>
        <w:rPr>
          <w:rFonts w:ascii="Arial" w:cs="Arial" w:eastAsia="Arial" w:hAnsi="Arial"/>
          <w:b/>
          <w:bCs/>
          <w:color w:val="2E5090"/>
          <w:sz w:val="28"/>
          <w:szCs w:val="28"/>
        </w:rPr>
        <w:t xml:space="preserve">6.3 对区域关系的影响</w:t>
      </w:r>
    </w:p>
    <w:p>
      <w:pPr>
        <w:spacing w:after="120" w:line="300"/>
        <w:jc w:val="left"/>
      </w:pPr>
      <w:r>
        <w:rPr>
          <w:rFonts w:ascii="Arial" w:cs="Arial" w:eastAsia="Arial" w:hAnsi="Arial"/>
          <w:sz w:val="22"/>
          <w:szCs w:val="22"/>
        </w:rPr>
        <w:t xml:space="preserve">区域影响层面，洪孟楷作为新北市第一选区的代表，其政治立场主要在新台湾西北走廊（淡水、林口等）的地方政治生态中发挥作用，区域辐射范围相对有限。对两岸关系的影响以象征性功能为主，实质性政策推动力受限于其个人政治资本的量级[E级推断]。</w:t>
      </w:r>
    </w:p>
    <w:p>
      <w:pPr>
        <w:spacing w:after="160" w:before="300" w:line="320"/>
      </w:pPr>
      <w:r>
        <w:rPr>
          <w:rFonts w:ascii="Arial" w:cs="Arial" w:eastAsia="Arial" w:hAnsi="Arial"/>
          <w:b/>
          <w:bCs/>
          <w:color w:val="2E5090"/>
          <w:sz w:val="28"/>
          <w:szCs w:val="28"/>
        </w:rPr>
        <w:t xml:space="preserve">6.4 多情景前瞻推演</w:t>
      </w:r>
    </w:p>
    <w:p>
      <w:pPr>
        <w:spacing w:after="120" w:before="200" w:line="300"/>
      </w:pPr>
      <w:r>
        <w:rPr>
          <w:rFonts w:ascii="Arial" w:cs="Arial" w:eastAsia="Arial" w:hAnsi="Arial"/>
          <w:b/>
          <w:bCs/>
          <w:color w:val="3D6DAE"/>
          <w:sz w:val="24"/>
          <w:szCs w:val="24"/>
        </w:rPr>
        <w:t xml:space="preserve">情景A：2026年新北市选举版图重组</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2026年九合一选举接近，新北市长选举带动各选区选情联动</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高（85%以上）——选举为必然事件</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若民进党于新北市选情升温，洪孟楷将面临比2024年更具竞争性的选区挑战，其得票可能回落至130,000-140,000区间，仍有望保住席次但边际缩小</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洪孟楷的政治生存将愈加依赖国民党整体选情，个人品牌独立性不足的弱点将更加凸显</w:t>
      </w:r>
    </w:p>
    <w:p>
      <w:pPr>
        <w:spacing w:after="120"/>
      </w:pPr>
      <w:r>
        <w:t xml:space="preserve"/>
      </w:r>
    </w:p>
    <w:p>
      <w:pPr>
        <w:spacing w:after="120" w:before="200" w:line="300"/>
      </w:pPr>
      <w:r>
        <w:rPr>
          <w:rFonts w:ascii="Arial" w:cs="Arial" w:eastAsia="Arial" w:hAnsi="Arial"/>
          <w:b/>
          <w:bCs/>
          <w:color w:val="3D6DAE"/>
          <w:sz w:val="24"/>
          <w:szCs w:val="24"/>
        </w:rPr>
        <w:t xml:space="preserve">情景B：两岸关系激化情境</w:t>
      </w:r>
    </w:p>
    <w:p>
      <w:pPr>
        <w:spacing w:after="120" w:line="300"/>
        <w:jc w:val="left"/>
      </w:pPr>
      <w:r>
        <w:rPr>
          <w:rFonts w:ascii="Arial" w:cs="Arial" w:eastAsia="Arial" w:hAnsi="Arial"/>
          <w:b/>
          <w:bCs/>
          <w:sz w:val="22"/>
          <w:szCs w:val="22"/>
        </w:rPr>
        <w:t xml:space="preserve">触发条件：</w:t>
      </w:r>
      <w:r>
        <w:rPr>
          <w:rFonts w:ascii="Arial" w:cs="Arial" w:eastAsia="Arial" w:hAnsi="Arial"/>
          <w:sz w:val="22"/>
          <w:szCs w:val="22"/>
        </w:rPr>
        <w:t xml:space="preserve">2026-2027年台海紧张态势显著上升，北京对台施压加剧</w:t>
      </w:r>
    </w:p>
    <w:p>
      <w:pPr>
        <w:spacing w:after="120" w:line="300"/>
        <w:jc w:val="left"/>
      </w:pPr>
      <w:r>
        <w:rPr>
          <w:rFonts w:ascii="Arial" w:cs="Arial" w:eastAsia="Arial" w:hAnsi="Arial"/>
          <w:b/>
          <w:bCs/>
          <w:sz w:val="22"/>
          <w:szCs w:val="22"/>
        </w:rPr>
        <w:t xml:space="preserve">概率评估：</w:t>
      </w:r>
      <w:r>
        <w:rPr>
          <w:rFonts w:ascii="Arial" w:cs="Arial" w:eastAsia="Arial" w:hAnsi="Arial"/>
          <w:sz w:val="22"/>
          <w:szCs w:val="22"/>
        </w:rPr>
        <w:t xml:space="preserve">中等（40-50%）</w:t>
      </w:r>
    </w:p>
    <w:p>
      <w:pPr>
        <w:spacing w:after="120" w:line="300"/>
        <w:jc w:val="left"/>
      </w:pPr>
      <w:r>
        <w:rPr>
          <w:rFonts w:ascii="Arial" w:cs="Arial" w:eastAsia="Arial" w:hAnsi="Arial"/>
          <w:b/>
          <w:bCs/>
          <w:sz w:val="22"/>
          <w:szCs w:val="22"/>
        </w:rPr>
        <w:t xml:space="preserve">预测行为：</w:t>
      </w:r>
      <w:r>
        <w:rPr>
          <w:rFonts w:ascii="Arial" w:cs="Arial" w:eastAsia="Arial" w:hAnsi="Arial"/>
          <w:sz w:val="22"/>
          <w:szCs w:val="22"/>
        </w:rPr>
        <w:t xml:space="preserve">洪孟楷将站队国民党主流立场，持续推动两岸对话，可能在选区获得部分和平优先选民支持，但同步面临「亲中」标签强化风险</w:t>
      </w:r>
    </w:p>
    <w:p>
      <w:pPr>
        <w:spacing w:after="120" w:line="300"/>
        <w:jc w:val="left"/>
      </w:pPr>
      <w:r>
        <w:rPr>
          <w:rFonts w:ascii="Arial" w:cs="Arial" w:eastAsia="Arial" w:hAnsi="Arial"/>
          <w:b/>
          <w:bCs/>
          <w:sz w:val="22"/>
          <w:szCs w:val="22"/>
        </w:rPr>
        <w:t xml:space="preserve">战略含义：</w:t>
      </w:r>
      <w:r>
        <w:rPr>
          <w:rFonts w:ascii="Arial" w:cs="Arial" w:eastAsia="Arial" w:hAnsi="Arial"/>
          <w:sz w:val="22"/>
          <w:szCs w:val="22"/>
        </w:rPr>
        <w:t xml:space="preserve">在安全议题主导的政治环境下，其务实交流立场可能出现选票双向分流效应</w:t>
      </w:r>
    </w:p>
    <w:p>
      <w:pPr>
        <w:spacing w:after="120"/>
      </w:pPr>
      <w:r>
        <w:t xml:space="preserve"/>
      </w:r>
    </w:p>
    <w:p>
      <w:pPr>
        <w:spacing w:after="160" w:before="300" w:line="320"/>
      </w:pPr>
      <w:r>
        <w:rPr>
          <w:rFonts w:ascii="Arial" w:cs="Arial" w:eastAsia="Arial" w:hAnsi="Arial"/>
          <w:b/>
          <w:bCs/>
          <w:color w:val="2E5090"/>
          <w:sz w:val="28"/>
          <w:szCs w:val="28"/>
        </w:rPr>
        <w:t xml:space="preserve">6.5 个人发展前景</w:t>
      </w:r>
    </w:p>
    <w:p>
      <w:pPr>
        <w:spacing w:after="120" w:line="300"/>
        <w:jc w:val="left"/>
      </w:pPr>
      <w:r>
        <w:rPr>
          <w:rFonts w:ascii="Arial" w:cs="Arial" w:eastAsia="Arial" w:hAnsi="Arial"/>
          <w:sz w:val="22"/>
          <w:szCs w:val="22"/>
        </w:rPr>
        <w:t xml:space="preserve">中短期（2026-2028年）：洪孟楷的主要政治任务是成功抵御罢免后的信心危机，并在2028年立委选举中守住新北一区席次。晋升路径上，2028年前无明显迹象显示其具备角逐更高位阶（直辖市长、党主席）的条件，最可能的发展是在立法院深耕专业形象，积累更完整的国会历练[E级推断]。</w:t>
      </w:r>
    </w:p>
    <w:p>
      <w:pPr>
        <w:spacing w:after="120" w:line="300"/>
        <w:jc w:val="left"/>
      </w:pPr>
      <w:r>
        <w:rPr>
          <w:rFonts w:ascii="Arial" w:cs="Arial" w:eastAsia="Arial" w:hAnsi="Arial"/>
          <w:sz w:val="22"/>
          <w:szCs w:val="22"/>
        </w:rPr>
        <w:t xml:space="preserve">中长期（2028年后）：若能连任第12届立委，洪孟楷有机会尝试2030年新北市议员以外的区域性政治职务，或在党内积累足够的政治资本后争取不分区立委资格。然其政治天花板受制于强烈的党系依附与有限的个人魅力，难以形成跨越蓝绿的全国性政治号召力[E级推断]。</w:t>
      </w:r>
    </w:p>
    <w:p>
      <w:pPr>
        <w:spacing w:after="160" w:before="300" w:line="320"/>
      </w:pPr>
      <w:r>
        <w:rPr>
          <w:rFonts w:ascii="Arial" w:cs="Arial" w:eastAsia="Arial" w:hAnsi="Arial"/>
          <w:b/>
          <w:bCs/>
          <w:color w:val="2E5090"/>
          <w:sz w:val="28"/>
          <w:szCs w:val="28"/>
        </w:rPr>
        <w:t xml:space="preserve">6.6 重点跟踪建议</w:t>
      </w:r>
    </w:p>
    <w:p>
      <w:pPr>
        <w:spacing w:after="120" w:line="300"/>
        <w:jc w:val="left"/>
      </w:pPr>
      <w:r>
        <w:rPr>
          <w:rFonts w:ascii="Arial" w:cs="Arial" w:eastAsia="Arial" w:hAnsi="Arial"/>
          <w:sz w:val="22"/>
          <w:szCs w:val="22"/>
        </w:rPr>
        <w:t xml:space="preserve">重点跟踪建议：①监测其在2026九合一选举前的立法院问政风格是否出现调整（更贴近本选区民意或进一步强化党团立场）；②追踪其与侯友宜政治关系的演变，侯政治命运直接影响洪的庇护网络稳定性；③关注其家族两岸业务指控的后续法律与媒体走向，此风险若持续发酵可能成为2028选举前的关键议题。</w:t>
      </w:r>
    </w:p>
    <w:p>
      <w:pPr>
        <w:spacing w:after="160" w:before="300" w:line="320"/>
      </w:pPr>
      <w:r>
        <w:rPr>
          <w:rFonts w:ascii="Arial" w:cs="Arial" w:eastAsia="Arial" w:hAnsi="Arial"/>
          <w:b/>
          <w:bCs/>
          <w:color w:val="2E5090"/>
          <w:sz w:val="28"/>
          <w:szCs w:val="28"/>
        </w:rPr>
        <w:t xml:space="preserve">6.7 家族财务与利益冲突评估</w:t>
      </w:r>
    </w:p>
    <w:p>
      <w:pPr>
        <w:spacing w:after="120" w:line="300"/>
        <w:jc w:val="left"/>
      </w:pPr>
      <w:r>
        <w:rPr>
          <w:rFonts w:ascii="Arial" w:cs="Arial" w:eastAsia="Arial" w:hAnsi="Arial"/>
          <w:sz w:val="22"/>
          <w:szCs w:val="22"/>
        </w:rPr>
        <w:t xml:space="preserve">财产申报公开资料显示，洪孟楷持有中等规模的不动产与金融资产，尚无超出正常政治人物范围的财富异常迹象[B级来源]。</w:t>
      </w:r>
    </w:p>
    <w:p>
      <w:pPr>
        <w:spacing w:after="120" w:line="300"/>
        <w:jc w:val="left"/>
      </w:pPr>
      <w:r>
        <w:rPr>
          <w:rFonts w:ascii="Arial" w:cs="Arial" w:eastAsia="Arial" w:hAnsi="Arial"/>
          <w:sz w:val="22"/>
          <w:szCs w:val="22"/>
        </w:rPr>
        <w:t xml:space="preserve">主要财务风险来源于家族关联：民进党何博文的指控涉及其父担任统战组织职务并持有两岸业务相关投资，若此连结得到核实，将对洪构成利益冲突的政治打击。目前该指控仍处于政治攻防层面，未进入司法程序[C级来源]。</w:t>
      </w:r>
    </w:p>
    <w:p>
      <w:pPr>
        <w:spacing w:after="160" w:before="300" w:line="320"/>
      </w:pPr>
      <w:r>
        <w:rPr>
          <w:rFonts w:ascii="Arial" w:cs="Arial" w:eastAsia="Arial" w:hAnsi="Arial"/>
          <w:b/>
          <w:bCs/>
          <w:color w:val="2E5090"/>
          <w:sz w:val="28"/>
          <w:szCs w:val="28"/>
        </w:rPr>
        <w:t xml:space="preserve">6.8 争议与法律风险矩阵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争议事项</w:t>
            </w:r>
          </w:p>
        </w:tc>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性质</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风险等级</w:t>
            </w:r>
          </w:p>
        </w:tc>
        <w:tc>
          <w:tcPr>
            <w:tcW w:type="dxa" w:w="3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处置结果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家族统战组织关联指控</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政治攻防/利益冲突嫌疑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政治指控层面，未进入司法程序</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陆配身份证年限缩短投票</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立法争议/选民反弹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成罢免运动核心攻击点</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东京棒球赛出行争议</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双重标准指控</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媒体曝光后网络批评，无法律后果</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立法院肢体冲突指控</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国会纪律争议</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未达法律追诉层级</w:t>
            </w:r>
          </w:p>
        </w:tc>
      </w:tr>
      <w:tr>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罢免运动</w:t>
            </w:r>
          </w:p>
        </w:tc>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政治合法性挑战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门槛未过，但票数大幅流失</w:t>
            </w:r>
          </w:p>
        </w:tc>
      </w:tr>
    </w:tbl>
    <w:p>
      <w:pPr>
        <w:spacing w:after="120"/>
      </w:pPr>
      <w:r>
        <w:t xml:space="preserve"/>
      </w:r>
    </w:p>
    <w:p>
      <w:pPr>
        <w:spacing w:after="160" w:before="300" w:line="320"/>
      </w:pPr>
      <w:r>
        <w:rPr>
          <w:rFonts w:ascii="Arial" w:cs="Arial" w:eastAsia="Arial" w:hAnsi="Arial"/>
          <w:b/>
          <w:bCs/>
          <w:color w:val="2E5090"/>
          <w:sz w:val="28"/>
          <w:szCs w:val="28"/>
        </w:rPr>
        <w:t xml:space="preserve">6.9 媒体叙事与公众认知分析</w:t>
      </w:r>
    </w:p>
    <w:p>
      <w:pPr>
        <w:spacing w:after="120" w:line="300"/>
        <w:jc w:val="left"/>
      </w:pPr>
      <w:r>
        <w:rPr>
          <w:rFonts w:ascii="Arial" w:cs="Arial" w:eastAsia="Arial" w:hAnsi="Arial"/>
          <w:sz w:val="22"/>
          <w:szCs w:val="22"/>
        </w:rPr>
        <w:t xml:space="preserve">媒体叙事层面，洪孟楷经历了从「国民党青壮代之星」到「罢免风波中的争议立委」的形象转变。2024年全国最高票的荣耀使其成为主流媒体政治版的常规焦点，但2025年罢免运动将媒体框架从「选举神话」切换为「政治立场质疑」，聚焦家族背景、陆配政策投票等敏感议题[B级来源]。</w:t>
      </w:r>
    </w:p>
    <w:p>
      <w:pPr>
        <w:spacing w:after="120" w:line="300"/>
        <w:jc w:val="left"/>
      </w:pPr>
      <w:r>
        <w:rPr>
          <w:rFonts w:ascii="Arial" w:cs="Arial" w:eastAsia="Arial" w:hAnsi="Arial"/>
          <w:sz w:val="22"/>
          <w:szCs w:val="22"/>
        </w:rPr>
        <w:t xml:space="preserve">跨媒体叙事特征：亲国民党媒体（中时、联合）着重呈现其交通政策成果与罢免运动的程序瑕疵；亲民进党媒体（自由时报）则聚焦其亲中立场与家族统战关联疑云。两组叙事的持续对立，使洪孟楷成为台湾蓝绿对抗在新北市的具体化符号[B级来源]。</w:t>
      </w:r>
    </w:p>
    <w:p>
      <w:r>
        <w:br w:type="page"/>
      </w:r>
    </w:p>
    <w:p>
      <w:pPr>
        <w:spacing w:after="200" w:before="400" w:line="360"/>
      </w:pPr>
      <w:r>
        <w:rPr>
          <w:rFonts w:ascii="Arial" w:cs="Arial" w:eastAsia="Arial" w:hAnsi="Arial"/>
          <w:b/>
          <w:bCs/>
          <w:color w:val="1F3864"/>
          <w:sz w:val="32"/>
          <w:szCs w:val="32"/>
        </w:rPr>
        <w:t xml:space="preserve">第七篇　分析局限性与方法论声明</w:t>
      </w:r>
    </w:p>
    <w:p>
      <w:pPr>
        <w:spacing w:after="160" w:before="300" w:line="320"/>
      </w:pPr>
      <w:r>
        <w:rPr>
          <w:rFonts w:ascii="Arial" w:cs="Arial" w:eastAsia="Arial" w:hAnsi="Arial"/>
          <w:b/>
          <w:bCs/>
          <w:color w:val="2E5090"/>
          <w:sz w:val="28"/>
          <w:szCs w:val="28"/>
        </w:rPr>
        <w:t xml:space="preserve">7.1 信息来源局限性</w:t>
      </w:r>
    </w:p>
    <w:p>
      <w:pPr>
        <w:spacing w:after="120" w:line="300"/>
        <w:jc w:val="left"/>
      </w:pPr>
      <w:r>
        <w:rPr>
          <w:rFonts w:ascii="Arial" w:cs="Arial" w:eastAsia="Arial" w:hAnsi="Arial"/>
          <w:sz w:val="22"/>
          <w:szCs w:val="22"/>
        </w:rPr>
        <w:t xml:space="preserve">本报告主要依赖台湾主流媒体（A/B级）、官方选举数据及立法院公开记录，受制于开源情报固有局限，无法获取洪孟楷的内部决策文件、私人通讯记录及保密外交档案。部分动机判断基于行为推断，存在一定主观性误差，应与其他情报来源交叉验证后使用。</w:t>
      </w:r>
    </w:p>
    <w:p>
      <w:pPr>
        <w:spacing w:after="160" w:before="300" w:line="320"/>
      </w:pPr>
      <w:r>
        <w:rPr>
          <w:rFonts w:ascii="Arial" w:cs="Arial" w:eastAsia="Arial" w:hAnsi="Arial"/>
          <w:b/>
          <w:bCs/>
          <w:color w:val="2E5090"/>
          <w:sz w:val="28"/>
          <w:szCs w:val="28"/>
        </w:rPr>
        <w:t xml:space="preserve">7.2 行为建模不确定性</w:t>
      </w:r>
    </w:p>
    <w:p>
      <w:pPr>
        <w:spacing w:after="120" w:line="300"/>
        <w:jc w:val="left"/>
      </w:pPr>
      <w:r>
        <w:rPr>
          <w:rFonts w:ascii="Arial" w:cs="Arial" w:eastAsia="Arial" w:hAnsi="Arial"/>
          <w:sz w:val="22"/>
          <w:szCs w:val="22"/>
        </w:rPr>
        <w:t xml:space="preserve">Hermann LTA、George操作码、Winter动机编码三框架均基于公开言论与可观察行为进行评估，无法测量内在心理过程。MBTI类型判定存在±1维度的不确定性，特别是I/E、S/N维度在政治人物的公开表现中常呈现非典型特征。所有行为预测均为概率性判断，非确定性结论，实际行为可能因情境因素、随机事件或政治压力而偏离模型预测。</w:t>
      </w:r>
    </w:p>
    <w:p>
      <w:pPr>
        <w:spacing w:after="160" w:before="300" w:line="320"/>
      </w:pPr>
      <w:r>
        <w:rPr>
          <w:rFonts w:ascii="Arial" w:cs="Arial" w:eastAsia="Arial" w:hAnsi="Arial"/>
          <w:b/>
          <w:bCs/>
          <w:color w:val="2E5090"/>
          <w:sz w:val="28"/>
          <w:szCs w:val="28"/>
        </w:rPr>
        <w:t xml:space="preserve">7.3 立场演变监测局限</w:t>
      </w:r>
    </w:p>
    <w:p>
      <w:pPr>
        <w:spacing w:after="120" w:line="300"/>
        <w:jc w:val="left"/>
      </w:pPr>
      <w:r>
        <w:rPr>
          <w:rFonts w:ascii="Arial" w:cs="Arial" w:eastAsia="Arial" w:hAnsi="Arial"/>
          <w:sz w:val="22"/>
          <w:szCs w:val="22"/>
        </w:rPr>
        <w:t xml:space="preserve">政治人物的立场可在特定事件触发下产生快速非线性演变，P0-P5时间框架仅能捕捉历史轨迹，对洪孟楷未来立场变化的预测依赖于当前趋势的延续性假设。若出现重大政治危机或个人事件，本报告各项评估均需及时更新校正。</w:t>
      </w:r>
    </w:p>
    <w:p>
      <w:pPr>
        <w:spacing w:after="160" w:before="300" w:line="320"/>
      </w:pPr>
      <w:r>
        <w:rPr>
          <w:rFonts w:ascii="Arial" w:cs="Arial" w:eastAsia="Arial" w:hAnsi="Arial"/>
          <w:b/>
          <w:bCs/>
          <w:color w:val="2E5090"/>
          <w:sz w:val="28"/>
          <w:szCs w:val="28"/>
        </w:rPr>
        <w:t xml:space="preserve">7.4 两岸关系分析局限</w:t>
      </w:r>
    </w:p>
    <w:p>
      <w:pPr>
        <w:spacing w:after="120" w:line="300"/>
        <w:jc w:val="left"/>
      </w:pPr>
      <w:r>
        <w:rPr>
          <w:rFonts w:ascii="Arial" w:cs="Arial" w:eastAsia="Arial" w:hAnsi="Arial"/>
          <w:sz w:val="22"/>
          <w:szCs w:val="22"/>
        </w:rPr>
        <w:t xml:space="preserve">两岸议题涉及高度敏感的政治判断与战略利益，当事人公开表态与实际立场之间可能存在策略性差距。本报告两岸部分主要基于公开言论，对于未公开的幕后立场与非正式渠道沟通无法评估，请研究者参阅更广泛的政策分析文献。</w:t>
      </w:r>
    </w:p>
    <w:p>
      <w:pPr>
        <w:spacing w:after="160" w:before="300" w:line="320"/>
      </w:pPr>
      <w:r>
        <w:rPr>
          <w:rFonts w:ascii="Arial" w:cs="Arial" w:eastAsia="Arial" w:hAnsi="Arial"/>
          <w:b/>
          <w:bCs/>
          <w:color w:val="2E5090"/>
          <w:sz w:val="28"/>
          <w:szCs w:val="28"/>
        </w:rPr>
        <w:t xml:space="preserve">7.5 财务与利益冲突信息局限</w:t>
      </w:r>
    </w:p>
    <w:p>
      <w:pPr>
        <w:spacing w:after="120" w:line="300"/>
        <w:jc w:val="left"/>
      </w:pPr>
      <w:r>
        <w:rPr>
          <w:rFonts w:ascii="Arial" w:cs="Arial" w:eastAsia="Arial" w:hAnsi="Arial"/>
          <w:sz w:val="22"/>
          <w:szCs w:val="22"/>
        </w:rPr>
        <w:t xml:space="preserve">台湾公职人员财产申报信息虽属公开，但申报精度与及时性存在局限。家族企业、投资关系及政治献金的完整图谱超出本报告开源分析范畴，相关评估属于推断性质，不构成法律认定。</w:t>
      </w:r>
    </w:p>
    <w:p>
      <w:pPr>
        <w:spacing w:after="160" w:before="300" w:line="320"/>
      </w:pPr>
      <w:r>
        <w:rPr>
          <w:rFonts w:ascii="Arial" w:cs="Arial" w:eastAsia="Arial" w:hAnsi="Arial"/>
          <w:b/>
          <w:bCs/>
          <w:color w:val="2E5090"/>
          <w:sz w:val="28"/>
          <w:szCs w:val="28"/>
        </w:rPr>
        <w:t xml:space="preserve">7.6 V6信息完整性与全景性声明（B.0模块覆盖自检）</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模块编号</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模块名称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覆盖状态</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主要来源</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2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缺口说明</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身份与履历基础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A级官方+B级媒体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政治生涯与党派动态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A级选举数据+B级媒体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核心价值与宪政立场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B/C级来源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内心价值深度有限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内政政策立场（25子领域）</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B级媒体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多数领域无独立立场</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国防外交定位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初步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C级推断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缺乏独立政策发言</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立法与治理绩效</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B级媒体+公民团体</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M7</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选举与竞选分析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A级选举数据</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M8</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权力网络</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部分关系难以核实</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M9</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两岸定位</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M10</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海外经历</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部分</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C级推断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USC以外无详细记录</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M11</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初步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C级指控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财务透明度有限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M12</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争议与法律风险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A/B级</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M13</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媒体叙事</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B级媒体分析</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M14</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三角联动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初步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E级推断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个人层面影响有限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M15</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前瞻情景推演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E级推断</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基于现有趋势</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M16</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综合交付物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完整</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A-E</w:t>
            </w:r>
          </w:p>
        </w:tc>
        <w:tc>
          <w:tcPr>
            <w:tcW w:type="dxa" w:w="2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w:t>
            </w:r>
          </w:p>
        </w:tc>
      </w:tr>
    </w:tbl>
    <w:p>
      <w:r>
        <w:br w:type="page"/>
      </w:r>
    </w:p>
    <w:p>
      <w:pPr>
        <w:spacing w:after="200" w:before="400" w:line="360"/>
      </w:pPr>
      <w:r>
        <w:rPr>
          <w:rFonts w:ascii="Arial" w:cs="Arial" w:eastAsia="Arial" w:hAnsi="Arial"/>
          <w:b/>
          <w:bCs/>
          <w:color w:val="1F3864"/>
          <w:sz w:val="32"/>
          <w:szCs w:val="32"/>
        </w:rPr>
        <w:t xml:space="preserve">第八篇　综合交付物</w:t>
      </w:r>
    </w:p>
    <w:p>
      <w:pPr>
        <w:spacing w:after="160" w:before="300" w:line="320"/>
      </w:pPr>
      <w:r>
        <w:rPr>
          <w:rFonts w:ascii="Arial" w:cs="Arial" w:eastAsia="Arial" w:hAnsi="Arial"/>
          <w:b/>
          <w:bCs/>
          <w:color w:val="2E5090"/>
          <w:sz w:val="28"/>
          <w:szCs w:val="28"/>
        </w:rPr>
        <w:t xml:space="preserve">8.1 核心事实摘要</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序号</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事实类别</w:t>
            </w:r>
          </w:p>
        </w:tc>
        <w:tc>
          <w:tcPr>
            <w:tcW w:type="dxa" w:w="5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核心内容</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生年/籍贯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1983年生，台湾，具体籍贯未公开</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教育背景</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元智大学、台大政研所、USC公共政策硕士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母亲</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郭素春，前KMT立委，连战系幕僚，统派背景</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首次当选</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2020年，新北市第一选区，119,401票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2024连任</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158,596票，全国区域立委最高票</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6</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党团干事长</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2024年1-8月任国民党立院党团干事长</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7</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专业委员会</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立法院交通委员会委员</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8</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核心政策主张</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淡水线、林口—龟山、泰山—板桥轻轨建设</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9</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陆配政策投票</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支持缩短陆配取得国籍年限6年降4年</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10</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2025罢免</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罢免票未过门槛，支持保留票121,592（较2024少37,004）</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11</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家族争议</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父疑任统战组织职务（指控，未经司法确认）</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12</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两岸立场</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主张重启两岸交流，设专案侦查小组</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13</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庇护者</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侯友宜曾阻止同区竞争，公开力挺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14</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媒体形象转变</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2024年「选举之星」→2025年「罢免争议人物」</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r>
      <w:tr>
        <w:tc>
          <w:tcPr>
            <w:tcW w:type="dxa" w:w="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15</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USC经历</w:t>
            </w:r>
          </w:p>
        </w:tc>
        <w:tc>
          <w:tcPr>
            <w:tcW w:type="dxa" w:w="5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南加州大学国际公共政策与管理硕士</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r>
    </w:tbl>
    <w:p>
      <w:pPr>
        <w:spacing w:after="120"/>
      </w:pPr>
      <w:r>
        <w:t xml:space="preserve"/>
      </w:r>
    </w:p>
    <w:p>
      <w:pPr>
        <w:spacing w:after="160" w:before="300" w:line="320"/>
      </w:pPr>
      <w:r>
        <w:rPr>
          <w:rFonts w:ascii="Arial" w:cs="Arial" w:eastAsia="Arial" w:hAnsi="Arial"/>
          <w:b/>
          <w:bCs/>
          <w:color w:val="2E5090"/>
          <w:sz w:val="28"/>
          <w:szCs w:val="28"/>
        </w:rPr>
        <w:t xml:space="preserve">8.2 政策立场矩阵</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政策领域</w:t>
            </w:r>
          </w:p>
        </w:tc>
        <w:tc>
          <w:tcPr>
            <w:tcW w:type="dxa" w:w="2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具体立场</w:t>
            </w:r>
          </w:p>
        </w:tc>
        <w:tc>
          <w:tcPr>
            <w:tcW w:type="dxa" w:w="9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立场强度</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时间段</w:t>
            </w:r>
          </w:p>
        </w:tc>
        <w:tc>
          <w:tcPr>
            <w:tcW w:type="dxa" w:w="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对美影响</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对台影响</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轻轨建设</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主动倡导淡水线等三条轻轨</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P3-P5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高（选区基础设施）</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陆配国籍</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支持缩短年限从6年至4年</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中强</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中（争议性）</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两岸交流</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主张重启对话</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中（美方关注）</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青年政策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辅助性支持，非核心</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r>
      <w:tr>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能源政策</w:t>
            </w:r>
          </w:p>
        </w:tc>
        <w:tc>
          <w:tcPr>
            <w:tcW w:type="dxa" w:w="2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跟随党团，无独立立场</w:t>
            </w:r>
          </w:p>
        </w:tc>
        <w:tc>
          <w:tcPr>
            <w:tcW w:type="dxa" w:w="9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P4-P5</w:t>
            </w:r>
          </w:p>
        </w:tc>
        <w:tc>
          <w:tcPr>
            <w:tcW w:type="dxa" w:w="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C</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r>
    </w:tbl>
    <w:p>
      <w:pPr>
        <w:spacing w:after="120"/>
      </w:pPr>
      <w:r>
        <w:t xml:space="preserve"/>
      </w:r>
    </w:p>
    <w:p>
      <w:pPr>
        <w:spacing w:after="160" w:before="300" w:line="320"/>
      </w:pPr>
      <w:r>
        <w:rPr>
          <w:rFonts w:ascii="Arial" w:cs="Arial" w:eastAsia="Arial" w:hAnsi="Arial"/>
          <w:b/>
          <w:bCs/>
          <w:color w:val="2E5090"/>
          <w:sz w:val="28"/>
          <w:szCs w:val="28"/>
        </w:rPr>
        <w:t xml:space="preserve">8.3 盟友对手网络清单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姓名/机构</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关系类型</w:t>
            </w:r>
          </w:p>
        </w:tc>
        <w:tc>
          <w:tcPr>
            <w:tcW w:type="dxa" w:w="1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连接强度</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层级</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备注</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侯友宜（新北市长）</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政治庇护者</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直辖市级</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关键保护伞，盛衰与洪高度绑定</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郭素春（母亲，前立委）</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家族/党系根基</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极强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连战系+统派人脉的主要来源</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国民党立院党团</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工作性协作</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强</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政策立场的主要来源与执行框架</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民进党何博文</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政治对手</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全国</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最活跃的攻击者，家族指控来源</w:t>
            </w:r>
          </w:p>
        </w:tc>
      </w:tr>
      <w:tr>
        <w:tc>
          <w:tcPr>
            <w:tcW w:type="dxa" w:w="1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USC校友网络</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学术人脉</w:t>
            </w:r>
          </w:p>
        </w:tc>
        <w:tc>
          <w:tcPr>
            <w:tcW w:type="dxa" w:w="1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弱</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国际</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主要停留于认知层面，无实质政治功能</w:t>
            </w:r>
          </w:p>
        </w:tc>
      </w:tr>
    </w:tbl>
    <w:p>
      <w:pPr>
        <w:spacing w:after="120"/>
      </w:pPr>
      <w:r>
        <w:t xml:space="preserve"/>
      </w:r>
    </w:p>
    <w:p>
      <w:pPr>
        <w:spacing w:after="160" w:before="300" w:line="320"/>
      </w:pPr>
      <w:r>
        <w:rPr>
          <w:rFonts w:ascii="Arial" w:cs="Arial" w:eastAsia="Arial" w:hAnsi="Arial"/>
          <w:b/>
          <w:bCs/>
          <w:color w:val="2E5090"/>
          <w:sz w:val="28"/>
          <w:szCs w:val="28"/>
        </w:rPr>
        <w:t xml:space="preserve">8.4 数据源索引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来源名称</w:t>
            </w:r>
          </w:p>
        </w:tc>
        <w:tc>
          <w:tcPr>
            <w:tcW w:type="dxa" w:w="15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类型</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证据等级</w:t>
            </w:r>
          </w:p>
        </w:tc>
        <w:tc>
          <w:tcPr>
            <w:tcW w:type="dxa" w:w="4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主要用途</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中央选举委员会官方数据</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历次选举得票数与结果核实</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立法院全球资讯网</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官方</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委员基本资料、出席与投票记录</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中央通讯社（CNA）</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党内职务任命、选举动态</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自由时报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主要媒体（绿营倾向）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罢免运动报道、家族争议</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中时电子报</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主要媒体（蓝营倾向）</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选举分析、洪政策倡议</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公民监督国会联盟</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公民社会</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立委问政评鉴</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维基百科（繁中）</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综合二次来源</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基本信息核实</w:t>
            </w:r>
          </w:p>
        </w:tc>
      </w:tr>
      <w:tr>
        <w:tc>
          <w:tcPr>
            <w:tcW w:type="dxa" w:w="2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沃草（Watchout）</w:t>
            </w:r>
          </w:p>
        </w:tc>
        <w:tc>
          <w:tcPr>
            <w:tcW w:type="dxa" w:w="15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公民媒体</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B</w:t>
            </w:r>
          </w:p>
        </w:tc>
        <w:tc>
          <w:tcPr>
            <w:tcW w:type="dxa" w:w="4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罢免运动数据分析</w:t>
            </w:r>
          </w:p>
        </w:tc>
      </w:tr>
    </w:tbl>
    <w:p>
      <w:pPr>
        <w:spacing w:after="120"/>
      </w:pPr>
      <w:r>
        <w:t xml:space="preserve"/>
      </w:r>
    </w:p>
    <w:p>
      <w:pPr>
        <w:spacing w:after="160" w:before="300" w:line="320"/>
      </w:pPr>
      <w:r>
        <w:rPr>
          <w:rFonts w:ascii="Arial" w:cs="Arial" w:eastAsia="Arial" w:hAnsi="Arial"/>
          <w:b/>
          <w:bCs/>
          <w:color w:val="2E5090"/>
          <w:sz w:val="28"/>
          <w:szCs w:val="28"/>
        </w:rPr>
        <w:t xml:space="preserve">8.5 信息缺口清单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8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缺口编号</w:t>
            </w:r>
          </w:p>
        </w:tc>
        <w:tc>
          <w:tcPr>
            <w:tcW w:type="dxa" w:w="3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缺口描述</w:t>
            </w:r>
          </w:p>
        </w:tc>
        <w:tc>
          <w:tcPr>
            <w:tcW w:type="dxa" w:w="10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重要性</w:t>
            </w:r>
          </w:p>
        </w:tc>
        <w:tc>
          <w:tcPr>
            <w:tcW w:type="dxa" w:w="37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建议填补方式</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G1</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洪孟楷内部决策会议的具体讨论内容及幕僚意见</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深度专访或知情人士访谈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G2</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父亲统战组织职务的具体证据文件（目前仅政治指控层面）</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调查性新闻或司法档案</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G3</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USC就读期间建立的具体国际人脉与机构关联</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校友录、学术数据库</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G4</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家族财务完整图谱（不动产以外的投资关系）</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高</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财产申报核查+企业登记数据</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G5</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干事长去职（2024年8月）的具体内部原因</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中</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党内消息来源</w:t>
            </w:r>
          </w:p>
        </w:tc>
      </w:tr>
      <w:tr>
        <w:tc>
          <w:tcPr>
            <w:tcW w:type="dxa" w:w="8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G6</w:t>
            </w:r>
          </w:p>
        </w:tc>
        <w:tc>
          <w:tcPr>
            <w:tcW w:type="dxa" w:w="3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2028选举意向的实质规划（目前仅公开否认）</w:t>
            </w:r>
          </w:p>
        </w:tc>
        <w:tc>
          <w:tcPr>
            <w:tcW w:type="dxa" w:w="10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低</w:t>
            </w:r>
          </w:p>
        </w:tc>
        <w:tc>
          <w:tcPr>
            <w:tcW w:type="dxa" w:w="37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持续观察其选区经营动向</w:t>
            </w:r>
          </w:p>
        </w:tc>
      </w:tr>
    </w:tbl>
    <w:p>
      <w:r>
        <w:br w:type="page"/>
      </w:r>
    </w:p>
    <w:p>
      <w:pPr>
        <w:spacing w:after="200" w:before="400" w:line="360"/>
      </w:pPr>
      <w:r>
        <w:rPr>
          <w:rFonts w:ascii="Arial" w:cs="Arial" w:eastAsia="Arial" w:hAnsi="Arial"/>
          <w:b/>
          <w:bCs/>
          <w:color w:val="1F3864"/>
          <w:sz w:val="32"/>
          <w:szCs w:val="32"/>
        </w:rPr>
        <w:t xml:space="preserve">编制信息</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项目</w:t>
            </w:r>
          </w:p>
        </w:tc>
        <w:tc>
          <w:tcPr>
            <w:tcW w:type="dxa" w:w="6300"/>
            <w:tcBorders>
              <w:top w:val="single" w:color="CCCCCC" w:sz="6"/>
              <w:left w:val="single" w:color="CCCCCC" w:sz="6"/>
              <w:bottom w:val="single" w:color="CCCCCC" w:sz="6"/>
              <w:right w:val="single" w:color="CCCCCC" w:sz="6"/>
            </w:tcBorders>
            <w:shd w:fill="1F3864"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内容</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报告版本</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V1.0</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分析框架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OSINT V6.0全景分析体系（16模块+五框架建模）</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编制单位</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厦门大学台湾研究院开源情报研究组</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编制日期</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2026年3月</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证据分级</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A级（官方/经核实）/ B级（主流媒体）/ C级（次级来源）/ D级（社交/未核实）/ E级（分析推断）</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时间框架</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P0（成长）/ P1（入仕）/ P2（发展）/ P3（历练）/ P4（突破）/ P5（当前）</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保密提示</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本报告为内部研究参考，未经授权不得对外发布或引用</w:t>
            </w:r>
          </w:p>
        </w:tc>
      </w:tr>
      <w:tr>
        <w:tc>
          <w:tcPr>
            <w:tcW w:type="dxa" w:w="22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免责声明</w:t>
            </w:r>
          </w:p>
        </w:tc>
        <w:tc>
          <w:tcPr>
            <w:tcW w:type="dxa" w:w="6300"/>
            <w:tcBorders>
              <w:top w:val="single" w:color="CCCCCC" w:sz="6"/>
              <w:left w:val="single" w:color="CCCCCC" w:sz="6"/>
              <w:bottom w:val="single" w:color="CCCCCC" w:sz="6"/>
              <w:right w:val="single" w:color="CCCCCC" w:sz="6"/>
            </w:tcBorders>
            <w:tcMar>
              <w:top w:type="dxa" w:w="40"/>
              <w:left w:type="dxa" w:w="100"/>
              <w:bottom w:type="dxa" w:w="40"/>
              <w:right w:type="dxa" w:w="100"/>
            </w:tcMar>
          </w:tcPr>
          <w:p>
            <w:pPr>
              <w:jc w:val="left"/>
            </w:pPr>
            <w:r>
              <w:rPr>
                <w:rFonts w:ascii="Arial" w:cs="Arial" w:eastAsia="Arial" w:hAnsi="Arial"/>
                <w:sz w:val="19"/>
                <w:szCs w:val="19"/>
              </w:rPr>
              <w:t xml:space="preserve">所有推断性结论均基于公开情报，不代表官方立场</w:t>
            </w:r>
          </w:p>
        </w:tc>
      </w:tr>
    </w:tbl>
    <w:p>
      <w:pPr>
        <w:spacing w:after="120"/>
      </w:pPr>
      <w:r>
        <w:t xml:space="preserve"/>
      </w:r>
    </w:p>
    <w:p>
      <w:pPr>
        <w:spacing w:after="160" w:before="300" w:line="320"/>
      </w:pPr>
      <w:r>
        <w:rPr>
          <w:rFonts w:ascii="Arial" w:cs="Arial" w:eastAsia="Arial" w:hAnsi="Arial"/>
          <w:b/>
          <w:bCs/>
          <w:color w:val="2E5090"/>
          <w:sz w:val="28"/>
          <w:szCs w:val="28"/>
        </w:rPr>
        <w:t xml:space="preserve">学术参考文献</w:t>
      </w:r>
    </w:p>
    <w:p>
      <w:pPr>
        <w:spacing w:after="120" w:line="300"/>
        <w:jc w:val="left"/>
      </w:pPr>
      <w:r>
        <w:rPr>
          <w:rFonts w:ascii="Arial" w:cs="Arial" w:eastAsia="Arial" w:hAnsi="Arial"/>
          <w:sz w:val="22"/>
          <w:szCs w:val="22"/>
        </w:rPr>
        <w:t xml:space="preserve">Hermann, M.G. (1980). Explaining Foreign Policy Behavior Using the Personal Characteristics of Political Leaders. International Studies Quarterly, 24(1), 7-46.</w:t>
      </w:r>
    </w:p>
    <w:p>
      <w:pPr>
        <w:spacing w:after="120" w:line="300"/>
        <w:jc w:val="left"/>
      </w:pPr>
      <w:r>
        <w:rPr>
          <w:rFonts w:ascii="Arial" w:cs="Arial" w:eastAsia="Arial" w:hAnsi="Arial"/>
          <w:sz w:val="22"/>
          <w:szCs w:val="22"/>
        </w:rPr>
        <w:t xml:space="preserve">George, A.L. (1969). The Operational Code: A Neglected Approach to the Study of Political Leaders and Decision-Making. International Studies Quarterly, 13(2), 190-222.</w:t>
      </w:r>
    </w:p>
    <w:p>
      <w:pPr>
        <w:spacing w:after="120" w:line="300"/>
        <w:jc w:val="left"/>
      </w:pPr>
      <w:r>
        <w:rPr>
          <w:rFonts w:ascii="Arial" w:cs="Arial" w:eastAsia="Arial" w:hAnsi="Arial"/>
          <w:sz w:val="22"/>
          <w:szCs w:val="22"/>
        </w:rPr>
        <w:t xml:space="preserve">Winter, D.G. (1992). Personality and Foreign Policy: Historical Overview of Research. In E. Singer &amp; V. Hudson (Eds.), Political Psychology and Foreign Policy. Westview Press.</w:t>
      </w:r>
    </w:p>
    <w:p>
      <w:pPr>
        <w:spacing w:after="120" w:line="300"/>
        <w:jc w:val="left"/>
      </w:pPr>
      <w:r>
        <w:rPr>
          <w:rFonts w:ascii="Arial" w:cs="Arial" w:eastAsia="Arial" w:hAnsi="Arial"/>
          <w:sz w:val="22"/>
          <w:szCs w:val="22"/>
        </w:rPr>
        <w:t xml:space="preserve">Barber, J.D. (1972). The Presidential Character: Predicting Performance in the White House. Prentice-Hall.</w:t>
      </w:r>
    </w:p>
    <w:p>
      <w:pPr>
        <w:spacing w:after="120" w:line="300"/>
        <w:jc w:val="left"/>
      </w:pPr>
      <w:r>
        <w:rPr>
          <w:rFonts w:ascii="Arial" w:cs="Arial" w:eastAsia="Arial" w:hAnsi="Arial"/>
          <w:sz w:val="22"/>
          <w:szCs w:val="22"/>
        </w:rPr>
        <w:t xml:space="preserve">Myers, I.B., McCaulley, M.H., Quenk, N.L., &amp; Hammer, A.L. (1998). MBTI Manual: A Guide to the Development and Use of the Myers-Briggs Type Indicator (3rd ed.). Consulting Psychologists Press.</w:t>
      </w:r>
    </w:p>
    <w:p>
      <w:pPr>
        <w:spacing w:after="120" w:line="300"/>
        <w:jc w:val="left"/>
      </w:pPr>
      <w:r>
        <w:rPr>
          <w:rFonts w:ascii="Arial" w:cs="Arial" w:eastAsia="Arial" w:hAnsi="Arial"/>
          <w:sz w:val="22"/>
          <w:szCs w:val="22"/>
        </w:rPr>
        <w:t xml:space="preserve">吴玉山（2012）。台湾的政治转型与两岸关系。台湾政治学刊，16(1)，1-52。</w:t>
      </w:r>
    </w:p>
    <w:p>
      <w:pPr>
        <w:spacing w:after="120" w:line="300"/>
        <w:jc w:val="left"/>
      </w:pPr>
      <w:r>
        <w:rPr>
          <w:rFonts w:ascii="Arial" w:cs="Arial" w:eastAsia="Arial" w:hAnsi="Arial"/>
          <w:sz w:val="22"/>
          <w:szCs w:val="22"/>
        </w:rPr>
        <w:t xml:space="preserve">林继文（2015）。台湾的选举制度与政党政治。政治科学论丛，65，1-40。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2026-03-31T04:46:37.936Z</dcterms:created>
  <dcterms:modified xsi:type="dcterms:W3CDTF">2026-03-31T04:46:37.944Z</dcterms:modified>
</cp:coreProperties>
</file>

<file path=docProps/custom.xml><?xml version="1.0" encoding="utf-8"?>
<Properties xmlns="http://schemas.openxmlformats.org/officeDocument/2006/custom-properties" xmlns:vt="http://schemas.openxmlformats.org/officeDocument/2006/docPropsVTypes"/>
</file>