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萧美琴（Hsiao Bi-khim）</w:t>
      </w:r>
    </w:p>
    <w:p>
      <w:pPr>
        <w:spacing w:after="100"/>
        <w:jc w:val="center"/>
      </w:pPr>
      <w:r>
        <w:rPr>
          <w:rFonts w:ascii="Arial" w:cs="Arial" w:eastAsia="Arial" w:hAnsi="Arial"/>
          <w:color w:val="1F3864"/>
          <w:sz w:val="32"/>
          <w:szCs w:val="32"/>
        </w:rPr>
        <w:t xml:space="preserve">政治人物系统性分析报告 v1.1</w:t>
      </w:r>
    </w:p>
    <w:p>
      <w:pPr>
        <w:spacing w:after="100"/>
        <w:jc w:val="center"/>
      </w:pPr>
      <w:r>
        <w:rPr>
          <w:rFonts w:ascii="Arial" w:cs="Arial" w:eastAsia="Arial" w:hAnsi="Arial"/>
          <w:color w:val="666666"/>
          <w:sz w:val="24"/>
          <w:szCs w:val="24"/>
        </w:rPr>
        <w:t xml:space="preserve">Systematic Political Figure Analysis Report v1.1</w:t>
      </w:r>
    </w:p>
    <w:p>
      <w:pPr>
        <w:spacing w:after="200"/>
        <w:jc w:val="center"/>
      </w:pPr>
      <w:r>
        <w:rPr>
          <w:rFonts w:ascii="Arial" w:cs="Arial" w:eastAsia="Arial" w:hAnsi="Arial"/>
          <w:color w:val="888888"/>
          <w:sz w:val="22"/>
          <w:szCs w:val="22"/>
        </w:rPr>
        <w:t xml:space="preserve">—— 美台中三角视角 | 深度整合版 ——</w:t>
      </w:r>
    </w:p>
    <w:p>
      <w:pPr>
        <w:spacing w:before="600"/>
      </w:pPr>
    </w:p>
    <w:p>
      <w:pPr>
        <w:jc w:val="center"/>
      </w:pPr>
      <w:r>
        <w:rPr>
          <w:rFonts w:ascii="Arial" w:cs="Arial" w:eastAsia="Arial" w:hAnsi="Arial"/>
          <w:color w:val="999999"/>
          <w:sz w:val="20"/>
          <w:szCs w:val="20"/>
        </w:rPr>
        <w:t xml:space="preserve">分析框架: OSINT v2.0 + 厦大平潭研究院 v1.0 整合版</w:t>
      </w:r>
    </w:p>
    <w:p>
      <w:pPr>
        <w:jc w:val="center"/>
      </w:pPr>
      <w:r>
        <w:rPr>
          <w:rFonts w:ascii="Arial" w:cs="Arial" w:eastAsia="Arial" w:hAnsi="Arial"/>
          <w:color w:val="999999"/>
          <w:sz w:val="20"/>
          <w:szCs w:val="20"/>
        </w:rPr>
        <w:t xml:space="preserve">报告日期: 2026年3月30日</w:t>
      </w:r>
    </w:p>
    <w:p>
      <w:pPr>
        <w:spacing w:after="200"/>
        <w:jc w:val="center"/>
      </w:pPr>
      <w:r>
        <w:rPr>
          <w:rFonts w:ascii="Arial" w:cs="Arial" w:eastAsia="Arial" w:hAnsi="Arial"/>
          <w:color w:val="999999"/>
          <w:sz w:val="20"/>
          <w:szCs w:val="20"/>
        </w:rPr>
        <w:t xml:space="preserve">证据截止日期: 2026年3月</w:t>
      </w:r>
    </w:p>
    <w:p>
      <w:pPr>
        <w:spacing w:after="200"/>
        <w:jc w:val="center"/>
      </w:pPr>
      <w:r>
        <w:rPr>
          <w:rFonts w:ascii="Arial" w:cs="Arial" w:eastAsia="Arial" w:hAnsi="Arial"/>
          <w:color w:val="AAAAAA"/>
          <w:sz w:val="18"/>
          <w:szCs w:val="18"/>
        </w:rPr>
        <w:t xml:space="preserve">升级说明: 本版整合OSINT v2.0框架报告与厦大平潭研究院台情研究中心 v1.0报告，新增行为模式建模、深度社交网络分析、经济活动探测及学术框架对照</w:t>
      </w:r>
    </w:p>
    <w:p>
      <w:r>
        <w:br w:type="page"/>
      </w:r>
    </w:p>
    <w:p>
      <w:pPr>
        <w:pStyle w:val="Heading1"/>
        <w:spacing w:after="200" w:before="360"/>
      </w:pPr>
      <w:r>
        <w:rPr>
          <w:rFonts w:ascii="Arial" w:cs="Arial" w:eastAsia="Arial" w:hAnsi="Arial"/>
          <w:b/>
          <w:bCs/>
          <w:sz w:val="32"/>
          <w:szCs w:val="32"/>
        </w:rPr>
        <w:t xml:space="preserve">版本升级说明</w:t>
      </w:r>
    </w:p>
    <w:p>
      <w:pPr>
        <w:spacing w:after="120" w:line="300"/>
      </w:pPr>
      <w:r>
        <w:rPr>
          <w:rFonts w:ascii="Arial" w:cs="Arial" w:eastAsia="Arial" w:hAnsi="Arial"/>
          <w:sz w:val="21"/>
          <w:szCs w:val="21"/>
        </w:rPr>
        <w:t xml:space="preserve">本 v1.1 版报告是对以下两份报告的整合升级：</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来源A</w:t>
      </w:r>
      <w:r>
        <w:rPr>
          <w:rFonts w:ascii="Arial" w:cs="Arial" w:eastAsia="Arial" w:hAnsi="Arial"/>
          <w:sz w:val="21"/>
          <w:szCs w:val="21"/>
        </w:rPr>
        <w:t xml:space="preserve">: OSINT v2.0框架报告——采用系统化的“16模块+证据分级”框架，强调事实采集与可核查性，涵盖身份履历、政策立场、立法绩效、选举、权力网络、两岸定位、海外经历等全面维度。优势在于结构化和证据透明度。</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来源B</w:t>
      </w:r>
      <w:r>
        <w:rPr>
          <w:rFonts w:ascii="Arial" w:cs="Arial" w:eastAsia="Arial" w:hAnsi="Arial"/>
          <w:sz w:val="21"/>
          <w:szCs w:val="21"/>
        </w:rPr>
        <w:t xml:space="preserve">: 厦大平潭研究院台情研究中心 v1.0 报告（林启晨、周春林编写，陈章辉审核）——采用战略研判风格，强调行为模式解读、私人人脉网络、策略特征归类，提供了大量独家的人物关系情报。优势在于深度分析和战略视角。</w:t>
      </w:r>
    </w:p>
    <w:p>
      <w:pPr>
        <w:pStyle w:val="Heading2"/>
        <w:spacing w:after="160" w:before="280"/>
      </w:pPr>
      <w:r>
        <w:rPr>
          <w:rFonts w:ascii="Arial" w:cs="Arial" w:eastAsia="Arial" w:hAnsi="Arial"/>
          <w:b/>
          <w:bCs/>
          <w:sz w:val="26"/>
          <w:szCs w:val="26"/>
        </w:rPr>
        <w:t xml:space="preserve">v1.1 升级内容概览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升级维度</w:t>
            </w:r>
          </w:p>
        </w:tc>
        <w:tc>
          <w:tcPr>
            <w:tcW w:type="dxa" w:w="4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具体内容</w:t>
            </w:r>
          </w:p>
        </w:tc>
        <w:tc>
          <w:tcPr>
            <w:tcW w:type="dxa" w:w="2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来源</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行为模式建模</w:t>
            </w:r>
          </w:p>
        </w:tc>
        <w:tc>
          <w:tcPr>
            <w:tcW w:type="dxa" w:w="4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新增“现实主义操作型”类型判定、“低调强硬”策略特征、“渐进式台独”路径解析</w:t>
            </w:r>
          </w:p>
        </w:tc>
        <w:tc>
          <w:tcPr>
            <w:tcW w:type="dxa" w:w="23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来源B为主，整合来源A证据</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深度社交网络</w:t>
            </w:r>
          </w:p>
        </w:tc>
        <w:tc>
          <w:tcPr>
            <w:tcW w:type="dxa" w:w="4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新增达克沃思、苏利文、蓬佩奥、坎贝尔、格里菲思、图根哈特、蕾斯曼等人物关系网</w:t>
            </w:r>
          </w:p>
        </w:tc>
        <w:tc>
          <w:tcPr>
            <w:tcW w:type="dxa" w:w="23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来源B独家情报</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“双橡园”外交</w:t>
            </w:r>
          </w:p>
        </w:tc>
        <w:tc>
          <w:tcPr>
            <w:tcW w:type="dxa" w:w="4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新增“凤梨酥外交”社交策略分析、拜登就职典礼参加等突破性事件</w:t>
            </w:r>
          </w:p>
        </w:tc>
        <w:tc>
          <w:tcPr>
            <w:tcW w:type="dxa" w:w="23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来源B</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欧洲布局分析</w:t>
            </w:r>
          </w:p>
        </w:tc>
        <w:tc>
          <w:tcPr>
            <w:tcW w:type="dxa" w:w="4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新增英国、IPAC、布鲁塞尔演说等欧洲线详解</w:t>
            </w:r>
          </w:p>
        </w:tc>
        <w:tc>
          <w:tcPr>
            <w:tcW w:type="dxa" w:w="23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来源B</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家族背景深化</w:t>
            </w:r>
          </w:p>
        </w:tc>
        <w:tc>
          <w:tcPr>
            <w:tcW w:type="dxa" w:w="4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新增父亲美丽岛事件角色、“非商背景”作为政治资本分析</w:t>
            </w:r>
          </w:p>
        </w:tc>
        <w:tc>
          <w:tcPr>
            <w:tcW w:type="dxa" w:w="23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来源B</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风险分级升级</w:t>
            </w:r>
          </w:p>
        </w:tc>
        <w:tc>
          <w:tcPr>
            <w:tcW w:type="dxa" w:w="4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新增“柔性蚕食”风险特征、结构性vs突发性风险区分</w:t>
            </w:r>
          </w:p>
        </w:tc>
        <w:tc>
          <w:tcPr>
            <w:tcW w:type="dxa" w:w="23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来源B为主</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学术框架对照</w:t>
            </w:r>
          </w:p>
        </w:tc>
        <w:tc>
          <w:tcPr>
            <w:tcW w:type="dxa" w:w="4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新增Hermann LTA、George操作码、Winter动机分析、Barber总统类型学对照</w:t>
            </w:r>
          </w:p>
        </w:tc>
        <w:tc>
          <w:tcPr>
            <w:tcW w:type="dxa" w:w="23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学术研究整合</w:t>
            </w:r>
          </w:p>
        </w:tc>
      </w:tr>
    </w:tbl>
    <w:p>
      <w:r>
        <w:br w:type="page"/>
      </w:r>
    </w:p>
    <w:p>
      <w:pPr>
        <w:pStyle w:val="Heading1"/>
        <w:spacing w:after="200" w:before="360"/>
      </w:pPr>
      <w:r>
        <w:rPr>
          <w:rFonts w:ascii="Arial" w:cs="Arial" w:eastAsia="Arial" w:hAnsi="Arial"/>
          <w:b/>
          <w:bCs/>
          <w:sz w:val="32"/>
          <w:szCs w:val="32"/>
        </w:rPr>
        <w:t xml:space="preserve">第一篇：身份、履历与政治社会化路径</w:t>
      </w:r>
    </w:p>
    <w:p>
      <w:pPr>
        <w:pStyle w:val="Heading2"/>
        <w:spacing w:after="160" w:before="280"/>
      </w:pPr>
      <w:r>
        <w:rPr>
          <w:rFonts w:ascii="Arial" w:cs="Arial" w:eastAsia="Arial" w:hAnsi="Arial"/>
          <w:b/>
          <w:bCs/>
          <w:sz w:val="26"/>
          <w:szCs w:val="26"/>
        </w:rPr>
        <w:t xml:space="preserve">1.1 基本信息与身份标识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项目</w:t>
            </w:r>
          </w:p>
        </w:tc>
        <w:tc>
          <w:tcPr>
            <w:tcW w:type="dxa" w:w="5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内容</w:t>
            </w:r>
          </w:p>
        </w:tc>
        <w:tc>
          <w:tcPr>
            <w:tcW w:type="dxa" w:w="1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证据等级</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法定全名</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萧美琴（繁体：蕭美琴）/ Bi-khim Hsiao / Bi-khim Louise Hsiao</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出生日期</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1971年8月7日</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出生地</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日本神户市（Kobe, Japan）</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党派</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民主进步党（DPP）</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现任职务</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台湾地区第16任副领导人（2024年5月20日就任）</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国籍变动</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曾持美国籍，2002年放弃美籍</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宗教信仰</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基督教长老教会（Presbyterian）</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语言能力</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普通话、台语、英语（母语级）、日语</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bl>
    <w:p>
      <w:pPr>
        <w:spacing w:after="100"/>
      </w:pPr>
      <w:r>
        <w:rPr>
          <w:rFonts w:ascii="Arial" w:cs="Arial" w:eastAsia="Arial" w:hAnsi="Arial"/>
          <w:b/>
          <w:bCs/>
          <w:color w:val="999999"/>
          <w:sz w:val="18"/>
          <w:szCs w:val="18"/>
        </w:rPr>
        <w:t xml:space="preserve">[A/B] </w:t>
      </w:r>
      <w:r>
        <w:rPr>
          <w:rFonts w:ascii="Arial" w:cs="Arial" w:eastAsia="Arial" w:hAnsi="Arial"/>
          <w:i/>
          <w:iCs/>
          <w:color w:val="666666"/>
          <w:sz w:val="18"/>
          <w:szCs w:val="18"/>
        </w:rPr>
        <w:t xml:space="preserve">总统府官网、TECRO官网、选委会公告、TIME Magazine</w:t>
      </w:r>
    </w:p>
    <w:p>
      <w:pPr>
        <w:pStyle w:val="Heading2"/>
        <w:spacing w:after="160" w:before="280"/>
      </w:pPr>
      <w:r>
        <w:rPr>
          <w:rFonts w:ascii="Arial" w:cs="Arial" w:eastAsia="Arial" w:hAnsi="Arial"/>
          <w:b/>
          <w:bCs/>
          <w:sz w:val="26"/>
          <w:szCs w:val="26"/>
        </w:rPr>
        <w:t xml:space="preserve">1.2 家族背景深度分析（v1.1新增深化）</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父亲萧清芬</w:t>
      </w:r>
      <w:r>
        <w:rPr>
          <w:rFonts w:ascii="Arial" w:cs="Arial" w:eastAsia="Arial" w:hAnsi="Arial"/>
          <w:sz w:val="21"/>
          <w:szCs w:val="21"/>
        </w:rPr>
        <w:t xml:space="preserve">：台湾长老教会牧师，神学博士，曾任台南神学院院长（1973-1986）。戴严时期台南神学院是台湾本土意识与政治庇护的重要据点。</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v1.1新增</w:t>
      </w:r>
      <w:r>
        <w:rPr>
          <w:rFonts w:ascii="Arial" w:cs="Arial" w:eastAsia="Arial" w:hAnsi="Arial"/>
          <w:sz w:val="21"/>
          <w:szCs w:val="21"/>
        </w:rPr>
        <w:t xml:space="preserve">: 据厦大报告披露，萧清芬在美丽岛事件后曾保护师生并与当局周旋，这一经历构成了萧美琴最早的政治启蒙。父亲幼年被基督徒夫妇收养的经历，使其家族呈现明显的“技术专家型”而非商业财阀背景。</w:t>
      </w:r>
    </w:p>
    <w:p>
      <w:pPr>
        <w:spacing w:after="100"/>
      </w:pPr>
      <w:r>
        <w:rPr>
          <w:rFonts w:ascii="Arial" w:cs="Arial" w:eastAsia="Arial" w:hAnsi="Arial"/>
          <w:b/>
          <w:bCs/>
          <w:color w:val="CC6600"/>
          <w:sz w:val="18"/>
          <w:szCs w:val="18"/>
        </w:rPr>
        <w:t xml:space="preserve">[C] </w:t>
      </w:r>
      <w:r>
        <w:rPr>
          <w:rFonts w:ascii="Arial" w:cs="Arial" w:eastAsia="Arial" w:hAnsi="Arial"/>
          <w:i/>
          <w:iCs/>
          <w:color w:val="666666"/>
          <w:sz w:val="18"/>
          <w:szCs w:val="18"/>
        </w:rPr>
        <w:t xml:space="preserve">厦大平潭研究院 v1.0报告</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母亲Peggy Cooley</w:t>
      </w:r>
      <w:r>
        <w:rPr>
          <w:rFonts w:ascii="Arial" w:cs="Arial" w:eastAsia="Arial" w:hAnsi="Arial"/>
          <w:sz w:val="21"/>
          <w:szCs w:val="21"/>
        </w:rPr>
        <w:t xml:space="preserve">：美国籍音乐教育者，家族背景可追溯至美国“五月花号”移民后裔。这为萧美琴提供了天然的留美纽带与文化认同。</w:t>
      </w:r>
    </w:p>
    <w:p>
      <w:pPr>
        <w:spacing w:after="100"/>
      </w:pPr>
      <w:r>
        <w:rPr>
          <w:rFonts w:ascii="Arial" w:cs="Arial" w:eastAsia="Arial" w:hAnsi="Arial"/>
          <w:b/>
          <w:bCs/>
          <w:color w:val="003399"/>
          <w:sz w:val="18"/>
          <w:szCs w:val="18"/>
        </w:rPr>
        <w:t xml:space="preserve">[B] </w:t>
      </w:r>
      <w:r>
        <w:rPr>
          <w:rFonts w:ascii="Arial" w:cs="Arial" w:eastAsia="Arial" w:hAnsi="Arial"/>
          <w:i/>
          <w:iCs/>
          <w:color w:val="666666"/>
          <w:sz w:val="18"/>
          <w:szCs w:val="18"/>
        </w:rPr>
        <w:t xml:space="preserve">TIME Magazine, Medium系列</w:t>
      </w:r>
    </w:p>
    <w:p>
      <w:pPr>
        <w:spacing w:after="120" w:before="200"/>
      </w:pPr>
      <w:r>
        <w:rPr>
          <w:rFonts w:ascii="Arial" w:cs="Arial" w:eastAsia="Arial" w:hAnsi="Arial"/>
          <w:b/>
          <w:bCs/>
          <w:color w:val="333333"/>
          <w:sz w:val="22"/>
          <w:szCs w:val="22"/>
        </w:rPr>
        <w:t xml:space="preserve">“非商背景”的政治资本价值（v1.1新增）</w:t>
      </w:r>
    </w:p>
    <w:p>
      <w:pPr>
        <w:spacing w:after="120" w:line="300"/>
      </w:pPr>
      <w:r>
        <w:rPr>
          <w:rFonts w:ascii="Arial" w:cs="Arial" w:eastAsia="Arial" w:hAnsi="Arial"/>
          <w:sz w:val="21"/>
          <w:szCs w:val="21"/>
        </w:rPr>
        <w:t xml:space="preserve">厦大报告指出一个重要观察：萧氏家族呈现明显的“技术专家型”背景，家族成员中无从事大规模商业经营或介入特定产业垄断的记录。这种“非商背景”在萧美琴担任馻美代表期间成为其对外游说的政治资本，使其能以“国家安全”及“民主供应链”为名推动台积电等半导体巨头赴美投资，而不易被外界质疑为家族私利驱动。这种从宗教信仰衍生出的“使命感”与西方“专业主义”的结合，使其在处理复杂的政商协同议题时展现出极强的政策包装能力与政治防御韧性。</w:t>
      </w:r>
    </w:p>
    <w:p>
      <w:pPr>
        <w:spacing w:after="100"/>
      </w:pPr>
      <w:r>
        <w:rPr>
          <w:rFonts w:ascii="Arial" w:cs="Arial" w:eastAsia="Arial" w:hAnsi="Arial"/>
          <w:b/>
          <w:bCs/>
          <w:color w:val="999999"/>
          <w:sz w:val="18"/>
          <w:szCs w:val="18"/>
        </w:rPr>
        <w:t xml:space="preserve">[C/E] </w:t>
      </w:r>
      <w:r>
        <w:rPr>
          <w:rFonts w:ascii="Arial" w:cs="Arial" w:eastAsia="Arial" w:hAnsi="Arial"/>
          <w:i/>
          <w:iCs/>
          <w:color w:val="666666"/>
          <w:sz w:val="18"/>
          <w:szCs w:val="18"/>
        </w:rPr>
        <w:t xml:space="preserve">厦大报告分析+推断</w:t>
      </w:r>
    </w:p>
    <w:p>
      <w:pPr>
        <w:pStyle w:val="Heading2"/>
        <w:spacing w:after="160" w:before="280"/>
      </w:pPr>
      <w:r>
        <w:rPr>
          <w:rFonts w:ascii="Arial" w:cs="Arial" w:eastAsia="Arial" w:hAnsi="Arial"/>
          <w:b/>
          <w:bCs/>
          <w:sz w:val="26"/>
          <w:szCs w:val="26"/>
        </w:rPr>
        <w:t xml:space="preserve">1.3 政治社会化路径（整合分析）</w:t>
      </w:r>
    </w:p>
    <w:p>
      <w:pPr>
        <w:spacing w:after="120" w:line="300"/>
      </w:pPr>
      <w:r>
        <w:rPr>
          <w:rFonts w:ascii="Arial" w:cs="Arial" w:eastAsia="Arial" w:hAnsi="Arial"/>
          <w:sz w:val="21"/>
          <w:szCs w:val="21"/>
        </w:rPr>
        <w:t xml:space="preserve">萧美琴的政治社会化呈现三层叠加结构：</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第一层：家庭政治启蒙（P0期）</w:t>
      </w:r>
      <w:r>
        <w:rPr>
          <w:rFonts w:ascii="Arial" w:cs="Arial" w:eastAsia="Arial" w:hAnsi="Arial"/>
          <w:sz w:val="21"/>
          <w:szCs w:val="21"/>
        </w:rPr>
        <w:t xml:space="preserve">——父亲在戴严时期台南神学院的经历，尤其是美丽岛事件后保护师生的行动，构成了她最早的政治意识培育。宗教与本土政治色彩的双重影响塑造了其“使命感驱动”的政治人格。</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第二层：西方学术训练（P1期）</w:t>
      </w:r>
      <w:r>
        <w:rPr>
          <w:rFonts w:ascii="Arial" w:cs="Arial" w:eastAsia="Arial" w:hAnsi="Arial"/>
          <w:sz w:val="21"/>
          <w:szCs w:val="21"/>
        </w:rPr>
        <w:t xml:space="preserve">——欧柏林学院东亚研究专业（1993）与哥伦比亚大学SIPA国际关系硕士（1995）赋予其系统性的西方政治学训练，使其在政策论述与对外沟通中呈现出较强的专业化特征。</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第三层：党内体系崭露（P2期）</w:t>
      </w:r>
      <w:r>
        <w:rPr>
          <w:rFonts w:ascii="Arial" w:cs="Arial" w:eastAsia="Arial" w:hAnsi="Arial"/>
          <w:sz w:val="21"/>
          <w:szCs w:val="21"/>
        </w:rPr>
        <w:t xml:space="preserve">——纽约求学期间结识时任民进党国际事务部主任的陈文茉，被引荐进入民进党外交体系，二十几岁即出任党内国际事务部主任，并担任陈水扁的随身翻译与顾问。</w:t>
      </w:r>
    </w:p>
    <w:p>
      <w:pPr>
        <w:spacing w:after="100"/>
      </w:pPr>
      <w:r>
        <w:rPr>
          <w:rFonts w:ascii="Arial" w:cs="Arial" w:eastAsia="Arial" w:hAnsi="Arial"/>
          <w:b/>
          <w:bCs/>
          <w:color w:val="999999"/>
          <w:sz w:val="18"/>
          <w:szCs w:val="18"/>
        </w:rPr>
        <w:t xml:space="preserve">[B/C] </w:t>
      </w:r>
      <w:r>
        <w:rPr>
          <w:rFonts w:ascii="Arial" w:cs="Arial" w:eastAsia="Arial" w:hAnsi="Arial"/>
          <w:i/>
          <w:iCs/>
          <w:color w:val="666666"/>
          <w:sz w:val="18"/>
          <w:szCs w:val="18"/>
        </w:rPr>
        <w:t xml:space="preserve">OSINT报告整合厦大报告</w:t>
      </w:r>
    </w:p>
    <w:p>
      <w:pPr>
        <w:spacing w:after="120" w:before="200"/>
      </w:pPr>
      <w:r>
        <w:rPr>
          <w:rFonts w:ascii="Arial" w:cs="Arial" w:eastAsia="Arial" w:hAnsi="Arial"/>
          <w:b/>
          <w:bCs/>
          <w:color w:val="333333"/>
          <w:sz w:val="22"/>
          <w:szCs w:val="22"/>
        </w:rPr>
        <w:t xml:space="preserve">政治生涯关键时间线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800"/>
        <w:gridCol w:w="760"/>
      </w:tblGrid>
      <w:tr>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时间</w:t>
            </w:r>
          </w:p>
        </w:tc>
        <w:tc>
          <w:tcPr>
            <w:tcW w:type="dxa" w:w="5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事件</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时期</w:t>
            </w:r>
          </w:p>
        </w:tc>
        <w:tc>
          <w:tcPr>
            <w:tcW w:type="dxa" w:w="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证据</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1971</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出生于日本神户</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P0</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1980年代中期</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随家庭移居美国</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P0</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1993</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获欧柏林学院学士学位</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P1</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1995</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获哥伦比亚大学SIPA硕士学位</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P1</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1995</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加入民进党国际事务工作</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P1</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1996</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台海危机期间任民进党馻美代表处助理，确立“两岸问题国际化”基调</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P2</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2000年代</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担任“总统府”顾问及立法委员（数届）</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P2</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2010年代</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花莲基层深耕十年（含2012年花莲落选）</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P3-P4</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2020-2023</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台湾馻美代表（TECRO）</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P4</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2021.1</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突破性受邀出席拜登就职典礼</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P4</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2022</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佩洛西访台后被大陆列入“台独”顽固分子清单</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P4</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2024.5</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当选台湾地区副领导人</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P5</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2025.6</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访问捷克期间遭中国外交人员尾随及车辆碰撞事件</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P5</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2025.11</w:t>
            </w:r>
          </w:p>
        </w:tc>
        <w:tc>
          <w:tcPr>
            <w:tcW w:type="dxa" w:w="5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以现职身份在布鲁塞尔欧洲议会发表演说</w:t>
            </w:r>
          </w:p>
        </w:tc>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P5</w:t>
            </w:r>
          </w:p>
        </w:tc>
        <w:tc>
          <w:tcPr>
            <w:tcW w:type="dxa" w:w="7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bl>
    <w:p>
      <w:pPr>
        <w:spacing w:after="100"/>
      </w:pPr>
      <w:r>
        <w:rPr>
          <w:rFonts w:ascii="Arial" w:cs="Arial" w:eastAsia="Arial" w:hAnsi="Arial"/>
          <w:b/>
          <w:bCs/>
          <w:color w:val="999999"/>
          <w:sz w:val="18"/>
          <w:szCs w:val="18"/>
        </w:rPr>
        <w:t xml:space="preserve">[A/B/C] </w:t>
      </w:r>
      <w:r>
        <w:rPr>
          <w:rFonts w:ascii="Arial" w:cs="Arial" w:eastAsia="Arial" w:hAnsi="Arial"/>
          <w:i/>
          <w:iCs/>
          <w:color w:val="666666"/>
          <w:sz w:val="18"/>
          <w:szCs w:val="18"/>
        </w:rPr>
        <w:t xml:space="preserve">多来源整合</w:t>
      </w:r>
    </w:p>
    <w:p>
      <w:r>
        <w:br w:type="page"/>
      </w:r>
    </w:p>
    <w:p>
      <w:pPr>
        <w:pStyle w:val="Heading1"/>
        <w:spacing w:after="200" w:before="360"/>
      </w:pPr>
      <w:r>
        <w:rPr>
          <w:rFonts w:ascii="Arial" w:cs="Arial" w:eastAsia="Arial" w:hAnsi="Arial"/>
          <w:b/>
          <w:bCs/>
          <w:sz w:val="32"/>
          <w:szCs w:val="32"/>
        </w:rPr>
        <w:t xml:space="preserve">第二篇：派系属性与权力网络</w:t>
      </w:r>
    </w:p>
    <w:p>
      <w:pPr>
        <w:pStyle w:val="Heading2"/>
        <w:spacing w:after="160" w:before="280"/>
      </w:pPr>
      <w:r>
        <w:rPr>
          <w:rFonts w:ascii="Arial" w:cs="Arial" w:eastAsia="Arial" w:hAnsi="Arial"/>
          <w:b/>
          <w:bCs/>
          <w:sz w:val="26"/>
          <w:szCs w:val="26"/>
        </w:rPr>
        <w:t xml:space="preserve">2.1 党内派系定位</w:t>
      </w:r>
    </w:p>
    <w:p>
      <w:pPr>
        <w:spacing w:after="120" w:line="300"/>
      </w:pPr>
      <w:r>
        <w:rPr>
          <w:rFonts w:ascii="Arial" w:cs="Arial" w:eastAsia="Arial" w:hAnsi="Arial"/>
          <w:sz w:val="21"/>
          <w:szCs w:val="21"/>
        </w:rPr>
        <w:t xml:space="preserve">萧美琴普遍被归入“英系”政治网络，与蔡英文的政治关系可追溯至较早时期。两人关系并非单纯的阶段性合作，而是建立在理念一致与能力认可基础上的长期信任。然而，从严格意义上看，萧美琴并不属于“英系”的组织型操盘人物，而更接近该政治网络中的专业技术官僚型成员。</w:t>
      </w:r>
    </w:p>
    <w:p>
      <w:pPr>
        <w:spacing w:after="120" w:line="300"/>
      </w:pPr>
      <w:r>
        <w:rPr>
          <w:rFonts w:ascii="Arial" w:cs="Arial" w:eastAsia="Arial" w:hAnsi="Arial"/>
          <w:sz w:val="21"/>
          <w:szCs w:val="21"/>
        </w:rPr>
        <w:t xml:space="preserve">其党内派系关系呈现“</w:t>
      </w:r>
      <w:r>
        <w:rPr>
          <w:rFonts w:ascii="Arial" w:cs="Arial" w:eastAsia="Arial" w:hAnsi="Arial"/>
          <w:b/>
          <w:bCs/>
          <w:sz w:val="21"/>
          <w:szCs w:val="21"/>
        </w:rPr>
        <w:t xml:space="preserve">弱依附、广连接</w:t>
      </w:r>
      <w:r>
        <w:rPr>
          <w:rFonts w:ascii="Arial" w:cs="Arial" w:eastAsia="Arial" w:hAnsi="Arial"/>
          <w:sz w:val="21"/>
          <w:szCs w:val="21"/>
        </w:rPr>
        <w:t xml:space="preserve">”的特征：与新潮流系在若干政策议题上保持合作，与正国会等派系更多体现为务实合作。这降低了政治阻力，但也意味着其权力安全在较大程度上依赖执政核心的支持。</w:t>
      </w:r>
    </w:p>
    <w:p>
      <w:pPr>
        <w:spacing w:after="100"/>
      </w:pPr>
      <w:r>
        <w:rPr>
          <w:rFonts w:ascii="Arial" w:cs="Arial" w:eastAsia="Arial" w:hAnsi="Arial"/>
          <w:b/>
          <w:bCs/>
          <w:color w:val="999999"/>
          <w:sz w:val="18"/>
          <w:szCs w:val="18"/>
        </w:rPr>
        <w:t xml:space="preserve">[B/C] </w:t>
      </w:r>
      <w:r>
        <w:rPr>
          <w:rFonts w:ascii="Arial" w:cs="Arial" w:eastAsia="Arial" w:hAnsi="Arial"/>
          <w:i/>
          <w:iCs/>
          <w:color w:val="666666"/>
          <w:sz w:val="18"/>
          <w:szCs w:val="18"/>
        </w:rPr>
        <w:t xml:space="preserve">厦大报告+媒体综合</w:t>
      </w:r>
    </w:p>
    <w:p>
      <w:pPr>
        <w:pStyle w:val="Heading2"/>
        <w:spacing w:after="160" w:before="280"/>
      </w:pPr>
      <w:r>
        <w:rPr>
          <w:rFonts w:ascii="Arial" w:cs="Arial" w:eastAsia="Arial" w:hAnsi="Arial"/>
          <w:b/>
          <w:bCs/>
          <w:sz w:val="26"/>
          <w:szCs w:val="26"/>
        </w:rPr>
        <w:t xml:space="preserve">2.2 与赖清德的互动关系</w:t>
      </w:r>
    </w:p>
    <w:p>
      <w:pPr>
        <w:spacing w:after="120" w:line="300"/>
      </w:pPr>
      <w:r>
        <w:rPr>
          <w:rFonts w:ascii="Arial" w:cs="Arial" w:eastAsia="Arial" w:hAnsi="Arial"/>
          <w:sz w:val="21"/>
          <w:szCs w:val="21"/>
        </w:rPr>
        <w:t xml:space="preserve">与赖清德的互动呈现务实合作特点。赖清德政治基础更偏向党内传统动员体系，与萧美琴的国际事务导向存在差异。在2024年选战中，萧美琴作为赖清德的副手，本质上扮演了“</w:t>
      </w:r>
      <w:r>
        <w:rPr>
          <w:rFonts w:ascii="Arial" w:cs="Arial" w:eastAsia="Arial" w:hAnsi="Arial"/>
          <w:b/>
          <w:bCs/>
          <w:sz w:val="21"/>
          <w:szCs w:val="21"/>
        </w:rPr>
        <w:t xml:space="preserve">美台互信抵押品</w:t>
      </w:r>
      <w:r>
        <w:rPr>
          <w:rFonts w:ascii="Arial" w:cs="Arial" w:eastAsia="Arial" w:hAnsi="Arial"/>
          <w:sz w:val="21"/>
          <w:szCs w:val="21"/>
        </w:rPr>
        <w:t xml:space="preserve">”的角色——利用其技术官僚的底色稀释赖清德的激进标签，以维持美方对局势的可控感。</w:t>
      </w:r>
    </w:p>
    <w:p>
      <w:pPr>
        <w:spacing w:after="100"/>
      </w:pPr>
      <w:r>
        <w:rPr>
          <w:rFonts w:ascii="Arial" w:cs="Arial" w:eastAsia="Arial" w:hAnsi="Arial"/>
          <w:b/>
          <w:bCs/>
          <w:color w:val="999999"/>
          <w:sz w:val="18"/>
          <w:szCs w:val="18"/>
        </w:rPr>
        <w:t xml:space="preserve">[C/E] </w:t>
      </w:r>
      <w:r>
        <w:rPr>
          <w:rFonts w:ascii="Arial" w:cs="Arial" w:eastAsia="Arial" w:hAnsi="Arial"/>
          <w:i/>
          <w:iCs/>
          <w:color w:val="666666"/>
          <w:sz w:val="18"/>
          <w:szCs w:val="18"/>
        </w:rPr>
        <w:t xml:space="preserve">厦大报告分析+推断</w:t>
      </w:r>
    </w:p>
    <w:p>
      <w:pPr>
        <w:pStyle w:val="Heading2"/>
        <w:spacing w:after="160" w:before="280"/>
      </w:pPr>
      <w:r>
        <w:rPr>
          <w:rFonts w:ascii="Arial" w:cs="Arial" w:eastAsia="Arial" w:hAnsi="Arial"/>
          <w:b/>
          <w:bCs/>
          <w:sz w:val="26"/>
          <w:szCs w:val="26"/>
        </w:rPr>
        <w:t xml:space="preserve">2.3 国际人脉网络深度图谱（v1.1核心新增）</w:t>
      </w:r>
    </w:p>
    <w:p>
      <w:pPr>
        <w:spacing w:after="120" w:line="300"/>
      </w:pPr>
      <w:r>
        <w:rPr>
          <w:rFonts w:ascii="Arial" w:cs="Arial" w:eastAsia="Arial" w:hAnsi="Arial"/>
          <w:sz w:val="21"/>
          <w:szCs w:val="21"/>
        </w:rPr>
        <w:t xml:space="preserve">厦大报告提供了大量独家的私人人脉情报，补充了OSINT报告中国际关系网络的具体细节：</w:t>
      </w:r>
    </w:p>
    <w:p>
      <w:pPr>
        <w:spacing w:after="120" w:before="200"/>
      </w:pPr>
      <w:r>
        <w:rPr>
          <w:rFonts w:ascii="Arial" w:cs="Arial" w:eastAsia="Arial" w:hAnsi="Arial"/>
          <w:b/>
          <w:bCs/>
          <w:color w:val="333333"/>
          <w:sz w:val="22"/>
          <w:szCs w:val="22"/>
        </w:rPr>
        <w:t xml:space="preserve">美国线关键人物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00"/>
        <w:gridCol w:w="15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人物</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关系性质</w:t>
            </w:r>
          </w:p>
        </w:tc>
        <w:tc>
          <w:tcPr>
            <w:tcW w:type="dxa" w:w="3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关键事件</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证据</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达克沃思（Tammy Duckworth）</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私交甚笃的民主党参议员</w:t>
            </w:r>
          </w:p>
        </w:tc>
        <w:tc>
          <w:tcPr>
            <w:tcW w:type="dxa" w:w="3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2021年台湾疫情期间亲自访台宣布捐赠疫苗，萧美琴是华府“幕后操盘手”</w:t>
            </w:r>
          </w:p>
        </w:tc>
        <w:tc>
          <w:tcPr>
            <w:tcW w:type="dxa" w:w="1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苏利文（Dan Sullivan）</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共和党参议员，战略沟通默契</w:t>
            </w:r>
          </w:p>
        </w:tc>
        <w:tc>
          <w:tcPr>
            <w:tcW w:type="dxa" w:w="3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双方在战略沟通上保持高度默契</w:t>
            </w:r>
          </w:p>
        </w:tc>
        <w:tc>
          <w:tcPr>
            <w:tcW w:type="dxa" w:w="1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蓬佩奥（Mike Pompeo）</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前国务卿，稳固私人联系</w:t>
            </w:r>
          </w:p>
        </w:tc>
        <w:tc>
          <w:tcPr>
            <w:tcW w:type="dxa" w:w="3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2021年3月邀请卸任后蓬佩奥在双橡园餐叙，“即使不在位也要维持高频互动”</w:t>
            </w:r>
          </w:p>
        </w:tc>
        <w:tc>
          <w:tcPr>
            <w:tcW w:type="dxa" w:w="1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坎贝尔（Kurt Campbell）</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白宫国安会印太事务协调员</w:t>
            </w:r>
          </w:p>
        </w:tc>
        <w:tc>
          <w:tcPr>
            <w:tcW w:type="dxa" w:w="3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保持极其顺畅的沟通渠道，精准捕捉华府政策脉搏</w:t>
            </w:r>
          </w:p>
        </w:tc>
        <w:tc>
          <w:tcPr>
            <w:tcW w:type="dxa" w:w="1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麦卡锡（Kevin McCarthy）</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众议院议长</w:t>
            </w:r>
          </w:p>
        </w:tc>
        <w:tc>
          <w:tcPr>
            <w:tcW w:type="dxa" w:w="3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2023年被拍到步入其办公室闭门会晤，直接促成“蔡麦会”</w:t>
            </w:r>
          </w:p>
        </w:tc>
        <w:tc>
          <w:tcPr>
            <w:tcW w:type="dxa" w:w="1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bl>
    <w:p>
      <w:pPr>
        <w:spacing w:after="120" w:before="200"/>
      </w:pPr>
      <w:r>
        <w:rPr>
          <w:rFonts w:ascii="Arial" w:cs="Arial" w:eastAsia="Arial" w:hAnsi="Arial"/>
          <w:b/>
          <w:bCs/>
          <w:color w:val="333333"/>
          <w:sz w:val="22"/>
          <w:szCs w:val="22"/>
        </w:rPr>
        <w:t xml:space="preserve">欧洲线关键人物（v1.1新增）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200"/>
        <w:gridCol w:w="11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人物</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关系性质</w:t>
            </w:r>
          </w:p>
        </w:tc>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关键事件</w:t>
            </w:r>
          </w:p>
        </w:tc>
        <w:tc>
          <w:tcPr>
            <w:tcW w:type="dxa" w:w="1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证据</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格里菲思（Andrew Griffith）</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英国影子商业及贸易大臣</w:t>
            </w:r>
          </w:p>
        </w:tc>
        <w:tc>
          <w:tcPr>
            <w:tcW w:type="dxa" w:w="4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2025年9月接见其率领的英国保守党代表团，对话延伸至AI、数字贸易及空间技术</w:t>
            </w:r>
          </w:p>
        </w:tc>
        <w:tc>
          <w:tcPr>
            <w:tcW w:type="dxa" w:w="11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图根哈特（Tom Tugendhat）</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英国前安全事务大臣，“鹰派”政要</w:t>
            </w:r>
          </w:p>
        </w:tc>
        <w:tc>
          <w:tcPr>
            <w:tcW w:type="dxa" w:w="4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2025年初会见时强调民主国家在技术出口管制与反制威权扩张的共同责任</w:t>
            </w:r>
          </w:p>
        </w:tc>
        <w:tc>
          <w:tcPr>
            <w:tcW w:type="dxa" w:w="11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蕾斯曼（Miriam Lexmann）</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IPAC共同主席、斯洛伐克籍欧洲议员</w:t>
            </w:r>
          </w:p>
        </w:tc>
        <w:tc>
          <w:tcPr>
            <w:tcW w:type="dxa" w:w="4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全力斡旋与幕后推动萧美琴在2025年11月以现职身份在布鲁塞尔欧洲议会发表历史性演说</w:t>
            </w:r>
          </w:p>
        </w:tc>
        <w:tc>
          <w:tcPr>
            <w:tcW w:type="dxa" w:w="11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bl>
    <w:p>
      <w:pPr>
        <w:spacing w:after="100"/>
      </w:pPr>
      <w:r>
        <w:rPr>
          <w:rFonts w:ascii="Arial" w:cs="Arial" w:eastAsia="Arial" w:hAnsi="Arial"/>
          <w:b/>
          <w:bCs/>
          <w:color w:val="999999"/>
          <w:sz w:val="18"/>
          <w:szCs w:val="18"/>
        </w:rPr>
        <w:t xml:space="preserve">[B/C] </w:t>
      </w:r>
      <w:r>
        <w:rPr>
          <w:rFonts w:ascii="Arial" w:cs="Arial" w:eastAsia="Arial" w:hAnsi="Arial"/>
          <w:i/>
          <w:iCs/>
          <w:color w:val="666666"/>
          <w:sz w:val="18"/>
          <w:szCs w:val="18"/>
        </w:rPr>
        <w:t xml:space="preserve">厦大报告独家情报</w:t>
      </w:r>
    </w:p>
    <w:p>
      <w:pPr>
        <w:spacing w:after="120" w:before="200"/>
      </w:pPr>
      <w:r>
        <w:rPr>
          <w:rFonts w:ascii="Arial" w:cs="Arial" w:eastAsia="Arial" w:hAnsi="Arial"/>
          <w:b/>
          <w:bCs/>
          <w:color w:val="333333"/>
          <w:sz w:val="22"/>
          <w:szCs w:val="22"/>
        </w:rPr>
        <w:t xml:space="preserve">“双橡园”社交外交模式（v1.1新增）</w:t>
      </w:r>
    </w:p>
    <w:p>
      <w:pPr>
        <w:spacing w:after="120" w:line="300"/>
      </w:pPr>
      <w:r>
        <w:rPr>
          <w:rFonts w:ascii="Arial" w:cs="Arial" w:eastAsia="Arial" w:hAnsi="Arial"/>
          <w:sz w:val="21"/>
          <w:szCs w:val="21"/>
        </w:rPr>
        <w:t xml:space="preserve">厦大报告揭示了萧美琴将具有高度政治象征意义的官邸“双橡园”转化为极具个人特色的社交舞台。通过“凤梨酥外交”与“珍珠奶茶外交”深度经营私交，将非正式社交转化为政策突破的前置条件。这种“形式非正式、实质高度政治化”的社交策略，是理解其对美外交效能的关键。</w:t>
      </w:r>
    </w:p>
    <w:p>
      <w:pPr>
        <w:spacing w:after="120" w:line="300"/>
      </w:pPr>
      <w:r>
        <w:rPr>
          <w:rFonts w:ascii="Arial" w:cs="Arial" w:eastAsia="Arial" w:hAnsi="Arial"/>
          <w:sz w:val="21"/>
          <w:szCs w:val="21"/>
        </w:rPr>
        <w:t xml:space="preserve">关键突破性事件：2021年突眴1979年以来的惯例，正式受邀出席拜登总统就职典礼。尽管岛内引发了关于“自拍观礼”的舆论争议，但从专业研判层面看，这反映了美方通过这种“半公开的私人礼遇”，给予了她超越一般外交代表的政治信任。</w:t>
      </w:r>
    </w:p>
    <w:p>
      <w:pPr>
        <w:spacing w:after="100"/>
      </w:pPr>
      <w:r>
        <w:rPr>
          <w:rFonts w:ascii="Arial" w:cs="Arial" w:eastAsia="Arial" w:hAnsi="Arial"/>
          <w:b/>
          <w:bCs/>
          <w:color w:val="999999"/>
          <w:sz w:val="18"/>
          <w:szCs w:val="18"/>
        </w:rPr>
        <w:t xml:space="preserve">[B/C] </w:t>
      </w:r>
      <w:r>
        <w:rPr>
          <w:rFonts w:ascii="Arial" w:cs="Arial" w:eastAsia="Arial" w:hAnsi="Arial"/>
          <w:i/>
          <w:iCs/>
          <w:color w:val="666666"/>
          <w:sz w:val="18"/>
          <w:szCs w:val="18"/>
        </w:rPr>
        <w:t xml:space="preserve">厦大报告</w:t>
      </w:r>
    </w:p>
    <w:p>
      <w:r>
        <w:br w:type="page"/>
      </w:r>
    </w:p>
    <w:p>
      <w:pPr>
        <w:pStyle w:val="Heading1"/>
        <w:spacing w:after="200" w:before="360"/>
      </w:pPr>
      <w:r>
        <w:rPr>
          <w:rFonts w:ascii="Arial" w:cs="Arial" w:eastAsia="Arial" w:hAnsi="Arial"/>
          <w:b/>
          <w:bCs/>
          <w:sz w:val="32"/>
          <w:szCs w:val="32"/>
        </w:rPr>
        <w:t xml:space="preserve">第三篇：政治立场与意识形态特征</w:t>
      </w:r>
    </w:p>
    <w:p>
      <w:pPr>
        <w:pStyle w:val="Heading2"/>
        <w:spacing w:after="160" w:before="280"/>
      </w:pPr>
      <w:r>
        <w:rPr>
          <w:rFonts w:ascii="Arial" w:cs="Arial" w:eastAsia="Arial" w:hAnsi="Arial"/>
          <w:b/>
          <w:bCs/>
          <w:sz w:val="26"/>
          <w:szCs w:val="26"/>
        </w:rPr>
        <w:t xml:space="preserve">3.1 两岸立场：“渐进式台独”路径解析（v1.1深化）</w:t>
      </w:r>
    </w:p>
    <w:p>
      <w:pPr>
        <w:spacing w:after="120" w:line="300"/>
      </w:pPr>
      <w:r>
        <w:rPr>
          <w:rFonts w:ascii="Arial" w:cs="Arial" w:eastAsia="Arial" w:hAnsi="Arial"/>
          <w:sz w:val="21"/>
          <w:szCs w:val="21"/>
        </w:rPr>
        <w:t xml:space="preserve">萧美琴长期与民进党主流路线保持高度一致。其两岸立场的核心特征为“</w:t>
      </w:r>
      <w:r>
        <w:rPr>
          <w:rFonts w:ascii="Arial" w:cs="Arial" w:eastAsia="Arial" w:hAnsi="Arial"/>
          <w:b/>
          <w:bCs/>
          <w:sz w:val="21"/>
          <w:szCs w:val="21"/>
        </w:rPr>
        <w:t xml:space="preserve">表达审慎—政策坚定</w:t>
      </w:r>
      <w:r>
        <w:rPr>
          <w:rFonts w:ascii="Arial" w:cs="Arial" w:eastAsia="Arial" w:hAnsi="Arial"/>
          <w:sz w:val="21"/>
          <w:szCs w:val="21"/>
        </w:rPr>
        <w:t xml:space="preserve">”：较少使用激烈的“法理台独”语言，但在政治实践中更接近“渐进式台独”的政策逻辑。</w:t>
      </w:r>
    </w:p>
    <w:p>
      <w:pPr>
        <w:spacing w:after="120" w:line="300"/>
      </w:pPr>
      <w:r>
        <w:rPr>
          <w:rFonts w:ascii="Arial" w:cs="Arial" w:eastAsia="Arial" w:hAnsi="Arial"/>
          <w:sz w:val="21"/>
          <w:szCs w:val="21"/>
        </w:rPr>
        <w:t xml:space="preserve">这一路径可追溯至1996年台海危机期间，当时任民进党馻美代表处助理的萧美琴便确立了“两岸问题国际化”的战略基调——主张通过强化台湾主体性、扩大国际参与、深化与西方国家关系，在不正式改变法理结构的前提下持续推动“事实独立”的外部认知基础。</w:t>
      </w:r>
    </w:p>
    <w:p>
      <w:pPr>
        <w:spacing w:after="120" w:line="300"/>
      </w:pPr>
      <w:r>
        <w:rPr>
          <w:rFonts w:ascii="Arial" w:cs="Arial" w:eastAsia="Arial" w:hAnsi="Arial"/>
          <w:sz w:val="21"/>
          <w:szCs w:val="21"/>
        </w:rPr>
        <w:t xml:space="preserve">对于“中华民国框架”，她基本延续民进党近年的策略性运用方式——视其为可供国际沟通的政治符号，而非政治认同的最终归宿。在九二共识问题上长期持否定立场，强调“台湾民主共识”与“民意授权”。</w:t>
      </w:r>
    </w:p>
    <w:p>
      <w:pPr>
        <w:spacing w:after="100"/>
      </w:pPr>
      <w:r>
        <w:rPr>
          <w:rFonts w:ascii="Arial" w:cs="Arial" w:eastAsia="Arial" w:hAnsi="Arial"/>
          <w:b/>
          <w:bCs/>
          <w:color w:val="999999"/>
          <w:sz w:val="18"/>
          <w:szCs w:val="18"/>
        </w:rPr>
        <w:t xml:space="preserve">[B/C/E] </w:t>
      </w:r>
      <w:r>
        <w:rPr>
          <w:rFonts w:ascii="Arial" w:cs="Arial" w:eastAsia="Arial" w:hAnsi="Arial"/>
          <w:i/>
          <w:iCs/>
          <w:color w:val="666666"/>
          <w:sz w:val="18"/>
          <w:szCs w:val="18"/>
        </w:rPr>
        <w:t xml:space="preserve">OSINT报告+厦大报告整合</w:t>
      </w:r>
    </w:p>
    <w:p>
      <w:pPr>
        <w:spacing w:after="120" w:before="200"/>
      </w:pPr>
      <w:r>
        <w:rPr>
          <w:rFonts w:ascii="Arial" w:cs="Arial" w:eastAsia="Arial" w:hAnsi="Arial"/>
          <w:b/>
          <w:bCs/>
          <w:color w:val="333333"/>
          <w:sz w:val="22"/>
          <w:szCs w:val="22"/>
        </w:rPr>
        <w:t xml:space="preserve">Shawn Ryan Show专访内容分析（v1.1新增）</w:t>
      </w:r>
    </w:p>
    <w:p>
      <w:pPr>
        <w:spacing w:after="120" w:line="300"/>
      </w:pPr>
      <w:r>
        <w:rPr>
          <w:rFonts w:ascii="Arial" w:cs="Arial" w:eastAsia="Arial" w:hAnsi="Arial"/>
          <w:sz w:val="21"/>
          <w:szCs w:val="21"/>
        </w:rPr>
        <w:t xml:space="preserve">2025年萧美琴接受美媒Shawn Ryan Show专访时提出，台湾所做的一切都是为了“提高侵略代价”并“影响对岸决策”，试图将两岸关系的性质从历史法理转向现实的利益博弈。这一表述体现了其一贯的“将宏大政治话语转化为生存安全叙事”的能力。</w:t>
      </w:r>
    </w:p>
    <w:p>
      <w:pPr>
        <w:spacing w:after="100"/>
      </w:pPr>
      <w:r>
        <w:rPr>
          <w:rFonts w:ascii="Arial" w:cs="Arial" w:eastAsia="Arial" w:hAnsi="Arial"/>
          <w:b/>
          <w:bCs/>
          <w:color w:val="003399"/>
          <w:sz w:val="18"/>
          <w:szCs w:val="18"/>
        </w:rPr>
        <w:t xml:space="preserve">[B] </w:t>
      </w:r>
      <w:r>
        <w:rPr>
          <w:rFonts w:ascii="Arial" w:cs="Arial" w:eastAsia="Arial" w:hAnsi="Arial"/>
          <w:i/>
          <w:iCs/>
          <w:color w:val="666666"/>
          <w:sz w:val="18"/>
          <w:szCs w:val="18"/>
        </w:rPr>
        <w:t xml:space="preserve">Shawn Ryan Show公开访谈</w:t>
      </w:r>
    </w:p>
    <w:p>
      <w:pPr>
        <w:pStyle w:val="Heading2"/>
        <w:spacing w:after="160" w:before="280"/>
      </w:pPr>
      <w:r>
        <w:rPr>
          <w:rFonts w:ascii="Arial" w:cs="Arial" w:eastAsia="Arial" w:hAnsi="Arial"/>
          <w:b/>
          <w:bCs/>
          <w:sz w:val="26"/>
          <w:szCs w:val="26"/>
        </w:rPr>
        <w:t xml:space="preserve">3.2 对美关系定位：“倾美强化安全”战略路径</w:t>
      </w:r>
    </w:p>
    <w:p>
      <w:pPr>
        <w:spacing w:after="120" w:line="300"/>
      </w:pPr>
      <w:r>
        <w:rPr>
          <w:rFonts w:ascii="Arial" w:cs="Arial" w:eastAsia="Arial" w:hAnsi="Arial"/>
          <w:sz w:val="21"/>
          <w:szCs w:val="21"/>
        </w:rPr>
        <w:t xml:space="preserve">萧美琴推动的并非单纯的“友美”，而是更接近“倾美强化安全”的战略路径。她自誉为“</w:t>
      </w:r>
      <w:r>
        <w:rPr>
          <w:rFonts w:ascii="Arial" w:cs="Arial" w:eastAsia="Arial" w:hAnsi="Arial"/>
          <w:b/>
          <w:bCs/>
          <w:sz w:val="21"/>
          <w:szCs w:val="21"/>
        </w:rPr>
        <w:t xml:space="preserve">战猫</w:t>
      </w:r>
      <w:r>
        <w:rPr>
          <w:rFonts w:ascii="Arial" w:cs="Arial" w:eastAsia="Arial" w:hAnsi="Arial"/>
          <w:sz w:val="21"/>
          <w:szCs w:val="21"/>
        </w:rPr>
        <w:t xml:space="preserve">”（对应大陆“战狼”外交），强调在狭缝中通过灵活性实现生存，并将台美关系由传统的非官方合作逐步推向具有准同盟特征的结构性关系。</w:t>
      </w:r>
    </w:p>
    <w:p>
      <w:pPr>
        <w:spacing w:after="120" w:line="300"/>
      </w:pPr>
      <w:r>
        <w:rPr>
          <w:rFonts w:ascii="Arial" w:cs="Arial" w:eastAsia="Arial" w:hAnsi="Arial"/>
          <w:sz w:val="21"/>
          <w:szCs w:val="21"/>
        </w:rPr>
        <w:t xml:space="preserve">其任内推动的《台美21世纪贸易倡议》以及促成美方修订《对台交往准则》，均是在不触动中美建交公报文字的前提下，通过“切香肠”式手法实质性提升美台互动层级。</w:t>
      </w:r>
    </w:p>
    <w:p>
      <w:pPr>
        <w:spacing w:after="100"/>
      </w:pPr>
      <w:r>
        <w:rPr>
          <w:rFonts w:ascii="Arial" w:cs="Arial" w:eastAsia="Arial" w:hAnsi="Arial"/>
          <w:b/>
          <w:bCs/>
          <w:color w:val="999999"/>
          <w:sz w:val="18"/>
          <w:szCs w:val="18"/>
        </w:rPr>
        <w:t xml:space="preserve">[B/C] </w:t>
      </w:r>
      <w:r>
        <w:rPr>
          <w:rFonts w:ascii="Arial" w:cs="Arial" w:eastAsia="Arial" w:hAnsi="Arial"/>
          <w:i/>
          <w:iCs/>
          <w:color w:val="666666"/>
          <w:sz w:val="18"/>
          <w:szCs w:val="18"/>
        </w:rPr>
        <w:t xml:space="preserve">多来源</w:t>
      </w:r>
    </w:p>
    <w:p>
      <w:pPr>
        <w:pStyle w:val="Heading2"/>
        <w:spacing w:after="160" w:before="280"/>
      </w:pPr>
      <w:r>
        <w:rPr>
          <w:rFonts w:ascii="Arial" w:cs="Arial" w:eastAsia="Arial" w:hAnsi="Arial"/>
          <w:b/>
          <w:bCs/>
          <w:sz w:val="26"/>
          <w:szCs w:val="26"/>
        </w:rPr>
        <w:t xml:space="preserve">3.3 安全与防务观</w:t>
      </w:r>
    </w:p>
    <w:p>
      <w:pPr>
        <w:spacing w:after="120" w:line="300"/>
      </w:pPr>
      <w:r>
        <w:rPr>
          <w:rFonts w:ascii="Arial" w:cs="Arial" w:eastAsia="Arial" w:hAnsi="Arial"/>
          <w:sz w:val="21"/>
          <w:szCs w:val="21"/>
        </w:rPr>
        <w:t xml:space="preserve">总体支持提升防务能力与强化“自我防卫”叙事。其政策逻辑强调“提升吓阻能力以避免战争”。在2025年，以副职身份视讯参与美国“特别竞争研究计划”（SCSP）AI+科技博览会，呼吁国际伙伴在科技创新与防务安全上强化协作。</w:t>
      </w:r>
    </w:p>
    <w:p>
      <w:pPr>
        <w:spacing w:after="100"/>
      </w:pPr>
      <w:r>
        <w:rPr>
          <w:rFonts w:ascii="Arial" w:cs="Arial" w:eastAsia="Arial" w:hAnsi="Arial"/>
          <w:b/>
          <w:bCs/>
          <w:color w:val="003399"/>
          <w:sz w:val="18"/>
          <w:szCs w:val="18"/>
        </w:rPr>
        <w:t xml:space="preserve">[B] </w:t>
      </w:r>
      <w:r>
        <w:rPr>
          <w:rFonts w:ascii="Arial" w:cs="Arial" w:eastAsia="Arial" w:hAnsi="Arial"/>
          <w:i/>
          <w:iCs/>
          <w:color w:val="666666"/>
          <w:sz w:val="18"/>
          <w:szCs w:val="18"/>
        </w:rPr>
        <w:t xml:space="preserve">公开发言与报道</w:t>
      </w:r>
    </w:p>
    <w:p>
      <w:pPr>
        <w:pStyle w:val="Heading2"/>
        <w:spacing w:after="160" w:before="280"/>
      </w:pPr>
      <w:r>
        <w:rPr>
          <w:rFonts w:ascii="Arial" w:cs="Arial" w:eastAsia="Arial" w:hAnsi="Arial"/>
          <w:b/>
          <w:bCs/>
          <w:sz w:val="26"/>
          <w:szCs w:val="26"/>
        </w:rPr>
        <w:t xml:space="preserve">3.4 供应链战略：半导体生态系作为“安全键合”</w:t>
      </w:r>
    </w:p>
    <w:p>
      <w:pPr>
        <w:spacing w:after="120" w:line="300"/>
      </w:pPr>
      <w:r>
        <w:rPr>
          <w:rFonts w:ascii="Arial" w:cs="Arial" w:eastAsia="Arial" w:hAnsi="Arial"/>
          <w:sz w:val="21"/>
          <w:szCs w:val="21"/>
        </w:rPr>
        <w:t xml:space="preserve">2025年萧美琴在接受媒体采访时证实，除了台积电外，整个半导体“生态系”包括供应商与设计商都将赴美投资。尽管岛内引发“台积电变美积电”的“卖台”质疑，但在其逻辑中，这种产业链的深度交织是强化美方保护台湾动机的结构性手段。</w:t>
      </w:r>
    </w:p>
    <w:p>
      <w:pPr>
        <w:spacing w:after="100"/>
      </w:pPr>
      <w:r>
        <w:rPr>
          <w:rFonts w:ascii="Arial" w:cs="Arial" w:eastAsia="Arial" w:hAnsi="Arial"/>
          <w:b/>
          <w:bCs/>
          <w:color w:val="999999"/>
          <w:sz w:val="18"/>
          <w:szCs w:val="18"/>
        </w:rPr>
        <w:t xml:space="preserve">[B/E] </w:t>
      </w:r>
      <w:r>
        <w:rPr>
          <w:rFonts w:ascii="Arial" w:cs="Arial" w:eastAsia="Arial" w:hAnsi="Arial"/>
          <w:i/>
          <w:iCs/>
          <w:color w:val="666666"/>
          <w:sz w:val="18"/>
          <w:szCs w:val="18"/>
        </w:rPr>
        <w:t xml:space="preserve">媒体采访+分析推断</w:t>
      </w:r>
    </w:p>
    <w:p>
      <w:r>
        <w:br w:type="page"/>
      </w:r>
    </w:p>
    <w:p>
      <w:pPr>
        <w:pStyle w:val="Heading1"/>
        <w:spacing w:after="200" w:before="360"/>
      </w:pPr>
      <w:r>
        <w:rPr>
          <w:rFonts w:ascii="Arial" w:cs="Arial" w:eastAsia="Arial" w:hAnsi="Arial"/>
          <w:b/>
          <w:bCs/>
          <w:sz w:val="32"/>
          <w:szCs w:val="32"/>
        </w:rPr>
        <w:t xml:space="preserve">第四篇：行为模式建模与学术框架对照（v1.1核心新增）</w:t>
      </w:r>
    </w:p>
    <w:p>
      <w:pPr>
        <w:pStyle w:val="Heading2"/>
        <w:spacing w:after="160" w:before="280"/>
      </w:pPr>
      <w:r>
        <w:rPr>
          <w:rFonts w:ascii="Arial" w:cs="Arial" w:eastAsia="Arial" w:hAnsi="Arial"/>
          <w:b/>
          <w:bCs/>
          <w:sz w:val="26"/>
          <w:szCs w:val="26"/>
        </w:rPr>
        <w:t xml:space="preserve">4.1 类型判定：“现实主义操作型”政治人物</w:t>
      </w:r>
    </w:p>
    <w:p>
      <w:pPr>
        <w:spacing w:after="120" w:line="300"/>
      </w:pPr>
      <w:r>
        <w:rPr>
          <w:rFonts w:ascii="Arial" w:cs="Arial" w:eastAsia="Arial" w:hAnsi="Arial"/>
          <w:sz w:val="21"/>
          <w:szCs w:val="21"/>
        </w:rPr>
        <w:t xml:space="preserve">综合两份报告的分析，若以政治行为而非修辞风格作为主要判断依据，萧美琴更接近“</w:t>
      </w:r>
      <w:r>
        <w:rPr>
          <w:rFonts w:ascii="Arial" w:cs="Arial" w:eastAsia="Arial" w:hAnsi="Arial"/>
          <w:b/>
          <w:bCs/>
          <w:sz w:val="21"/>
          <w:szCs w:val="21"/>
        </w:rPr>
        <w:t xml:space="preserve">现实主义操作型</w:t>
      </w:r>
      <w:r>
        <w:rPr>
          <w:rFonts w:ascii="Arial" w:cs="Arial" w:eastAsia="Arial" w:hAnsi="Arial"/>
          <w:sz w:val="21"/>
          <w:szCs w:val="21"/>
        </w:rPr>
        <w:t xml:space="preserve">”政治人物——其政策选择通常建立在风险评估与国际环境判断之上，而不是情绪化动员。其策略特征可概括为“</w:t>
      </w:r>
      <w:r>
        <w:rPr>
          <w:rFonts w:ascii="Arial" w:cs="Arial" w:eastAsia="Arial" w:hAnsi="Arial"/>
          <w:b/>
          <w:bCs/>
          <w:sz w:val="21"/>
          <w:szCs w:val="21"/>
        </w:rPr>
        <w:t xml:space="preserve">低调强硬</w:t>
      </w:r>
      <w:r>
        <w:rPr>
          <w:rFonts w:ascii="Arial" w:cs="Arial" w:eastAsia="Arial" w:hAnsi="Arial"/>
          <w:sz w:val="21"/>
          <w:szCs w:val="21"/>
        </w:rPr>
        <w:t xml:space="preserve">”——在避免触碰高敏感政治红线的同时，持续推进具有结构性影响的政策目标。</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综合分析推断</w:t>
      </w:r>
    </w:p>
    <w:p>
      <w:pPr>
        <w:pStyle w:val="Heading2"/>
        <w:spacing w:after="160" w:before="280"/>
      </w:pPr>
      <w:r>
        <w:rPr>
          <w:rFonts w:ascii="Arial" w:cs="Arial" w:eastAsia="Arial" w:hAnsi="Arial"/>
          <w:b/>
          <w:bCs/>
          <w:sz w:val="26"/>
          <w:szCs w:val="26"/>
        </w:rPr>
        <w:t xml:space="preserve">4.2 Hermann领导特质分析（LTA）对照</w:t>
      </w:r>
    </w:p>
    <w:p>
      <w:pPr>
        <w:spacing w:after="120" w:line="300"/>
      </w:pPr>
      <w:r>
        <w:rPr>
          <w:rFonts w:ascii="Arial" w:cs="Arial" w:eastAsia="Arial" w:hAnsi="Arial"/>
          <w:sz w:val="21"/>
          <w:szCs w:val="21"/>
        </w:rPr>
        <w:t xml:space="preserve">依据Hermann的七维度领导特质分析框架，对萧美琴进行初步对照评估：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LTA维度</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评估</w:t>
            </w:r>
          </w:p>
        </w:tc>
        <w:tc>
          <w:tcPr>
            <w:tcW w:type="dxa" w:w="5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证据摘要</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控制事件的信念</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中-高</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主动塑造美台关系结构，而非被动响应环境</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概念复杂度</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能够在多重角色间切换，处理复杂三角关系</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权力需求</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不追求显性权力展示，但持续提升影响力</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不信任他人</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中-高</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对大陆意图保持高度警觉，对美方保持守戴的信任</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内群偏好</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强调台湾主体性，但能跨文化沟通</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自信心</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在国际场合表现极强的自信和适应性</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任务导向</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重视政策可操作性与外部可接受度</w:t>
            </w:r>
          </w:p>
        </w:tc>
      </w:tr>
    </w:tbl>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基于Hermann(2005)框架的推断性分析</w:t>
      </w:r>
    </w:p>
    <w:p>
      <w:pPr>
        <w:pStyle w:val="Heading2"/>
        <w:spacing w:after="160" w:before="280"/>
      </w:pPr>
      <w:r>
        <w:rPr>
          <w:rFonts w:ascii="Arial" w:cs="Arial" w:eastAsia="Arial" w:hAnsi="Arial"/>
          <w:b/>
          <w:bCs/>
          <w:sz w:val="26"/>
          <w:szCs w:val="26"/>
        </w:rPr>
        <w:t xml:space="preserve">4.3 Barber总统类型学对照</w:t>
      </w:r>
    </w:p>
    <w:p>
      <w:pPr>
        <w:spacing w:after="120" w:line="300"/>
      </w:pPr>
      <w:r>
        <w:rPr>
          <w:rFonts w:ascii="Arial" w:cs="Arial" w:eastAsia="Arial" w:hAnsi="Arial"/>
          <w:sz w:val="21"/>
          <w:szCs w:val="21"/>
        </w:rPr>
        <w:t xml:space="preserve">依据Barber(1972)的四分类型框架，萧美琴更接近“</w:t>
      </w:r>
      <w:r>
        <w:rPr>
          <w:rFonts w:ascii="Arial" w:cs="Arial" w:eastAsia="Arial" w:hAnsi="Arial"/>
          <w:b/>
          <w:bCs/>
          <w:sz w:val="21"/>
          <w:szCs w:val="21"/>
        </w:rPr>
        <w:t xml:space="preserve">积极-正面型（Active-Positive）</w:t>
      </w:r>
      <w:r>
        <w:rPr>
          <w:rFonts w:ascii="Arial" w:cs="Arial" w:eastAsia="Arial" w:hAnsi="Arial"/>
          <w:sz w:val="21"/>
          <w:szCs w:val="21"/>
        </w:rPr>
        <w:t xml:space="preserve">”——高度主动地参与政治进程，对政治角色保持积极态度，且具备较强的适应性。她不属于“积极-负面型”的僵化特征，也不具备“消极型”的规避倾向。</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基于Barber(1972)框架的推断性分析</w:t>
      </w:r>
    </w:p>
    <w:p>
      <w:pPr>
        <w:pStyle w:val="Heading2"/>
        <w:spacing w:after="160" w:before="280"/>
      </w:pPr>
      <w:r>
        <w:rPr>
          <w:rFonts w:ascii="Arial" w:cs="Arial" w:eastAsia="Arial" w:hAnsi="Arial"/>
          <w:b/>
          <w:bCs/>
          <w:sz w:val="26"/>
          <w:szCs w:val="26"/>
        </w:rPr>
        <w:t xml:space="preserve">4.4 George操作码分析</w:t>
      </w:r>
    </w:p>
    <w:p>
      <w:pPr>
        <w:spacing w:after="120" w:line="300"/>
      </w:pPr>
      <w:r>
        <w:rPr>
          <w:rFonts w:ascii="Arial" w:cs="Arial" w:eastAsia="Arial" w:hAnsi="Arial"/>
          <w:sz w:val="21"/>
          <w:szCs w:val="21"/>
        </w:rPr>
        <w:t xml:space="preserve">依据Alexander George(1969)的操作码分析框架：</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哲学信念域</w:t>
      </w:r>
      <w:r>
        <w:rPr>
          <w:rFonts w:ascii="Arial" w:cs="Arial" w:eastAsia="Arial" w:hAnsi="Arial"/>
          <w:sz w:val="21"/>
          <w:szCs w:val="21"/>
        </w:rPr>
        <w:t xml:space="preserve">：将政治环境视为可塑造但充满竞争的场域，对大陆意图持悟实判断，对美方保持有条件信任。对未来持谨慎乐观态度，认为通过持续努力可以塑造有利结果。</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工具信念域</w:t>
      </w:r>
      <w:r>
        <w:rPr>
          <w:rFonts w:ascii="Arial" w:cs="Arial" w:eastAsia="Arial" w:hAnsi="Arial"/>
          <w:sz w:val="21"/>
          <w:szCs w:val="21"/>
        </w:rPr>
        <w:t xml:space="preserve">：偏好渐进式策略，避免一次性制度突破；重视多边合作与制度嵌入；通过“切香肠”策略稀释每次行动的政治风险；善于将安全议题嵌入更广泛的“价值观合作”框架。</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基于George(1969)框架的推断性分析</w:t>
      </w:r>
    </w:p>
    <w:p>
      <w:pPr>
        <w:pStyle w:val="Heading2"/>
        <w:spacing w:after="160" w:before="280"/>
      </w:pPr>
      <w:r>
        <w:rPr>
          <w:rFonts w:ascii="Arial" w:cs="Arial" w:eastAsia="Arial" w:hAnsi="Arial"/>
          <w:b/>
          <w:bCs/>
          <w:sz w:val="26"/>
          <w:szCs w:val="26"/>
        </w:rPr>
        <w:t xml:space="preserve">4.5 Winter动机分析</w:t>
      </w:r>
    </w:p>
    <w:p>
      <w:pPr>
        <w:spacing w:after="120" w:line="300"/>
      </w:pPr>
      <w:r>
        <w:rPr>
          <w:rFonts w:ascii="Arial" w:cs="Arial" w:eastAsia="Arial" w:hAnsi="Arial"/>
          <w:sz w:val="21"/>
          <w:szCs w:val="21"/>
        </w:rPr>
        <w:t xml:space="preserve">依据David Winter的权力-成就-亲和三维动机编码体系：</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权力动机</w:t>
      </w:r>
      <w:r>
        <w:rPr>
          <w:rFonts w:ascii="Arial" w:cs="Arial" w:eastAsia="Arial" w:hAnsi="Arial"/>
          <w:sz w:val="21"/>
          <w:szCs w:val="21"/>
        </w:rPr>
        <w:t xml:space="preserve">：中等—不追求显性权力展示，但通过制度嵌入实现持续影响力。</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成就动机</w:t>
      </w:r>
      <w:r>
        <w:rPr>
          <w:rFonts w:ascii="Arial" w:cs="Arial" w:eastAsia="Arial" w:hAnsi="Arial"/>
          <w:sz w:val="21"/>
          <w:szCs w:val="21"/>
        </w:rPr>
        <w:t xml:space="preserve">：高—重视政策突破与可量化成果（如《台美21世纪贸易倡议》、修订《对台交往准则》）。</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亲和动机</w:t>
      </w:r>
      <w:r>
        <w:rPr>
          <w:rFonts w:ascii="Arial" w:cs="Arial" w:eastAsia="Arial" w:hAnsi="Arial"/>
          <w:sz w:val="21"/>
          <w:szCs w:val="21"/>
        </w:rPr>
        <w:t xml:space="preserve">：中-高—善于通过“双橡园”社交外交建立深层私人关系，但亲和服务于战略目标。</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基于Winter动机分析框架</w:t>
      </w:r>
    </w:p>
    <w:p>
      <w:pPr>
        <w:pStyle w:val="Heading2"/>
        <w:spacing w:after="160" w:before="280"/>
      </w:pPr>
      <w:r>
        <w:rPr>
          <w:rFonts w:ascii="Arial" w:cs="Arial" w:eastAsia="Arial" w:hAnsi="Arial"/>
          <w:b/>
          <w:bCs/>
          <w:sz w:val="26"/>
          <w:szCs w:val="26"/>
        </w:rPr>
        <w:t xml:space="preserve">4.6 五大策略行为模式提炼</w:t>
      </w:r>
    </w:p>
    <w:p>
      <w:pPr>
        <w:spacing w:after="120" w:line="300"/>
      </w:pPr>
      <w:r>
        <w:rPr>
          <w:rFonts w:ascii="Arial" w:cs="Arial" w:eastAsia="Arial" w:hAnsi="Arial"/>
          <w:sz w:val="21"/>
          <w:szCs w:val="21"/>
        </w:rPr>
        <w:t xml:space="preserve">综合两份报告的分析，提炼出萧美琴的五大核心策略行为模式：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2960"/>
      </w:tblGrid>
      <w:tr>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模式编号</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模式名称</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具体表现</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典型案例</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BP-1</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“切香肠”式渐进推进</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通过多次小幅度突破稀释每次行动的政治风险</w:t>
            </w:r>
          </w:p>
        </w:tc>
        <w:tc>
          <w:tcPr>
            <w:tcW w:type="dxa" w:w="2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《台美21世纪贸易倡议》、修订《对台交往准则》</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BP-2</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“形式非正式、实质高度政治化”社交策略</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将非正式社交场景转化为政策突破的前置条件</w:t>
            </w:r>
          </w:p>
        </w:tc>
        <w:tc>
          <w:tcPr>
            <w:tcW w:type="dxa" w:w="2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双橡园凤梨酥外交、拜登就职典礼参加</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BP-3</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“价值观包装”安全议题</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将安全合作嵌入“民主合作”“供应链安全”等更广泛框架</w:t>
            </w:r>
          </w:p>
        </w:tc>
        <w:tc>
          <w:tcPr>
            <w:tcW w:type="dxa" w:w="2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半导体产业链赴美、SCSP AI+科技博览会</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BP-4</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跨党派、跨地域网络经营</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同时维护民主党和共和党人脉，同时拓展欧洲网络</w:t>
            </w:r>
          </w:p>
        </w:tc>
        <w:tc>
          <w:tcPr>
            <w:tcW w:type="dxa" w:w="2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达克沃思+苏利文+蓬佩奥、英国+IPAC</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BP-5</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“危机转化”叙事能力</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将危机事件转化为有利的国际话语</w:t>
            </w:r>
          </w:p>
        </w:tc>
        <w:tc>
          <w:tcPr>
            <w:tcW w:type="dxa" w:w="2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捷克车辆碰撞事件转化为“战猫对抗战狼”叙事</w:t>
            </w:r>
          </w:p>
        </w:tc>
      </w:tr>
    </w:tbl>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综合分析提炼</w:t>
      </w:r>
    </w:p>
    <w:p>
      <w:r>
        <w:br w:type="page"/>
      </w:r>
    </w:p>
    <w:p>
      <w:pPr>
        <w:pStyle w:val="Heading1"/>
        <w:spacing w:after="200" w:before="360"/>
      </w:pPr>
      <w:r>
        <w:rPr>
          <w:rFonts w:ascii="Arial" w:cs="Arial" w:eastAsia="Arial" w:hAnsi="Arial"/>
          <w:b/>
          <w:bCs/>
          <w:sz w:val="32"/>
          <w:szCs w:val="32"/>
        </w:rPr>
        <w:t xml:space="preserve">第五篇：综合研判与风险评估</w:t>
      </w:r>
    </w:p>
    <w:p>
      <w:pPr>
        <w:pStyle w:val="Heading2"/>
        <w:spacing w:after="160" w:before="280"/>
      </w:pPr>
      <w:r>
        <w:rPr>
          <w:rFonts w:ascii="Arial" w:cs="Arial" w:eastAsia="Arial" w:hAnsi="Arial"/>
          <w:b/>
          <w:bCs/>
          <w:sz w:val="26"/>
          <w:szCs w:val="26"/>
        </w:rPr>
        <w:t xml:space="preserve">5.1 类型总结：国际事务导向的战略型政治人物</w:t>
      </w:r>
    </w:p>
    <w:p>
      <w:pPr>
        <w:spacing w:after="120" w:line="300"/>
      </w:pPr>
      <w:r>
        <w:rPr>
          <w:rFonts w:ascii="Arial" w:cs="Arial" w:eastAsia="Arial" w:hAnsi="Arial"/>
          <w:sz w:val="21"/>
          <w:szCs w:val="21"/>
        </w:rPr>
        <w:t xml:space="preserve">综合其成长背景、政治历练与政策取向，萧美琴可被界定为“</w:t>
      </w:r>
      <w:r>
        <w:rPr>
          <w:rFonts w:ascii="Arial" w:cs="Arial" w:eastAsia="Arial" w:hAnsi="Arial"/>
          <w:b/>
          <w:bCs/>
          <w:sz w:val="21"/>
          <w:szCs w:val="21"/>
        </w:rPr>
        <w:t xml:space="preserve">对外能力突出、意识形态稳固、操作风格克制但战略方向清晰</w:t>
      </w:r>
      <w:r>
        <w:rPr>
          <w:rFonts w:ascii="Arial" w:cs="Arial" w:eastAsia="Arial" w:hAnsi="Arial"/>
          <w:sz w:val="21"/>
          <w:szCs w:val="21"/>
        </w:rPr>
        <w:t xml:space="preserve">”的民进党国际事务型核心政治人物。</w:t>
      </w:r>
    </w:p>
    <w:p>
      <w:pPr>
        <w:spacing w:after="120" w:line="300"/>
      </w:pPr>
      <w:r>
        <w:rPr>
          <w:rFonts w:ascii="Arial" w:cs="Arial" w:eastAsia="Arial" w:hAnsi="Arial"/>
          <w:sz w:val="21"/>
          <w:szCs w:val="21"/>
        </w:rPr>
        <w:t xml:space="preserve">其权力上升路径呈现“</w:t>
      </w:r>
      <w:r>
        <w:rPr>
          <w:rFonts w:ascii="Arial" w:cs="Arial" w:eastAsia="Arial" w:hAnsi="Arial"/>
          <w:b/>
          <w:bCs/>
          <w:sz w:val="21"/>
          <w:szCs w:val="21"/>
        </w:rPr>
        <w:t xml:space="preserve">专业能力—涉外资源—制度化职位</w:t>
      </w:r>
      <w:r>
        <w:rPr>
          <w:rFonts w:ascii="Arial" w:cs="Arial" w:eastAsia="Arial" w:hAnsi="Arial"/>
          <w:sz w:val="21"/>
          <w:szCs w:val="21"/>
        </w:rPr>
        <w:t xml:space="preserve">”递进逻辑，凭借对外事务专长与跨文化沟通优势逐步获得党内信任。这种路径在台湾政治人物中具有特殊性，反映出台湾政治精英结构正在发生某种程度的转型。</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综合研判</w:t>
      </w:r>
    </w:p>
    <w:p>
      <w:pPr>
        <w:pStyle w:val="Heading2"/>
        <w:spacing w:after="160" w:before="280"/>
      </w:pPr>
      <w:r>
        <w:rPr>
          <w:rFonts w:ascii="Arial" w:cs="Arial" w:eastAsia="Arial" w:hAnsi="Arial"/>
          <w:b/>
          <w:bCs/>
          <w:sz w:val="26"/>
          <w:szCs w:val="26"/>
        </w:rPr>
        <w:t xml:space="preserve">5.2 风险等级判断：“中高风险变量”</w:t>
      </w:r>
    </w:p>
    <w:p>
      <w:pPr>
        <w:spacing w:after="120" w:line="300"/>
      </w:pPr>
      <w:r>
        <w:rPr>
          <w:rFonts w:ascii="Arial" w:cs="Arial" w:eastAsia="Arial" w:hAnsi="Arial"/>
          <w:sz w:val="21"/>
          <w:szCs w:val="21"/>
        </w:rPr>
        <w:t xml:space="preserve">从两岸关系视角评估，萧美琴可被视为“</w:t>
      </w:r>
      <w:r>
        <w:rPr>
          <w:rFonts w:ascii="Arial" w:cs="Arial" w:eastAsia="Arial" w:hAnsi="Arial"/>
          <w:b/>
          <w:bCs/>
          <w:sz w:val="21"/>
          <w:szCs w:val="21"/>
        </w:rPr>
        <w:t xml:space="preserve">中高风险变量</w:t>
      </w:r>
      <w:r>
        <w:rPr>
          <w:rFonts w:ascii="Arial" w:cs="Arial" w:eastAsia="Arial" w:hAnsi="Arial"/>
          <w:sz w:val="21"/>
          <w:szCs w:val="21"/>
        </w:rPr>
        <w:t xml:space="preserve">”，但其风险属性更多体现为结构性而非突发性：</w:t>
      </w:r>
    </w:p>
    <w:p>
      <w:pPr>
        <w:spacing w:after="120" w:line="300"/>
      </w:pPr>
      <w:r>
        <w:rPr>
          <w:rFonts w:ascii="Arial" w:cs="Arial" w:eastAsia="Arial" w:hAnsi="Arial"/>
          <w:sz w:val="21"/>
          <w:szCs w:val="21"/>
        </w:rPr>
        <w:t xml:space="preserve">① 其政策取向在客观上可能进一步压缩两岸政治互信空间。</w:t>
      </w:r>
    </w:p>
    <w:p>
      <w:pPr>
        <w:spacing w:after="120" w:line="300"/>
      </w:pPr>
      <w:r>
        <w:rPr>
          <w:rFonts w:ascii="Arial" w:cs="Arial" w:eastAsia="Arial" w:hAnsi="Arial"/>
          <w:sz w:val="21"/>
          <w:szCs w:val="21"/>
        </w:rPr>
        <w:t xml:space="preserve">② 与部分高调推动政治对抗的岛内政治人物相比，其政策推进方式更具隐蔽性与持续性。此类“低可见度推进”在制度层面产生累积效应，一旦相关结构成形，其逆转成本通常较高。</w:t>
      </w:r>
    </w:p>
    <w:p>
      <w:pPr>
        <w:spacing w:after="120" w:line="300"/>
      </w:pPr>
      <w:r>
        <w:rPr>
          <w:rFonts w:ascii="Arial" w:cs="Arial" w:eastAsia="Arial" w:hAnsi="Arial"/>
          <w:sz w:val="21"/>
          <w:szCs w:val="21"/>
        </w:rPr>
        <w:t xml:space="preserve">③ 其“</w:t>
      </w:r>
      <w:r>
        <w:rPr>
          <w:rFonts w:ascii="Arial" w:cs="Arial" w:eastAsia="Arial" w:hAnsi="Arial"/>
          <w:b/>
          <w:bCs/>
          <w:sz w:val="21"/>
          <w:szCs w:val="21"/>
        </w:rPr>
        <w:t xml:space="preserve">柔性蚕食</w:t>
      </w:r>
      <w:r>
        <w:rPr>
          <w:rFonts w:ascii="Arial" w:cs="Arial" w:eastAsia="Arial" w:hAnsi="Arial"/>
          <w:sz w:val="21"/>
          <w:szCs w:val="21"/>
        </w:rPr>
        <w:t xml:space="preserve">”的策略相比于传统激进派，具有更强的持久性与更复杂的反制难度。</w:t>
      </w:r>
    </w:p>
    <w:p>
      <w:pPr>
        <w:spacing w:after="120" w:line="300"/>
      </w:pPr>
      <w:r>
        <w:rPr>
          <w:rFonts w:ascii="Arial" w:cs="Arial" w:eastAsia="Arial" w:hAnsi="Arial"/>
          <w:sz w:val="21"/>
          <w:szCs w:val="21"/>
        </w:rPr>
        <w:t xml:space="preserve">④ 不过，萧美琴并不属于风险偏好型政治人物。其决策逻辑通常建立在可控风险基础之上，风险更可能表现为“持续抬升的温度”而非突然升级的冲击。</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综合风险评估</w:t>
      </w:r>
    </w:p>
    <w:p>
      <w:pPr>
        <w:pStyle w:val="Heading2"/>
        <w:spacing w:after="160" w:before="280"/>
      </w:pPr>
      <w:r>
        <w:rPr>
          <w:rFonts w:ascii="Arial" w:cs="Arial" w:eastAsia="Arial" w:hAnsi="Arial"/>
          <w:b/>
          <w:bCs/>
          <w:sz w:val="26"/>
          <w:szCs w:val="26"/>
        </w:rPr>
        <w:t xml:space="preserve">5.3 对美台关系影响评估</w:t>
      </w:r>
    </w:p>
    <w:p>
      <w:pPr>
        <w:spacing w:after="120" w:line="300"/>
      </w:pPr>
      <w:r>
        <w:rPr>
          <w:rFonts w:ascii="Arial" w:cs="Arial" w:eastAsia="Arial" w:hAnsi="Arial"/>
          <w:sz w:val="21"/>
          <w:szCs w:val="21"/>
        </w:rPr>
        <w:t xml:space="preserve">在美台关系维度，萧美琴是明显的“</w:t>
      </w:r>
      <w:r>
        <w:rPr>
          <w:rFonts w:ascii="Arial" w:cs="Arial" w:eastAsia="Arial" w:hAnsi="Arial"/>
          <w:b/>
          <w:bCs/>
          <w:sz w:val="21"/>
          <w:szCs w:val="21"/>
        </w:rPr>
        <w:t xml:space="preserve">强化变量</w:t>
      </w:r>
      <w:r>
        <w:rPr>
          <w:rFonts w:ascii="Arial" w:cs="Arial" w:eastAsia="Arial" w:hAnsi="Arial"/>
          <w:sz w:val="21"/>
          <w:szCs w:val="21"/>
        </w:rPr>
        <w:t xml:space="preserve">”。其长期深耕美国政治网络，对国会运作、政策社群及智库体系均具有较强熟悉度。她所推动的并非单次政策突破，而是关系结构的制度化——包括高层互动常态化、安全议题前置化以及政策协调机制深化。这种制度化一旦形成，往往具有路径依赖特征。</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综合研判</w:t>
      </w:r>
    </w:p>
    <w:p>
      <w:pPr>
        <w:pStyle w:val="Heading2"/>
        <w:spacing w:after="160" w:before="280"/>
      </w:pPr>
      <w:r>
        <w:rPr>
          <w:rFonts w:ascii="Arial" w:cs="Arial" w:eastAsia="Arial" w:hAnsi="Arial"/>
          <w:b/>
          <w:bCs/>
          <w:sz w:val="26"/>
          <w:szCs w:val="26"/>
        </w:rPr>
        <w:t xml:space="preserve">5.4 个人发展前景评估</w:t>
      </w:r>
    </w:p>
    <w:p>
      <w:pPr>
        <w:spacing w:after="120" w:line="300"/>
      </w:pPr>
      <w:r>
        <w:rPr>
          <w:rFonts w:ascii="Arial" w:cs="Arial" w:eastAsia="Arial" w:hAnsi="Arial"/>
          <w:sz w:val="21"/>
          <w:szCs w:val="21"/>
        </w:rPr>
        <w:t xml:space="preserve">将萧美琴定位为“</w:t>
      </w:r>
      <w:r>
        <w:rPr>
          <w:rFonts w:ascii="Arial" w:cs="Arial" w:eastAsia="Arial" w:hAnsi="Arial"/>
          <w:b/>
          <w:bCs/>
          <w:sz w:val="21"/>
          <w:szCs w:val="21"/>
        </w:rPr>
        <w:t xml:space="preserve">潜在接班梯队中的功能型人选</w:t>
      </w:r>
      <w:r>
        <w:rPr>
          <w:rFonts w:ascii="Arial" w:cs="Arial" w:eastAsia="Arial" w:hAnsi="Arial"/>
          <w:sz w:val="21"/>
          <w:szCs w:val="21"/>
        </w:rPr>
        <w:t xml:space="preserve">”。其优势在于国际事务能力突出、形象稳健，但群众动员能力与地方政治基础仍相对有限。在台湾政治“安全化”“国际化”趋势下，具备对外战略能力的政治人物重要性可能持续上升。</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综合研判</w:t>
      </w:r>
    </w:p>
    <w:p>
      <w:pPr>
        <w:pStyle w:val="Heading2"/>
        <w:spacing w:after="160" w:before="280"/>
      </w:pPr>
      <w:r>
        <w:rPr>
          <w:rFonts w:ascii="Arial" w:cs="Arial" w:eastAsia="Arial" w:hAnsi="Arial"/>
          <w:b/>
          <w:bCs/>
          <w:sz w:val="26"/>
          <w:szCs w:val="26"/>
        </w:rPr>
        <w:t xml:space="preserve">5.5 重点跟踪建议</w:t>
      </w:r>
    </w:p>
    <w:p>
      <w:pPr>
        <w:spacing w:after="120" w:line="300"/>
      </w:pPr>
      <w:r>
        <w:rPr>
          <w:rFonts w:ascii="Arial" w:cs="Arial" w:eastAsia="Arial" w:hAnsi="Arial"/>
          <w:sz w:val="21"/>
          <w:szCs w:val="21"/>
        </w:rPr>
        <w:t xml:space="preserve">基于上述研判，建议重点关注以下动向：</w:t>
      </w:r>
    </w:p>
    <w:p>
      <w:pPr>
        <w:spacing w:after="120" w:line="300"/>
      </w:pPr>
      <w:r>
        <w:rPr>
          <w:rFonts w:ascii="Arial" w:cs="Arial" w:eastAsia="Arial" w:hAnsi="Arial"/>
          <w:sz w:val="21"/>
          <w:szCs w:val="21"/>
        </w:rPr>
        <w:t xml:space="preserve">① 持续跟踪其对美沟通角色是否出现升级，尤其是否由政策执行者转向议程塑造者。</w:t>
      </w:r>
    </w:p>
    <w:p>
      <w:pPr>
        <w:spacing w:after="120" w:line="300"/>
      </w:pPr>
      <w:r>
        <w:rPr>
          <w:rFonts w:ascii="Arial" w:cs="Arial" w:eastAsia="Arial" w:hAnsi="Arial"/>
          <w:sz w:val="21"/>
          <w:szCs w:val="21"/>
        </w:rPr>
        <w:t xml:space="preserve">② 关注其在党内权力结构中的位置变化，特别是与现有领导核心的互动模式。</w:t>
      </w:r>
    </w:p>
    <w:p>
      <w:pPr>
        <w:spacing w:after="120" w:line="300"/>
      </w:pPr>
      <w:r>
        <w:rPr>
          <w:rFonts w:ascii="Arial" w:cs="Arial" w:eastAsia="Arial" w:hAnsi="Arial"/>
          <w:sz w:val="21"/>
          <w:szCs w:val="21"/>
        </w:rPr>
        <w:t xml:space="preserve">③ 观察其安全政策表述是否趋于前置化或体系化。</w:t>
      </w:r>
    </w:p>
    <w:p>
      <w:pPr>
        <w:spacing w:after="120" w:line="300"/>
      </w:pPr>
      <w:r>
        <w:rPr>
          <w:rFonts w:ascii="Arial" w:cs="Arial" w:eastAsia="Arial" w:hAnsi="Arial"/>
          <w:sz w:val="21"/>
          <w:szCs w:val="21"/>
        </w:rPr>
        <w:t xml:space="preserve">④ 注意其公共形象塑造方向。若逐步强化“安全领导者”或“国际事务专家”的政治标签，可能意味着其正为更高层级政治角色积累正当性资源。</w:t>
      </w:r>
    </w:p>
    <w:p>
      <w:pPr>
        <w:spacing w:after="120" w:line="300"/>
      </w:pPr>
      <w:r>
        <w:rPr>
          <w:rFonts w:ascii="Arial" w:cs="Arial" w:eastAsia="Arial" w:hAnsi="Arial"/>
          <w:sz w:val="21"/>
          <w:szCs w:val="21"/>
        </w:rPr>
        <w:t xml:space="preserve">⑤ 跟踪其欧洲线布局进展，尤其是IPAC体系与英国政界的深入互动。</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策略建议</w:t>
      </w:r>
    </w:p>
    <w:p>
      <w:r>
        <w:br w:type="page"/>
      </w:r>
    </w:p>
    <w:p>
      <w:pPr>
        <w:pStyle w:val="Heading1"/>
        <w:spacing w:after="200" w:before="360"/>
      </w:pPr>
      <w:r>
        <w:rPr>
          <w:rFonts w:ascii="Arial" w:cs="Arial" w:eastAsia="Arial" w:hAnsi="Arial"/>
          <w:b/>
          <w:bCs/>
          <w:sz w:val="32"/>
          <w:szCs w:val="32"/>
        </w:rPr>
        <w:t xml:space="preserve">第六篇：深度反思—未解决的分析维度（v1.1新增）</w:t>
      </w:r>
    </w:p>
    <w:p>
      <w:pPr>
        <w:spacing w:after="120" w:line="300"/>
      </w:pPr>
      <w:r>
        <w:rPr>
          <w:rFonts w:ascii="Arial" w:cs="Arial" w:eastAsia="Arial" w:hAnsi="Arial"/>
          <w:sz w:val="21"/>
          <w:szCs w:val="21"/>
        </w:rPr>
        <w:t xml:space="preserve">在完成v1.1版报告的基础上，反思当前分析仍未充分触及的深层维度：</w:t>
      </w:r>
    </w:p>
    <w:p>
      <w:pPr>
        <w:pStyle w:val="Heading2"/>
        <w:spacing w:after="160" w:before="280"/>
      </w:pPr>
      <w:r>
        <w:rPr>
          <w:rFonts w:ascii="Arial" w:cs="Arial" w:eastAsia="Arial" w:hAnsi="Arial"/>
          <w:b/>
          <w:bCs/>
          <w:sz w:val="26"/>
          <w:szCs w:val="26"/>
        </w:rPr>
        <w:t xml:space="preserve">6.1 行为模式的深层探测</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待探测维度</w:t>
      </w:r>
      <w:r>
        <w:rPr>
          <w:rFonts w:ascii="Arial" w:cs="Arial" w:eastAsia="Arial" w:hAnsi="Arial"/>
          <w:sz w:val="21"/>
          <w:szCs w:val="21"/>
        </w:rPr>
        <w:t xml:space="preserve">：危机决策中的心理特征——目前仅有捷克车辆碰撞事件的单一案例，不足以建立危机决策模式。需要更多的“压力测试”场景来探测其在高压环境下的决策偏好。</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待探测维度</w:t>
      </w:r>
      <w:r>
        <w:rPr>
          <w:rFonts w:ascii="Arial" w:cs="Arial" w:eastAsia="Arial" w:hAnsi="Arial"/>
          <w:sz w:val="21"/>
          <w:szCs w:val="21"/>
        </w:rPr>
        <w:t xml:space="preserve">：信息处理风格——其决策是基于广泛信息输入还是少数信任顾问的意见？其图根哈特式的“关门决策”倾向如何影响政策质量？</w:t>
      </w:r>
    </w:p>
    <w:p>
      <w:pPr>
        <w:pStyle w:val="Heading2"/>
        <w:spacing w:after="160" w:before="280"/>
      </w:pPr>
      <w:r>
        <w:rPr>
          <w:rFonts w:ascii="Arial" w:cs="Arial" w:eastAsia="Arial" w:hAnsi="Arial"/>
          <w:b/>
          <w:bCs/>
          <w:sz w:val="26"/>
          <w:szCs w:val="26"/>
        </w:rPr>
        <w:t xml:space="preserve">6.2 社交网络的结构性分析</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待探测维度</w:t>
      </w:r>
      <w:r>
        <w:rPr>
          <w:rFonts w:ascii="Arial" w:cs="Arial" w:eastAsia="Arial" w:hAnsi="Arial"/>
          <w:sz w:val="21"/>
          <w:szCs w:val="21"/>
        </w:rPr>
        <w:t xml:space="preserve">：网络中心性与桥接作用——萧美琴在美台政治网络中扮演的是“中心节点”还是“桥接节点”？其“betweenness centrality”指标如何？若萧美琴退场，美台沟通渠道是否会出现结构性断裂？</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待探测维度</w:t>
      </w:r>
      <w:r>
        <w:rPr>
          <w:rFonts w:ascii="Arial" w:cs="Arial" w:eastAsia="Arial" w:hAnsi="Arial"/>
          <w:sz w:val="21"/>
          <w:szCs w:val="21"/>
        </w:rPr>
        <w:t xml:space="preserve">：网络的动态演化——其人脉网络如何随美国政党更替而调整？其跨党派网络经营是否存在“双重忠诚”风险？</w:t>
      </w:r>
    </w:p>
    <w:p>
      <w:pPr>
        <w:pStyle w:val="Heading2"/>
        <w:spacing w:after="160" w:before="280"/>
      </w:pPr>
      <w:r>
        <w:rPr>
          <w:rFonts w:ascii="Arial" w:cs="Arial" w:eastAsia="Arial" w:hAnsi="Arial"/>
          <w:b/>
          <w:bCs/>
          <w:sz w:val="26"/>
          <w:szCs w:val="26"/>
        </w:rPr>
        <w:t xml:space="preserve">6.3 周边人群的经济活动探测</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待探测维度</w:t>
      </w:r>
      <w:r>
        <w:rPr>
          <w:rFonts w:ascii="Arial" w:cs="Arial" w:eastAsia="Arial" w:hAnsi="Arial"/>
          <w:sz w:val="21"/>
          <w:szCs w:val="21"/>
        </w:rPr>
        <w:t xml:space="preserve">：尽管厦大报告认为其家族为“非商背景”，但仍需探测：</w:t>
      </w:r>
    </w:p>
    <w:p>
      <w:pPr>
        <w:spacing w:after="120" w:line="300"/>
      </w:pPr>
      <w:r>
        <w:rPr>
          <w:rFonts w:ascii="Arial" w:cs="Arial" w:eastAsia="Arial" w:hAnsi="Arial"/>
          <w:sz w:val="21"/>
          <w:szCs w:val="21"/>
        </w:rPr>
        <w:t xml:space="preserve">① 其核心幕僚团队成员是否存在商业利益关联？</w:t>
      </w:r>
    </w:p>
    <w:p>
      <w:pPr>
        <w:spacing w:after="120" w:line="300"/>
      </w:pPr>
      <w:r>
        <w:rPr>
          <w:rFonts w:ascii="Arial" w:cs="Arial" w:eastAsia="Arial" w:hAnsi="Arial"/>
          <w:sz w:val="21"/>
          <w:szCs w:val="21"/>
        </w:rPr>
        <w:t xml:space="preserve">② 推动半导体产业链赴美过程中，是否存在特定利益群体的游说影响？</w:t>
      </w:r>
    </w:p>
    <w:p>
      <w:pPr>
        <w:spacing w:after="120" w:line="300"/>
      </w:pPr>
      <w:r>
        <w:rPr>
          <w:rFonts w:ascii="Arial" w:cs="Arial" w:eastAsia="Arial" w:hAnsi="Arial"/>
          <w:sz w:val="21"/>
          <w:szCs w:val="21"/>
        </w:rPr>
        <w:t xml:space="preserve">③ 双橡园社交活动的资金来源与资源调配机制是什么？</w:t>
      </w:r>
    </w:p>
    <w:p>
      <w:pPr>
        <w:spacing w:after="120" w:line="300"/>
      </w:pPr>
      <w:r>
        <w:rPr>
          <w:rFonts w:ascii="Arial" w:cs="Arial" w:eastAsia="Arial" w:hAnsi="Arial"/>
          <w:sz w:val="21"/>
          <w:szCs w:val="21"/>
        </w:rPr>
        <w:t xml:space="preserve">④ 其国际人脉网络中是否存在“旋转门”现象？</w:t>
      </w:r>
    </w:p>
    <w:p>
      <w:pPr>
        <w:pStyle w:val="Heading2"/>
        <w:spacing w:after="160" w:before="280"/>
      </w:pPr>
      <w:r>
        <w:rPr>
          <w:rFonts w:ascii="Arial" w:cs="Arial" w:eastAsia="Arial" w:hAnsi="Arial"/>
          <w:b/>
          <w:bCs/>
          <w:sz w:val="26"/>
          <w:szCs w:val="26"/>
        </w:rPr>
        <w:t xml:space="preserve">6.4 认知战与叙事建构的深层分析</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待探测维度</w:t>
      </w:r>
      <w:r>
        <w:rPr>
          <w:rFonts w:ascii="Arial" w:cs="Arial" w:eastAsia="Arial" w:hAnsi="Arial"/>
          <w:sz w:val="21"/>
          <w:szCs w:val="21"/>
        </w:rPr>
        <w:t xml:space="preserve">：她在不同受众面前的叙事差异——对美方、对欧洲、对岛内、对媒体的话语体系是否存在系统性差异？这种叙事差异是否构成可利用的分析突破口？</w:t>
      </w:r>
    </w:p>
    <w:p>
      <w:pPr>
        <w:pStyle w:val="Heading2"/>
        <w:spacing w:after="160" w:before="280"/>
      </w:pPr>
      <w:r>
        <w:rPr>
          <w:rFonts w:ascii="Arial" w:cs="Arial" w:eastAsia="Arial" w:hAnsi="Arial"/>
          <w:b/>
          <w:bCs/>
          <w:sz w:val="26"/>
          <w:szCs w:val="26"/>
        </w:rPr>
        <w:t xml:space="preserve">6.5 前瞻性不确定性</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关键不确定性</w:t>
      </w:r>
      <w:r>
        <w:rPr>
          <w:rFonts w:ascii="Arial" w:cs="Arial" w:eastAsia="Arial" w:hAnsi="Arial"/>
          <w:sz w:val="21"/>
          <w:szCs w:val="21"/>
        </w:rPr>
        <w:t xml:space="preserve">：</w:t>
      </w:r>
    </w:p>
    <w:p>
      <w:pPr>
        <w:spacing w:after="120" w:line="300"/>
      </w:pPr>
      <w:r>
        <w:rPr>
          <w:rFonts w:ascii="Arial" w:cs="Arial" w:eastAsia="Arial" w:hAnsi="Arial"/>
          <w:sz w:val="21"/>
          <w:szCs w:val="21"/>
        </w:rPr>
        <w:t xml:space="preserve">① 若美国对台政策出现重大调整（如“交易化”倾向），其网络资源是否仍然有效？</w:t>
      </w:r>
    </w:p>
    <w:p>
      <w:pPr>
        <w:spacing w:after="120" w:line="300"/>
      </w:pPr>
      <w:r>
        <w:rPr>
          <w:rFonts w:ascii="Arial" w:cs="Arial" w:eastAsia="Arial" w:hAnsi="Arial"/>
          <w:sz w:val="21"/>
          <w:szCs w:val="21"/>
        </w:rPr>
        <w:t xml:space="preserve">② 英系影响力随权力更迭而下降时，其独立竞争能力如何？</w:t>
      </w:r>
    </w:p>
    <w:p>
      <w:pPr>
        <w:spacing w:after="120" w:line="300"/>
      </w:pPr>
      <w:r>
        <w:rPr>
          <w:rFonts w:ascii="Arial" w:cs="Arial" w:eastAsia="Arial" w:hAnsi="Arial"/>
          <w:sz w:val="21"/>
          <w:szCs w:val="21"/>
        </w:rPr>
        <w:t xml:space="preserve">③ 作为“动态交互的多美处理器”，若同时面临多个危机的并发压力，其决策质量会如何变化？</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反思性分析</w:t>
      </w:r>
    </w:p>
    <w:p>
      <w:r>
        <w:br w:type="page"/>
      </w:r>
    </w:p>
    <w:p>
      <w:pPr>
        <w:pStyle w:val="Heading1"/>
        <w:spacing w:after="200" w:before="360"/>
      </w:pPr>
      <w:r>
        <w:rPr>
          <w:rFonts w:ascii="Arial" w:cs="Arial" w:eastAsia="Arial" w:hAnsi="Arial"/>
          <w:b/>
          <w:bCs/>
          <w:sz w:val="32"/>
          <w:szCs w:val="32"/>
        </w:rPr>
        <w:t xml:space="preserve">附录：方法论说明</w:t>
      </w:r>
    </w:p>
    <w:p>
      <w:pPr>
        <w:pStyle w:val="Heading2"/>
        <w:spacing w:after="160" w:before="280"/>
      </w:pPr>
      <w:r>
        <w:rPr>
          <w:rFonts w:ascii="Arial" w:cs="Arial" w:eastAsia="Arial" w:hAnsi="Arial"/>
          <w:b/>
          <w:bCs/>
          <w:sz w:val="26"/>
          <w:szCs w:val="26"/>
        </w:rPr>
        <w:t xml:space="preserve">A.1 证据分级体系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等级</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定义</w:t>
            </w:r>
          </w:p>
        </w:tc>
        <w:tc>
          <w:tcPr>
            <w:tcW w:type="dxa" w:w="5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本报告使用说明</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c>
          <w:tcPr>
            <w:tcW w:type="dxa" w:w="2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官方/法定记录</w:t>
            </w:r>
          </w:p>
        </w:tc>
        <w:tc>
          <w:tcPr>
            <w:tcW w:type="dxa" w:w="5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选委会、总统府、立法院等正式文件</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c>
          <w:tcPr>
            <w:tcW w:type="dxa" w:w="2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权威媒体实名报道</w:t>
            </w:r>
          </w:p>
        </w:tc>
        <w:tc>
          <w:tcPr>
            <w:tcW w:type="dxa" w:w="5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主流媒体实名报道、公开访谈</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c>
          <w:tcPr>
            <w:tcW w:type="dxa" w:w="2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可追溯但单一来源</w:t>
            </w:r>
          </w:p>
        </w:tc>
        <w:tc>
          <w:tcPr>
            <w:tcW w:type="dxa" w:w="5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厦大报告独家情报、智库报告、单一媒体独家</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D</w:t>
            </w:r>
          </w:p>
        </w:tc>
        <w:tc>
          <w:tcPr>
            <w:tcW w:type="dxa" w:w="2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弱来源/待核实</w:t>
            </w:r>
          </w:p>
        </w:tc>
        <w:tc>
          <w:tcPr>
            <w:tcW w:type="dxa" w:w="5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本报告未使用D级证据作为正文结论</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E</w:t>
            </w:r>
          </w:p>
        </w:tc>
        <w:tc>
          <w:tcPr>
            <w:tcW w:type="dxa" w:w="2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分析推断</w:t>
            </w:r>
          </w:p>
        </w:tc>
        <w:tc>
          <w:tcPr>
            <w:tcW w:type="dxa" w:w="5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所有“类型判定”“风险评估”“学术框架对照”均为E级</w:t>
            </w:r>
          </w:p>
        </w:tc>
      </w:tr>
    </w:tbl>
    <w:p>
      <w:pPr>
        <w:pStyle w:val="Heading2"/>
        <w:spacing w:after="160" w:before="280"/>
      </w:pPr>
      <w:r>
        <w:rPr>
          <w:rFonts w:ascii="Arial" w:cs="Arial" w:eastAsia="Arial" w:hAnsi="Arial"/>
          <w:b/>
          <w:bCs/>
          <w:sz w:val="26"/>
          <w:szCs w:val="26"/>
        </w:rPr>
        <w:t xml:space="preserve">A.2 学术框架参考清单</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Hermann, M.G. (2005)</w:t>
      </w:r>
      <w:r>
        <w:rPr>
          <w:rFonts w:ascii="Arial" w:cs="Arial" w:eastAsia="Arial" w:hAnsi="Arial"/>
          <w:sz w:val="21"/>
          <w:szCs w:val="21"/>
        </w:rPr>
        <w:t xml:space="preserve">. Assessing Leadership Style: Trait Analysis. —— 七维度领导特质分析框架</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Barber, J.D. (1972)</w:t>
      </w:r>
      <w:r>
        <w:rPr>
          <w:rFonts w:ascii="Arial" w:cs="Arial" w:eastAsia="Arial" w:hAnsi="Arial"/>
          <w:sz w:val="21"/>
          <w:szCs w:val="21"/>
        </w:rPr>
        <w:t xml:space="preserve">. The Presidential Character: Predicting Performance in the White House. —— 四分类型职位人格框架</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George, A.L. (1969)</w:t>
      </w:r>
      <w:r>
        <w:rPr>
          <w:rFonts w:ascii="Arial" w:cs="Arial" w:eastAsia="Arial" w:hAnsi="Arial"/>
          <w:sz w:val="21"/>
          <w:szCs w:val="21"/>
        </w:rPr>
        <w:t xml:space="preserve">. The ‘Operational Code’: A Neglected Approach to Political Leaders and Decision-Making. —— 哲学信念域与工具信念域</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Winter, D.G.</w:t>
      </w:r>
      <w:r>
        <w:rPr>
          <w:rFonts w:ascii="Arial" w:cs="Arial" w:eastAsia="Arial" w:hAnsi="Arial"/>
          <w:sz w:val="21"/>
          <w:szCs w:val="21"/>
        </w:rPr>
        <w:t xml:space="preserve">. The Motivational Dimensions of Leadership. —— 权力-成就-亲和动机编码体系</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Post, J.M. (2005)</w:t>
      </w:r>
      <w:r>
        <w:rPr>
          <w:rFonts w:ascii="Arial" w:cs="Arial" w:eastAsia="Arial" w:hAnsi="Arial"/>
          <w:sz w:val="21"/>
          <w:szCs w:val="21"/>
        </w:rPr>
        <w:t xml:space="preserve">. The Psychological Assessment of Political Leaders. —— “Leader at a Distance”方法论</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Schafer, M. &amp; Walker, S.G.</w:t>
      </w:r>
      <w:r>
        <w:rPr>
          <w:rFonts w:ascii="Arial" w:cs="Arial" w:eastAsia="Arial" w:hAnsi="Arial"/>
          <w:sz w:val="21"/>
          <w:szCs w:val="21"/>
        </w:rPr>
        <w:t xml:space="preserve">. Operational Code Analysis at a Distance: The VICS System. —— 计算化操作码分析</w:t>
      </w:r>
    </w:p>
    <w:p>
      <w:pPr>
        <w:pStyle w:val="Heading2"/>
        <w:spacing w:after="160" w:before="280"/>
      </w:pPr>
      <w:r>
        <w:rPr>
          <w:rFonts w:ascii="Arial" w:cs="Arial" w:eastAsia="Arial" w:hAnsi="Arial"/>
          <w:b/>
          <w:bCs/>
          <w:sz w:val="26"/>
          <w:szCs w:val="26"/>
        </w:rPr>
        <w:t xml:space="preserve">A.3 版本信息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项目</w:t>
            </w:r>
          </w:p>
        </w:tc>
        <w:tc>
          <w:tcPr>
            <w:tcW w:type="dxa" w:w="6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内容</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报告版本</w:t>
            </w:r>
          </w:p>
        </w:tc>
        <w:tc>
          <w:tcPr>
            <w:tcW w:type="dxa" w:w="6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v1.1（整合升级版）</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分析框架</w:t>
            </w:r>
          </w:p>
        </w:tc>
        <w:tc>
          <w:tcPr>
            <w:tcW w:type="dxa" w:w="6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OSINT v2.0 + 厦大平潭研究院 v1.0</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报告日期</w:t>
            </w:r>
          </w:p>
        </w:tc>
        <w:tc>
          <w:tcPr>
            <w:tcW w:type="dxa" w:w="6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2026年3月30日</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证据截止</w:t>
            </w:r>
          </w:p>
        </w:tc>
        <w:tc>
          <w:tcPr>
            <w:tcW w:type="dxa" w:w="6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2026年3月</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主要来源A</w:t>
            </w:r>
          </w:p>
        </w:tc>
        <w:tc>
          <w:tcPr>
            <w:tcW w:type="dxa" w:w="6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OSINT v2.0框架报告（结构化证据采集）</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主要来源B</w:t>
            </w:r>
          </w:p>
        </w:tc>
        <w:tc>
          <w:tcPr>
            <w:tcW w:type="dxa" w:w="6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厦大平潭研究院台情研究中心（林启晨、周春林编写，陈章辉审核）</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学术框架</w:t>
            </w:r>
          </w:p>
        </w:tc>
        <w:tc>
          <w:tcPr>
            <w:tcW w:type="dxa" w:w="6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Hermann LTA, Barber, George, Winter, Post, Schafer &amp; Walker</w:t>
            </w:r>
          </w:p>
        </w:tc>
      </w:tr>
    </w:tbl>
    <w:sectPr>
      <w:headerReference w:type="default" r:id="rId7"/>
      <w:footerReference w:type="default" r:id="rId8"/>
      <w:pgSz w:w="12240" w:h="15840" w:orient="0"/>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萧美琴 政治人物分析报告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2026-03-30T05:19:30.320Z</dcterms:created>
  <dcterms:modified xsi:type="dcterms:W3CDTF">2026-03-30T05:19:30.324Z</dcterms:modified>
</cp:coreProperties>
</file>

<file path=docProps/custom.xml><?xml version="1.0" encoding="utf-8"?>
<Properties xmlns="http://schemas.openxmlformats.org/officeDocument/2006/custom-properties" xmlns:vt="http://schemas.openxmlformats.org/officeDocument/2006/docPropsVTypes"/>
</file>