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萧美琴（Hsiao Bi-khim）</w:t>
      </w:r>
    </w:p>
    <w:p>
      <w:pPr>
        <w:spacing w:after="100"/>
        <w:jc w:val="center"/>
      </w:pPr>
      <w:r>
        <w:rPr>
          <w:rFonts w:ascii="Arial" w:cs="Arial" w:eastAsia="Arial" w:hAnsi="Arial"/>
          <w:color w:val="1F3864"/>
          <w:sz w:val="32"/>
          <w:szCs w:val="32"/>
        </w:rPr>
        <w:t xml:space="preserve">政治人物系统性分析报告 v1.2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Systematic Political Figure Analysis Report v1.2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—— 美台中三角视角 | MBTI认知功能深化版 ——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分析框架: OSINT v4.0（含Hermann LTA + George操作码 + Winter动机 + Barber类型学 + MBTI认知功能）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报告日期: 2026年3月30日 | 证据截止: 2026年3月</w:t>
      </w:r>
    </w:p>
    <w:p>
      <w:pPr>
        <w:spacing w:after="2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v1.2升级说明: 在v1.1基础上新增MBTI认知功能分析模块，实现五框架交叉验证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v1.2版升级说明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核心升级</w:t>
      </w:r>
      <w:r>
        <w:rPr>
          <w:rFonts w:ascii="Arial" w:cs="Arial" w:eastAsia="Arial" w:hAnsi="Arial"/>
          <w:sz w:val="21"/>
          <w:szCs w:val="21"/>
        </w:rPr>
        <w:t xml:space="preserve">：在v1.1版的四大学术框架（Hermann LTA、George操作码、Winter动机分析、Barber类型学）基础上，新增MBTI认知功能分析模块，形成五重交叉验证体系。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MBTI方法论声明</w:t>
      </w:r>
      <w:r>
        <w:rPr>
          <w:rFonts w:ascii="Arial" w:cs="Arial" w:eastAsia="Arial" w:hAnsi="Arial"/>
          <w:sz w:val="21"/>
          <w:szCs w:val="21"/>
        </w:rPr>
        <w:t xml:space="preserve">：MBTI作为人格评估工具在学术界存在争议（测试-重测信度不足、二分法局限、预测效度低于Big Five）。本报告中，MBTI定位为“启发式假说生成工具”，采用更具深度的认知功能栈分析（而非简单四字母类型），且所有结论均与其他框架交叉验证，不单独作为最终结论。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本版完整继承v1.1的全部内容（身份履历、派系网络、政治立场、行为模式、综合研判、深度反思），以下仅展示v1.2新增内容。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第七篇：MBTI认知功能分析（v1.2核心新增）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四维度偏好初步判定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基于萧美琴的公开行为证据，对MBTI四个维度进行初步判定：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000"/>
        <w:gridCol w:w="51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核心证据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精力来源（E/I）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E（外倾）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中-高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“双橡园”社交外交极其活跃；能在多文化场合迅速建立连接；但保留一定内省特征（低调策略）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信息获取（S/N）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N（直觉）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政策论述重视宏观趋势与未来可能性（“渐进式”战略）；善于识别深层模式与连接；重视“影响对岸决策”等抽象目标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决策判断（T/F）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T（思考）偏向，但具备强Fe辅助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决策基于风险评估与战略计算（“提高侵略代价”）；但社交外交中展现强Fe共情能力（布鲁塞尔演说引发共鸣）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生活方式（J/P）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J（判断）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高度计划性与目标导向；“切香肠”策略体现系统性推进；30年从政生涯呈现明确的阶段性规划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四字母类型初判</w:t>
      </w:r>
      <w:r>
        <w:rPr>
          <w:rFonts w:ascii="Arial" w:cs="Arial" w:eastAsia="Arial" w:hAnsi="Arial"/>
          <w:sz w:val="21"/>
          <w:szCs w:val="21"/>
        </w:rPr>
        <w:t xml:space="preserve">：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ENTJ</w:t>
      </w:r>
      <w:r>
        <w:rPr>
          <w:rFonts w:ascii="Arial" w:cs="Arial" w:eastAsia="Arial" w:hAnsi="Arial"/>
          <w:sz w:val="21"/>
          <w:szCs w:val="21"/>
        </w:rPr>
        <w:t xml:space="preserve">（指挥官/统帅），替代类型可能为INTJ（E/I维度置信度中-高，其“低调强硬”风格具有一定I特征）。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[E-MBTI]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基于公开行为证据的远距推断，非直接施测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认知功能栈分析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基于ENTJ类型推断，分析其认知功能栈：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功能位置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认知功能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政治行为表现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证据摘要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主导功能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Te（外向思考）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组织资源、推进执行、用客观标准衡量成果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推动《台美21世纪贸易倡议》等具体政策突破；重视可量化成果与效率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辅助功能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Ni（内向直觉）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深层模式识别、未来预见、统合洞察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“渐进式台独”路径体现长期战略规划；精准捕捉华府政策脉搏；将供应链嵌入作为结构性安全策略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第三功能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Se（外向感觉）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即时感知、环境敏感、行动导向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捷克车辆碰撞事件中的即时应对与转化能力；善于把握政策窗口期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劣势功能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Fi（内向情感）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潜在盲点：内在价值观反思、个人情感深度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极少公开分享个人情感与内心挣扎；公众形象高度专业化、去情感化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Te-Ni主导组合的政治含义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Te（外向思考）作为主导功能，使其在政治行动中呈现出强烈的目标导向和资源组织能力——她不仅制定战略，更强调“把事情做成”。《台美21世纪贸易倡议》、修订《对台交往准则》、促成“蔡麦会”等都是Te功能的典型表现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Ni（内向直觉）作为辅助功能，为其Te提供了深层战略视野。“渐进式台独”路径本身就是Ni的产物——不追求一次性突破，而是识别出“切香肠”策略在长期将导向何方。将半导体产业链作为“安全键合”也是Ni对深层结构性趋势的洞察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[E-MBTI]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基于ENTJ认知功能栈的推断性分析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Fi劣势功能的压力反应预测（“grip”理论）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根据Quenk(2002)的grip理论，ENTJ在极端压力下，其劣势Fi（内向情感）可能以不成熟的方式爆发：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①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触发条件</w:t>
      </w:r>
      <w:r>
        <w:rPr>
          <w:rFonts w:ascii="Arial" w:cs="Arial" w:eastAsia="Arial" w:hAnsi="Arial"/>
          <w:sz w:val="21"/>
          <w:szCs w:val="21"/>
        </w:rPr>
        <w:t xml:space="preserve">：当其核心价值观被深度质疑、感到被排斥或不被理解、或强制面对个人情感脆弱性时。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②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可能表现</w:t>
      </w:r>
      <w:r>
        <w:rPr>
          <w:rFonts w:ascii="Arial" w:cs="Arial" w:eastAsia="Arial" w:hAnsi="Arial"/>
          <w:sz w:val="21"/>
          <w:szCs w:val="21"/>
        </w:rPr>
        <w:t xml:space="preserve">：可能出现罕见的情绪化反应、过度敏感于个人批评、或在具体议题上表现出与平时不同的固执。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③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政治含义</w:t>
      </w:r>
      <w:r>
        <w:rPr>
          <w:rFonts w:ascii="Arial" w:cs="Arial" w:eastAsia="Arial" w:hAnsi="Arial"/>
          <w:sz w:val="21"/>
          <w:szCs w:val="21"/>
        </w:rPr>
        <w:t xml:space="preserve">：若岛内舆论对其身份认同（混血背景、国籍问题）进行深度攻击，或其“使命感”被根本性否定，可能触发非典型反应。但基于其丰富的政治经验，此类grip反应可能已被部分开发并管理。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[E-MBTI]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基于Quenk(2002) grip理论的推断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认知功能与行为模式的映射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将MBTI认知功能与v1.1中提炼的五大策略行为模式进行映射：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行为模式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MBTI功能解释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一致性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BP-1“切香肠”式渐进推进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Te+Ni组合: Te提供执行力，Ni提供长期视野，“每次小步突破指向远大目标”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高度一致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BP-2“非正式社交政治化”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E偏向+Se第三功能: 外向社交能量+Se的即时感知与场景把握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高度一致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BP-3“价值观包装”安全议题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Ni识别深层关联+Te将其组织为可执行的政策框架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高度一致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BP-4跨党派跨地域网络经营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Te的客观效率导向使其能超越党派偏见；Se的环境适应性使其能灵活调整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一致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BP-5“危机转化”叙事能力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Ni快速识别危机中的叙事机会+Te迅速组织回应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一致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[E-MBTI/E-Composite]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MBTI与行为模式的交叉映射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第八篇：五框架交叉验证综合评估（v1.2核心新增）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信息处理风格综合评估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框架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评估结果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一致性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MBTI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N（直觉）偏向，Ni辅助功能—深层模式识别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Hermann CC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高概念复杂度—能处理多重角色与复杂三角关系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一致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George P-3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认为政治未来可塑造但需谨慎乐观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一致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综合判断</w:t>
      </w:r>
      <w:r>
        <w:rPr>
          <w:rFonts w:ascii="Arial" w:cs="Arial" w:eastAsia="Arial" w:hAnsi="Arial"/>
          <w:sz w:val="21"/>
          <w:szCs w:val="21"/>
        </w:rPr>
        <w:t xml:space="preserve">：三个框架高度一致—萧美琴的信息处理风格为“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模式识别型</w:t>
      </w:r>
      <w:r>
        <w:rPr>
          <w:rFonts w:ascii="Arial" w:cs="Arial" w:eastAsia="Arial" w:hAnsi="Arial"/>
          <w:sz w:val="21"/>
          <w:szCs w:val="21"/>
        </w:rPr>
        <w:t xml:space="preserve">”，善于从复杂信息中提取深层结构与长期趋势。置信度：高。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[E-Composite]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三框架交叉验证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决策判断风格综合评估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框架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评估结果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一致性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MBTI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Te主导—重视效率、客观标准、组织资源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Hermann TASK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高任务导向—重视政策可操作性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一致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George I-1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偏好合作策略但以效果为导向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一致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Winter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高成就动机—重视可量化政策突破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一致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综合判断</w:t>
      </w:r>
      <w:r>
        <w:rPr>
          <w:rFonts w:ascii="Arial" w:cs="Arial" w:eastAsia="Arial" w:hAnsi="Arial"/>
          <w:sz w:val="21"/>
          <w:szCs w:val="21"/>
        </w:rPr>
        <w:t xml:space="preserve">：四个框架高度一致—萧美琴的决策风格为“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效率-结果导向型</w:t>
      </w:r>
      <w:r>
        <w:rPr>
          <w:rFonts w:ascii="Arial" w:cs="Arial" w:eastAsia="Arial" w:hAnsi="Arial"/>
          <w:sz w:val="21"/>
          <w:szCs w:val="21"/>
        </w:rPr>
        <w:t xml:space="preserve">”，以客观标准衡量政策效果，重视可操作性与可量化成果。置信度：高。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[E-Composite]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四框架交叉验证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人际互动风格综合评估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框架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评估结果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一致性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MBTI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E偏向+Se第三功能—善于社交但服务于战略目标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Hermann NP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中等权力需求—不追求显性权力展示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一致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Winter 亲和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中-高—社交服务于战略目标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一致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综合判断</w:t>
      </w:r>
      <w:r>
        <w:rPr>
          <w:rFonts w:ascii="Arial" w:cs="Arial" w:eastAsia="Arial" w:hAnsi="Arial"/>
          <w:sz w:val="21"/>
          <w:szCs w:val="21"/>
        </w:rPr>
        <w:t xml:space="preserve">：三个框架一致—其人际互动为“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战略性社交型</w:t>
      </w:r>
      <w:r>
        <w:rPr>
          <w:rFonts w:ascii="Arial" w:cs="Arial" w:eastAsia="Arial" w:hAnsi="Arial"/>
          <w:sz w:val="21"/>
          <w:szCs w:val="21"/>
        </w:rPr>
        <w:t xml:space="preserve">”，社交能力强但明确服务于政策目标，而非纯粹的关系维护。置信度：高。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[E-Composite]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三框架交叉验证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压力应对风格综合评估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框架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评估结果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一致性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MBTI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 grip—极端压力下可能出现罕见情绪化反应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Barber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积极-正面型—善于应对危机、灵活调整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基本一致（正常状态）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Hermann SC/DIS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高自信+中-高不信任—韧性强但警觉性高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一致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综合判断</w:t>
      </w:r>
      <w:r>
        <w:rPr>
          <w:rFonts w:ascii="Arial" w:cs="Arial" w:eastAsia="Arial" w:hAnsi="Arial"/>
          <w:sz w:val="21"/>
          <w:szCs w:val="21"/>
        </w:rPr>
        <w:t xml:space="preserve">：正常状态下展现极强的韧性与适应性（Barber积极-正面型 + Hermann高自信）。但MBTI的Fi grip理论提示，在极端压力下（如身份认同被深度攻击）可能出现非典型反应。这一预测的置信度为中，需要更多压力情境案例来验证。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[E-Composite]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三框架交叉验证，压力grip预测待验证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第九篇：综合人格画像一页纸（v1.2新增）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3000"/>
        <w:gridCol w:w="1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综合结论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框架一致性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信息处理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“模式识别型”—善于从复杂信息中提取深层结构与长期趋势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MBTI(N/Ni) + Hermann(CC高) + George(P-3)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决策判断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“效率-结果导向型”—以客观标准衡量政策效果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MBTI(Te) + Hermann(TASK高) + George(I-1) + Winter(高成就)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人际互动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“战略性社交型”—社交服务于政策目标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MBTI(E+Se) + Hermann(NP中) + Winter(亲和中-高)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压力应对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“高韧性+潜在情绪化风险”—正常状态极强，极端压力下可能出现非典型反应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Barber(积极-正面) + Hermann(SC高) + MBTI(Fi grip)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中-高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类型综合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“现实主义操作型”战略政治人物，MBTI为ENTJ型指挥官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五框架高度一致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MBTI ENTJ型与“现实主义操作型”的匹配度分析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ENTJ型的典型特征—战略视野、组织效率、目标驱动、决断力强—与厦大报告提出的“现实主义操作型”判定高度匹配。同时——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① ENTJ的Te-Ni组合解释了其“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低调强硬</w:t>
      </w:r>
      <w:r>
        <w:rPr>
          <w:rFonts w:ascii="Arial" w:cs="Arial" w:eastAsia="Arial" w:hAnsi="Arial"/>
          <w:sz w:val="21"/>
          <w:szCs w:val="21"/>
        </w:rPr>
        <w:t xml:space="preserve">”策略特征—Te追求效率而非张扬，Ni提供长期视野而非短期情绪。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② ENTJ的Se第三功能解释了其在“双橡园”社交外交中的即时感知与场景把握能力。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③ ENTJ的Fi劣势功能解释了其公众形象的高度专业化和去情绪化特征—这并非缺乏情感，而是Fi作为劣势功能自然被弱化的表现。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0099"/>
          <w:sz w:val="18"/>
          <w:szCs w:val="18"/>
        </w:rPr>
        <w:t xml:space="preserve">[E-Composite]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五框架综合评估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附录：方法论说明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A.1 证据分级体系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本报告使用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官方/法定记录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选委会、总统府等正式文件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权威媒体实名报道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主流媒体报道、公开访谈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可追溯但单一来源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厦大报告、智库报告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E-Hermann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基于Hermann LTA的推断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七维度特质评估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E-George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基于George操作码的推断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哲学/工具信念域评估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E-MBTI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基于MBTI认知功能的推断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四维度+认知功能栈+grip分析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E-Composite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多框架综合推断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五框架交叉验证结论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A.2 学术框架参考清单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Hermann, M.G. (2005)</w:t>
      </w:r>
      <w:r>
        <w:rPr>
          <w:rFonts w:ascii="Arial" w:cs="Arial" w:eastAsia="Arial" w:hAnsi="Arial"/>
          <w:sz w:val="21"/>
          <w:szCs w:val="21"/>
        </w:rPr>
        <w:t xml:space="preserve">. Assessing Leadership Style: Trait Analysis.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George, A.L. (1969)</w:t>
      </w:r>
      <w:r>
        <w:rPr>
          <w:rFonts w:ascii="Arial" w:cs="Arial" w:eastAsia="Arial" w:hAnsi="Arial"/>
          <w:sz w:val="21"/>
          <w:szCs w:val="21"/>
        </w:rPr>
        <w:t xml:space="preserve">. The ‘Operational Code’. ISQ 13(2).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Barber, J.D. (1972)</w:t>
      </w:r>
      <w:r>
        <w:rPr>
          <w:rFonts w:ascii="Arial" w:cs="Arial" w:eastAsia="Arial" w:hAnsi="Arial"/>
          <w:sz w:val="21"/>
          <w:szCs w:val="21"/>
        </w:rPr>
        <w:t xml:space="preserve">. The Presidential Character.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Winter, D.G.</w:t>
      </w:r>
      <w:r>
        <w:rPr>
          <w:rFonts w:ascii="Arial" w:cs="Arial" w:eastAsia="Arial" w:hAnsi="Arial"/>
          <w:sz w:val="21"/>
          <w:szCs w:val="21"/>
        </w:rPr>
        <w:t xml:space="preserve">. The Motivational Dimensions of Leadership.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Post, J.M. (2005)</w:t>
      </w:r>
      <w:r>
        <w:rPr>
          <w:rFonts w:ascii="Arial" w:cs="Arial" w:eastAsia="Arial" w:hAnsi="Arial"/>
          <w:sz w:val="21"/>
          <w:szCs w:val="21"/>
        </w:rPr>
        <w:t xml:space="preserve">. Psychological Assessment of Political Leaders.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Jung, C.G. (1921)</w:t>
      </w:r>
      <w:r>
        <w:rPr>
          <w:rFonts w:ascii="Arial" w:cs="Arial" w:eastAsia="Arial" w:hAnsi="Arial"/>
          <w:sz w:val="21"/>
          <w:szCs w:val="21"/>
        </w:rPr>
        <w:t xml:space="preserve">. Psychological Types. — MBTI认知功能理论原始来源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Myers, I.B. &amp; McCaulley, M.H. (1985)</w:t>
      </w:r>
      <w:r>
        <w:rPr>
          <w:rFonts w:ascii="Arial" w:cs="Arial" w:eastAsia="Arial" w:hAnsi="Arial"/>
          <w:sz w:val="21"/>
          <w:szCs w:val="21"/>
        </w:rPr>
        <w:t xml:space="preserve">. MBTI Manual.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Quenk, N.L. (2002)</w:t>
      </w:r>
      <w:r>
        <w:rPr>
          <w:rFonts w:ascii="Arial" w:cs="Arial" w:eastAsia="Arial" w:hAnsi="Arial"/>
          <w:sz w:val="21"/>
          <w:szCs w:val="21"/>
        </w:rPr>
        <w:t xml:space="preserve">. Was That Really Me? — MBTI grip理论（劣势功能压力反应）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Barbuto, J.E. (1997)</w:t>
      </w:r>
      <w:r>
        <w:rPr>
          <w:rFonts w:ascii="Arial" w:cs="Arial" w:eastAsia="Arial" w:hAnsi="Arial"/>
          <w:sz w:val="21"/>
          <w:szCs w:val="21"/>
        </w:rPr>
        <w:t xml:space="preserve">. A Critique of MBTI. Psychological Reports 80(2). — MBTI批评性文献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A.3 MBTI方法论局限性声明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本报告的MBTI分析存在以下局限性：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①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远距评估偏见</w:t>
      </w:r>
      <w:r>
        <w:rPr>
          <w:rFonts w:ascii="Arial" w:cs="Arial" w:eastAsia="Arial" w:hAnsi="Arial"/>
          <w:sz w:val="21"/>
          <w:szCs w:val="21"/>
        </w:rPr>
        <w:t xml:space="preserve">：未直接施测，基于公开行为推断，可能受分析者主观投射影响。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②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公共人格偏差</w:t>
      </w:r>
      <w:r>
        <w:rPr>
          <w:rFonts w:ascii="Arial" w:cs="Arial" w:eastAsia="Arial" w:hAnsi="Arial"/>
          <w:sz w:val="21"/>
          <w:szCs w:val="21"/>
        </w:rPr>
        <w:t xml:space="preserve">：政治人物的公开行为可能是管理后的公共形象，而非真实认知偏好。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③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文化调适效应</w:t>
      </w:r>
      <w:r>
        <w:rPr>
          <w:rFonts w:ascii="Arial" w:cs="Arial" w:eastAsia="Arial" w:hAnsi="Arial"/>
          <w:sz w:val="21"/>
          <w:szCs w:val="21"/>
        </w:rPr>
        <w:t xml:space="preserve">：在台湾政治文化中，某些MBTI偏好可能因文化规范而被压抑或放大。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④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角色效应</w:t>
      </w:r>
      <w:r>
        <w:rPr>
          <w:rFonts w:ascii="Arial" w:cs="Arial" w:eastAsia="Arial" w:hAnsi="Arial"/>
          <w:sz w:val="21"/>
          <w:szCs w:val="21"/>
        </w:rPr>
        <w:t xml:space="preserve">：目标人物在不同角色（立委/馻美代表/副手）中的行为差异可能反映角色适应而非认知变化。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A.4 版本信息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报告版本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v1.2（MBTI认知功能深化版）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分析框架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OSINT v4.0（五框架交叉验证体系）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报告日期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2026年3月30日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证据截止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2026年3月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学术框架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Hermann LTA + George OpCode + Winter Motive + Barber Type + MBTI Cognitive Functions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MBTI声明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MBTI作为启发式假说生成工具，所有结论均经交叉验证</w:t>
            </w:r>
          </w:p>
        </w:tc>
      </w:tr>
    </w:tbl>
    <w:sectPr>
      <w:headerReference w:type="default" r:id="rId7"/>
      <w:footerReference w:type="default" r:id="rId8"/>
      <w:pgSz w:w="12240" w:h="15840" w:orient="0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萧美琴 政治人物分析报告 v1.2 | MBTI认知功能深化版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2026-03-30T06:50:59.646Z</dcterms:created>
  <dcterms:modified xsi:type="dcterms:W3CDTF">2026-03-30T06:50:59.649Z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