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F3864"/>
          <w:sz w:val="48"/>
          <w:szCs w:val="48"/>
        </w:rPr>
        <w:t xml:space="preserve">萧美琴（Hsiao Bi-khim）</w:t>
      </w:r>
    </w:p>
    <w:p>
      <w:pPr>
        <w:spacing w:after="100"/>
        <w:jc w:val="center"/>
      </w:pPr>
      <w:r>
        <w:rPr>
          <w:rFonts w:ascii="Arial" w:cs="Arial" w:eastAsia="Arial" w:hAnsi="Arial"/>
          <w:color w:val="1F3864"/>
          <w:sz w:val="32"/>
          <w:szCs w:val="32"/>
        </w:rPr>
        <w:t xml:space="preserve">政治人物系统性分析报告 v1.3</w:t>
      </w:r>
    </w:p>
    <w:p>
      <w:pPr>
        <w:spacing w:after="100"/>
        <w:jc w:val="center"/>
      </w:pPr>
      <w:r>
        <w:rPr>
          <w:rFonts w:ascii="Arial" w:cs="Arial" w:eastAsia="Arial" w:hAnsi="Arial"/>
          <w:color w:val="666666"/>
          <w:sz w:val="24"/>
          <w:szCs w:val="24"/>
        </w:rPr>
        <w:t xml:space="preserve">Comprehensive Political Figure Analysis Report v1.3</w:t>
      </w:r>
    </w:p>
    <w:p>
      <w:pPr>
        <w:spacing w:after="200"/>
        <w:jc w:val="center"/>
      </w:pPr>
      <w:r>
        <w:rPr>
          <w:rFonts w:ascii="Arial" w:cs="Arial" w:eastAsia="Arial" w:hAnsi="Arial"/>
          <w:color w:val="888888"/>
          <w:sz w:val="22"/>
          <w:szCs w:val="22"/>
        </w:rPr>
        <w:t xml:space="preserve">——全景整合版 | 全源内容融汇——</w:t>
      </w:r>
    </w:p>
    <w:p>
      <w:pPr>
        <w:spacing w:before="600"/>
      </w:pPr>
    </w:p>
    <w:p>
      <w:pPr>
        <w:jc w:val="center"/>
      </w:pPr>
      <w:r>
        <w:rPr>
          <w:rFonts w:ascii="Arial" w:cs="Arial" w:eastAsia="Arial" w:hAnsi="Arial"/>
          <w:color w:val="999999"/>
          <w:sz w:val="20"/>
          <w:szCs w:val="20"/>
        </w:rPr>
        <w:t xml:space="preserve">分析框架: OSINT v5.0 + MBTI认知功能 + 学术框架对照</w:t>
      </w:r>
    </w:p>
    <w:p>
      <w:pPr>
        <w:jc w:val="center"/>
      </w:pPr>
      <w:r>
        <w:rPr>
          <w:rFonts w:ascii="Arial" w:cs="Arial" w:eastAsia="Arial" w:hAnsi="Arial"/>
          <w:color w:val="999999"/>
          <w:sz w:val="20"/>
          <w:szCs w:val="20"/>
        </w:rPr>
        <w:t xml:space="preserve">报告日期: 2026年3月30日 | 证据截止: 2026年3月</w:t>
      </w:r>
    </w:p>
    <w:p>
      <w:pPr>
        <w:spacing w:after="200"/>
        <w:jc w:val="center"/>
      </w:pPr>
      <w:r>
        <w:rPr>
          <w:rFonts w:ascii="Arial" w:cs="Arial" w:eastAsia="Arial" w:hAnsi="Arial"/>
          <w:color w:val="AAAAAA"/>
          <w:sz w:val="18"/>
          <w:szCs w:val="18"/>
        </w:rPr>
        <w:t xml:space="preserve">v1.3版说明: 本报告整合OSINT v2.0+v4.0框架报告与厦大平潭研究院台情研究中心独家报告所有内容，实现全景式、深度式、多维度的完整人物评估。新增关键事件时间线与多情景推演矩阵。</w:t>
      </w:r>
    </w:p>
    <w:p>
      <w:r>
        <w:br w:type="page"/>
      </w:r>
    </w:p>
    <w:p>
      <w:pPr>
        <w:pStyle w:val="Heading1"/>
        <w:spacing w:after="200" w:before="360"/>
      </w:pPr>
      <w:r>
        <w:rPr>
          <w:rFonts w:ascii="Arial" w:cs="Arial" w:eastAsia="Arial" w:hAnsi="Arial"/>
          <w:b/>
          <w:bCs/>
          <w:sz w:val="32"/>
          <w:szCs w:val="32"/>
        </w:rPr>
        <w:t xml:space="preserve">版本升级说明 v1.3</w:t>
      </w:r>
    </w:p>
    <w:p>
      <w:pPr>
        <w:spacing w:after="120" w:line="300"/>
      </w:pPr>
      <w:r>
        <w:rPr>
          <w:rFonts w:ascii="Arial" w:cs="Arial" w:eastAsia="Arial" w:hAnsi="Arial"/>
          <w:sz w:val="21"/>
          <w:szCs w:val="21"/>
        </w:rPr>
        <w:t xml:space="preserve">本v1.3版报告是对以下三份报告的全景整合升级：</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来源1: OSINT v2.0框架报告</w:t>
      </w:r>
      <w:r>
        <w:rPr>
          <w:rFonts w:ascii="Arial" w:cs="Arial" w:eastAsia="Arial" w:hAnsi="Arial"/>
          <w:sz w:val="21"/>
          <w:szCs w:val="21"/>
        </w:rPr>
        <w:t xml:space="preserve"> 部分原始v1.1版内容：采用系统化的框架，强调事实采集与可核查性，涵盖身份履历、政策立场、立法绩效、选举、权力网络、两岸定位、海外经历等全面维度。</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来源2: OSINT v4.0+MBTI增强版报告</w:t>
      </w:r>
      <w:r>
        <w:rPr>
          <w:rFonts w:ascii="Arial" w:cs="Arial" w:eastAsia="Arial" w:hAnsi="Arial"/>
          <w:sz w:val="21"/>
          <w:szCs w:val="21"/>
        </w:rPr>
        <w:t xml:space="preserve"> v1.2原始内容：在v2.0基础上新增Hermann LTA、George操作码、Winter动机、Barber类型学等学术框架，并引入MBTI认知功能分析模块，实现五重交叉验证体系。</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来源3: 厦大平潭研究院台情研究中心报告</w:t>
      </w:r>
      <w:r>
        <w:rPr>
          <w:rFonts w:ascii="Arial" w:cs="Arial" w:eastAsia="Arial" w:hAnsi="Arial"/>
          <w:sz w:val="21"/>
          <w:szCs w:val="21"/>
        </w:rPr>
        <w:t xml:space="preserve"> 林启晨、周春林编写，陈章辉审核：采用战略研判风格，强调行为模式解读、私人人脉网络、策略特征归类，提供了大量独家的人物关系情报与深度战略分析。</w:t>
      </w:r>
    </w:p>
    <w:p>
      <w:pPr>
        <w:spacing w:after="60"/>
      </w:pPr>
    </w:p>
    <w:p>
      <w:pPr>
        <w:pStyle w:val="Heading2"/>
        <w:spacing w:after="160" w:before="280"/>
      </w:pPr>
      <w:r>
        <w:rPr>
          <w:rFonts w:ascii="Arial" w:cs="Arial" w:eastAsia="Arial" w:hAnsi="Arial"/>
          <w:b/>
          <w:bCs/>
          <w:sz w:val="26"/>
          <w:szCs w:val="26"/>
        </w:rPr>
        <w:t xml:space="preserve">v1.3核心升级内容概览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600"/>
        <w:gridCol w:w="1440"/>
      </w:tblGrid>
      <w:tr>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升级维度</w:t>
            </w:r>
          </w:p>
        </w:tc>
        <w:tc>
          <w:tcPr>
            <w:tcW w:type="dxa" w:w="5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具体内容</w:t>
            </w:r>
          </w:p>
        </w:tc>
        <w:tc>
          <w:tcPr>
            <w:tcW w:type="dxa" w:w="144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来源</w:t>
            </w:r>
          </w:p>
        </w:tc>
      </w:tr>
      <w:tr>
        <w:tc>
          <w:tcPr>
            <w:tcW w:type="dxa" w:w="16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身份履历</w:t>
            </w:r>
          </w:p>
        </w:tc>
        <w:tc>
          <w:tcPr>
            <w:tcW w:type="dxa" w:w="56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完整整合从1971年出生至2025年的全生命周期关键事件时间线</w:t>
            </w:r>
          </w:p>
        </w:tc>
        <w:tc>
          <w:tcPr>
            <w:tcW w:type="dxa" w:w="144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三源整合</w:t>
            </w:r>
          </w:p>
        </w:tc>
      </w:tr>
      <w:tr>
        <w:tc>
          <w:tcPr>
            <w:tcW w:type="dxa" w:w="16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派系网络</w:t>
            </w:r>
          </w:p>
        </w:tc>
        <w:tc>
          <w:tcPr>
            <w:tcW w:type="dxa" w:w="56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补充欧洲线关键人物与社交外交模式分析</w:t>
            </w:r>
          </w:p>
        </w:tc>
        <w:tc>
          <w:tcPr>
            <w:tcW w:type="dxa" w:w="144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来源1/2/3</w:t>
            </w:r>
          </w:p>
        </w:tc>
      </w:tr>
      <w:tr>
        <w:tc>
          <w:tcPr>
            <w:tcW w:type="dxa" w:w="16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行为建模</w:t>
            </w:r>
          </w:p>
        </w:tc>
        <w:tc>
          <w:tcPr>
            <w:tcW w:type="dxa" w:w="56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新增五大策略行为模式提炼</w:t>
            </w:r>
          </w:p>
        </w:tc>
        <w:tc>
          <w:tcPr>
            <w:tcW w:type="dxa" w:w="144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来源1/2</w:t>
            </w:r>
          </w:p>
        </w:tc>
      </w:tr>
      <w:tr>
        <w:tc>
          <w:tcPr>
            <w:tcW w:type="dxa" w:w="16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MBTI认知</w:t>
            </w:r>
          </w:p>
        </w:tc>
        <w:tc>
          <w:tcPr>
            <w:tcW w:type="dxa" w:w="56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完整MBTI认知功能分析、五框架交叉验证、综合人格画像</w:t>
            </w:r>
          </w:p>
        </w:tc>
        <w:tc>
          <w:tcPr>
            <w:tcW w:type="dxa" w:w="144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来源2</w:t>
            </w:r>
          </w:p>
        </w:tc>
      </w:tr>
      <w:tr>
        <w:tc>
          <w:tcPr>
            <w:tcW w:type="dxa" w:w="16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多情景推演</w:t>
            </w:r>
          </w:p>
        </w:tc>
        <w:tc>
          <w:tcPr>
            <w:tcW w:type="dxa" w:w="56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新增四大推演场景矩阵</w:t>
            </w:r>
          </w:p>
        </w:tc>
        <w:tc>
          <w:tcPr>
            <w:tcW w:type="dxa" w:w="144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来源3基础</w:t>
            </w:r>
          </w:p>
        </w:tc>
      </w:tr>
      <w:tr>
        <w:tc>
          <w:tcPr>
            <w:tcW w:type="dxa" w:w="16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原始文献保存</w:t>
            </w:r>
          </w:p>
        </w:tc>
        <w:tc>
          <w:tcPr>
            <w:tcW w:type="dxa" w:w="56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完整保留厦大平潭研究院原始报告全文作为附录</w:t>
            </w:r>
          </w:p>
        </w:tc>
        <w:tc>
          <w:tcPr>
            <w:tcW w:type="dxa" w:w="144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来源3</w:t>
            </w:r>
          </w:p>
        </w:tc>
      </w:tr>
    </w:tbl>
    <w:p>
      <w:pPr>
        <w:spacing w:after="60"/>
      </w:pPr>
    </w:p>
    <w:p>
      <w:pPr>
        <w:pStyle w:val="Heading2"/>
        <w:spacing w:after="160" w:before="280"/>
      </w:pPr>
      <w:r>
        <w:rPr>
          <w:rFonts w:ascii="Arial" w:cs="Arial" w:eastAsia="Arial" w:hAnsi="Arial"/>
          <w:b/>
          <w:bCs/>
          <w:sz w:val="26"/>
          <w:szCs w:val="26"/>
        </w:rPr>
        <w:t xml:space="preserve">v1.3版报告质量声明</w:t>
      </w:r>
    </w:p>
    <w:p>
      <w:pPr>
        <w:spacing w:after="120" w:line="300"/>
      </w:pPr>
      <w:r>
        <w:rPr>
          <w:rFonts w:ascii="Arial" w:cs="Arial" w:eastAsia="Arial" w:hAnsi="Arial"/>
          <w:sz w:val="21"/>
          <w:szCs w:val="21"/>
        </w:rPr>
        <w:t xml:space="preserve">本v1.3版本遵循以下质量标准：</w:t>
      </w:r>
    </w:p>
    <w:p>
      <w:pPr>
        <w:spacing w:after="120" w:line="300"/>
      </w:pPr>
      <w:r>
        <w:rPr>
          <w:rFonts w:ascii="Arial" w:cs="Arial" w:eastAsia="Arial" w:hAnsi="Arial"/>
          <w:sz w:val="21"/>
          <w:szCs w:val="21"/>
        </w:rPr>
        <w:t xml:space="preserve">1. </w:t>
      </w:r>
      <w:r>
        <w:rPr>
          <w:rFonts w:ascii="Arial" w:cs="Arial" w:eastAsia="Arial" w:hAnsi="Arial"/>
          <w:b/>
          <w:bCs/>
          <w:sz w:val="21"/>
          <w:szCs w:val="21"/>
        </w:rPr>
        <w:t xml:space="preserve">完整性</w:t>
      </w:r>
      <w:r>
        <w:rPr>
          <w:rFonts w:ascii="Arial" w:cs="Arial" w:eastAsia="Arial" w:hAnsi="Arial"/>
          <w:sz w:val="21"/>
          <w:szCs w:val="21"/>
        </w:rPr>
        <w:t xml:space="preserve">: 不删节、不总结、不合并v1.1 Part 1-6与v1.2 Part 7-9的任何原始内容</w:t>
      </w:r>
    </w:p>
    <w:p>
      <w:pPr>
        <w:spacing w:after="120" w:line="300"/>
      </w:pPr>
      <w:r>
        <w:rPr>
          <w:rFonts w:ascii="Arial" w:cs="Arial" w:eastAsia="Arial" w:hAnsi="Arial"/>
          <w:sz w:val="21"/>
          <w:szCs w:val="21"/>
        </w:rPr>
        <w:t xml:space="preserve">2. </w:t>
      </w:r>
      <w:r>
        <w:rPr>
          <w:rFonts w:ascii="Arial" w:cs="Arial" w:eastAsia="Arial" w:hAnsi="Arial"/>
          <w:b/>
          <w:bCs/>
          <w:sz w:val="21"/>
          <w:szCs w:val="21"/>
        </w:rPr>
        <w:t xml:space="preserve">原汁原味</w:t>
      </w:r>
      <w:r>
        <w:rPr>
          <w:rFonts w:ascii="Arial" w:cs="Arial" w:eastAsia="Arial" w:hAnsi="Arial"/>
          <w:sz w:val="21"/>
          <w:szCs w:val="21"/>
        </w:rPr>
        <w:t xml:space="preserve">: 保留厦大平潭研究院原始报告的所有内容作为附录</w:t>
      </w:r>
    </w:p>
    <w:p>
      <w:pPr>
        <w:spacing w:after="120" w:line="300"/>
      </w:pPr>
      <w:r>
        <w:rPr>
          <w:rFonts w:ascii="Arial" w:cs="Arial" w:eastAsia="Arial" w:hAnsi="Arial"/>
          <w:sz w:val="21"/>
          <w:szCs w:val="21"/>
        </w:rPr>
        <w:t xml:space="preserve">3. </w:t>
      </w:r>
      <w:r>
        <w:rPr>
          <w:rFonts w:ascii="Arial" w:cs="Arial" w:eastAsia="Arial" w:hAnsi="Arial"/>
          <w:b/>
          <w:bCs/>
          <w:sz w:val="21"/>
          <w:szCs w:val="21"/>
        </w:rPr>
        <w:t xml:space="preserve">框架升级</w:t>
      </w:r>
      <w:r>
        <w:rPr>
          <w:rFonts w:ascii="Arial" w:cs="Arial" w:eastAsia="Arial" w:hAnsi="Arial"/>
          <w:sz w:val="21"/>
          <w:szCs w:val="21"/>
        </w:rPr>
        <w:t xml:space="preserve">: OSINT v2.0→v4.0→v5.0的逐层升级</w:t>
      </w:r>
    </w:p>
    <w:p>
      <w:pPr>
        <w:spacing w:after="120" w:line="300"/>
      </w:pPr>
      <w:r>
        <w:rPr>
          <w:rFonts w:ascii="Arial" w:cs="Arial" w:eastAsia="Arial" w:hAnsi="Arial"/>
          <w:sz w:val="21"/>
          <w:szCs w:val="21"/>
        </w:rPr>
        <w:t xml:space="preserve">4. </w:t>
      </w:r>
      <w:r>
        <w:rPr>
          <w:rFonts w:ascii="Arial" w:cs="Arial" w:eastAsia="Arial" w:hAnsi="Arial"/>
          <w:b/>
          <w:bCs/>
          <w:sz w:val="21"/>
          <w:szCs w:val="21"/>
        </w:rPr>
        <w:t xml:space="preserve">证据透明</w:t>
      </w:r>
      <w:r>
        <w:rPr>
          <w:rFonts w:ascii="Arial" w:cs="Arial" w:eastAsia="Arial" w:hAnsi="Arial"/>
          <w:sz w:val="21"/>
          <w:szCs w:val="21"/>
        </w:rPr>
        <w:t xml:space="preserve">: 所有结论保留原有证据分级标记，增强可追溯性</w:t>
      </w:r>
    </w:p>
    <w:p>
      <w:pPr>
        <w:spacing w:after="120" w:line="300"/>
      </w:pPr>
      <w:r>
        <w:rPr>
          <w:rFonts w:ascii="Arial" w:cs="Arial" w:eastAsia="Arial" w:hAnsi="Arial"/>
          <w:sz w:val="21"/>
          <w:szCs w:val="21"/>
        </w:rPr>
        <w:t xml:space="preserve">5. </w:t>
      </w:r>
      <w:r>
        <w:rPr>
          <w:rFonts w:ascii="Arial" w:cs="Arial" w:eastAsia="Arial" w:hAnsi="Arial"/>
          <w:b/>
          <w:bCs/>
          <w:sz w:val="21"/>
          <w:szCs w:val="21"/>
        </w:rPr>
        <w:t xml:space="preserve">新增内容</w:t>
      </w:r>
      <w:r>
        <w:rPr>
          <w:rFonts w:ascii="Arial" w:cs="Arial" w:eastAsia="Arial" w:hAnsi="Arial"/>
          <w:sz w:val="21"/>
          <w:szCs w:val="21"/>
        </w:rPr>
        <w:t xml:space="preserve">: 关键事件时间线与多情景推演矩阵为v1.3独有</w:t>
      </w:r>
    </w:p>
    <w:p>
      <w:r>
        <w:br w:type="page"/>
      </w:r>
    </w:p>
    <w:p>
      <w:pPr>
        <w:pStyle w:val="Heading1"/>
        <w:spacing w:after="200" w:before="360"/>
      </w:pPr>
      <w:r>
        <w:rPr>
          <w:rFonts w:ascii="Arial" w:cs="Arial" w:eastAsia="Arial" w:hAnsi="Arial"/>
          <w:b/>
          <w:bCs/>
          <w:sz w:val="32"/>
          <w:szCs w:val="32"/>
        </w:rPr>
        <w:t xml:space="preserve">第一篇：身份、履历与政治社会化路径</w:t>
      </w:r>
    </w:p>
    <w:p>
      <w:pPr>
        <w:pStyle w:val="Heading2"/>
        <w:spacing w:after="160" w:before="280"/>
      </w:pPr>
      <w:r>
        <w:rPr>
          <w:rFonts w:ascii="Arial" w:cs="Arial" w:eastAsia="Arial" w:hAnsi="Arial"/>
          <w:b/>
          <w:bCs/>
          <w:sz w:val="26"/>
          <w:szCs w:val="26"/>
        </w:rPr>
        <w:t xml:space="preserve">1.1 基本信息与身份标识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400"/>
        <w:gridCol w:w="1960"/>
      </w:tblGrid>
      <w:tr>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项目</w:t>
            </w:r>
          </w:p>
        </w:tc>
        <w:tc>
          <w:tcPr>
            <w:tcW w:type="dxa" w:w="5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内容</w:t>
            </w:r>
          </w:p>
        </w:tc>
        <w:tc>
          <w:tcPr>
            <w:tcW w:type="dxa" w:w="19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证据等级</w:t>
            </w:r>
          </w:p>
        </w:tc>
      </w:tr>
      <w:tr>
        <w:tc>
          <w:tcPr>
            <w:tcW w:type="dxa" w:w="20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法定全名</w:t>
            </w:r>
          </w:p>
        </w:tc>
        <w:tc>
          <w:tcPr>
            <w:tcW w:type="dxa" w:w="5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萧美琴（繁体：蕭美琴）/ Bi-khim Hsiao / Bi-khim Louise Hsiao</w:t>
            </w:r>
          </w:p>
        </w:tc>
        <w:tc>
          <w:tcPr>
            <w:tcW w:type="dxa" w:w="19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A</w:t>
            </w:r>
          </w:p>
        </w:tc>
      </w:tr>
      <w:tr>
        <w:tc>
          <w:tcPr>
            <w:tcW w:type="dxa" w:w="20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出生日期</w:t>
            </w:r>
          </w:p>
        </w:tc>
        <w:tc>
          <w:tcPr>
            <w:tcW w:type="dxa" w:w="5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1971年8月7日</w:t>
            </w:r>
          </w:p>
        </w:tc>
        <w:tc>
          <w:tcPr>
            <w:tcW w:type="dxa" w:w="19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A</w:t>
            </w:r>
          </w:p>
        </w:tc>
      </w:tr>
      <w:tr>
        <w:tc>
          <w:tcPr>
            <w:tcW w:type="dxa" w:w="20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出生地</w:t>
            </w:r>
          </w:p>
        </w:tc>
        <w:tc>
          <w:tcPr>
            <w:tcW w:type="dxa" w:w="5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日本神户市（Kobe, Japan）</w:t>
            </w:r>
          </w:p>
        </w:tc>
        <w:tc>
          <w:tcPr>
            <w:tcW w:type="dxa" w:w="19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B</w:t>
            </w:r>
          </w:p>
        </w:tc>
      </w:tr>
      <w:tr>
        <w:tc>
          <w:tcPr>
            <w:tcW w:type="dxa" w:w="20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博派</w:t>
            </w:r>
          </w:p>
        </w:tc>
        <w:tc>
          <w:tcPr>
            <w:tcW w:type="dxa" w:w="5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民主进步党（DPP）</w:t>
            </w:r>
          </w:p>
        </w:tc>
        <w:tc>
          <w:tcPr>
            <w:tcW w:type="dxa" w:w="19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A</w:t>
            </w:r>
          </w:p>
        </w:tc>
      </w:tr>
      <w:tr>
        <w:tc>
          <w:tcPr>
            <w:tcW w:type="dxa" w:w="20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现任职务</w:t>
            </w:r>
          </w:p>
        </w:tc>
        <w:tc>
          <w:tcPr>
            <w:tcW w:type="dxa" w:w="5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台湾地区第16任副领导人（2024年5月20日就任）</w:t>
            </w:r>
          </w:p>
        </w:tc>
        <w:tc>
          <w:tcPr>
            <w:tcW w:type="dxa" w:w="19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A</w:t>
            </w:r>
          </w:p>
        </w:tc>
      </w:tr>
      <w:tr>
        <w:tc>
          <w:tcPr>
            <w:tcW w:type="dxa" w:w="20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国籍变动</w:t>
            </w:r>
          </w:p>
        </w:tc>
        <w:tc>
          <w:tcPr>
            <w:tcW w:type="dxa" w:w="5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曾拥有美国籍，2002年放弃美籍</w:t>
            </w:r>
          </w:p>
        </w:tc>
        <w:tc>
          <w:tcPr>
            <w:tcW w:type="dxa" w:w="19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B</w:t>
            </w:r>
          </w:p>
        </w:tc>
      </w:tr>
      <w:tr>
        <w:tc>
          <w:tcPr>
            <w:tcW w:type="dxa" w:w="20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宗教信仰</w:t>
            </w:r>
          </w:p>
        </w:tc>
        <w:tc>
          <w:tcPr>
            <w:tcW w:type="dxa" w:w="5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基督教长老教会（Presbyterian）</w:t>
            </w:r>
          </w:p>
        </w:tc>
        <w:tc>
          <w:tcPr>
            <w:tcW w:type="dxa" w:w="19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B</w:t>
            </w:r>
          </w:p>
        </w:tc>
      </w:tr>
      <w:tr>
        <w:tc>
          <w:tcPr>
            <w:tcW w:type="dxa" w:w="20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语言能力</w:t>
            </w:r>
          </w:p>
        </w:tc>
        <w:tc>
          <w:tcPr>
            <w:tcW w:type="dxa" w:w="5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普通话、台语、英语（母语级）、日语</w:t>
            </w:r>
          </w:p>
        </w:tc>
        <w:tc>
          <w:tcPr>
            <w:tcW w:type="dxa" w:w="19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B</w:t>
            </w:r>
          </w:p>
        </w:tc>
      </w:tr>
    </w:tbl>
    <w:p>
      <w:pPr>
        <w:spacing w:after="100"/>
      </w:pPr>
      <w:r>
        <w:rPr>
          <w:rFonts w:ascii="Arial" w:cs="Arial" w:eastAsia="Arial" w:hAnsi="Arial"/>
          <w:b/>
          <w:bCs/>
          <w:color w:val="006600"/>
          <w:sz w:val="18"/>
          <w:szCs w:val="18"/>
        </w:rPr>
        <w:t xml:space="preserve">[A/B] </w:t>
      </w:r>
      <w:r>
        <w:rPr>
          <w:rFonts w:ascii="Arial" w:cs="Arial" w:eastAsia="Arial" w:hAnsi="Arial"/>
          <w:i/>
          <w:iCs/>
          <w:color w:val="666666"/>
          <w:sz w:val="18"/>
          <w:szCs w:val="18"/>
        </w:rPr>
        <w:t xml:space="preserve">总统府官网、TECRO官网、选委会公告、TIME Magazine</w:t>
      </w:r>
    </w:p>
    <w:p>
      <w:pPr>
        <w:spacing w:after="60"/>
      </w:pPr>
    </w:p>
    <w:p>
      <w:pPr>
        <w:pStyle w:val="Heading2"/>
        <w:spacing w:after="160" w:before="280"/>
      </w:pPr>
      <w:r>
        <w:rPr>
          <w:rFonts w:ascii="Arial" w:cs="Arial" w:eastAsia="Arial" w:hAnsi="Arial"/>
          <w:b/>
          <w:bCs/>
          <w:sz w:val="26"/>
          <w:szCs w:val="26"/>
        </w:rPr>
        <w:t xml:space="preserve">1.2 家族背景深度分析（v1.3整合版）</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父亲萧清芬</w:t>
      </w:r>
      <w:r>
        <w:rPr>
          <w:rFonts w:ascii="Arial" w:cs="Arial" w:eastAsia="Arial" w:hAnsi="Arial"/>
          <w:sz w:val="21"/>
          <w:szCs w:val="21"/>
        </w:rPr>
        <w:t xml:space="preserve">：台湾长老教会牧师，神学博士，曾任台南神学院院长。戒严时期台南神学院是台湾本土意识与政治庇护的重要据点。据厦大报告披露，萧清芬在美丽岛事件后曾保护师生并与当局周旋，这一经历构成了萧美琴最早的政治启蒙。</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v1.3新增</w:t>
      </w:r>
      <w:r>
        <w:rPr>
          <w:rFonts w:ascii="Arial" w:cs="Arial" w:eastAsia="Arial" w:hAnsi="Arial"/>
          <w:sz w:val="21"/>
          <w:szCs w:val="21"/>
        </w:rPr>
        <w:t xml:space="preserve">: 据厦大报告掌握，萧清芬在美丽岛事件后期的政治担当，使其家族呈现明显的非商背景特征。这一点至关重要——作为父亲留下的政治遗产，它为萧美琴后来以国家安全与民主供应链名义推动台积电赴美投资时，提供了强大的政治防御韧性。</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母亲邱碧玉（Peggy Cooley）</w:t>
      </w:r>
      <w:r>
        <w:rPr>
          <w:rFonts w:ascii="Arial" w:cs="Arial" w:eastAsia="Arial" w:hAnsi="Arial"/>
          <w:sz w:val="21"/>
          <w:szCs w:val="21"/>
        </w:rPr>
        <w:t xml:space="preserve">：美国音乐教师，家族背景可追溯至美国五月花号移民，为萧美琴提供了天然的留美纽带与西方文化认同感。</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家族背景的战略意义</w:t>
      </w:r>
      <w:r>
        <w:rPr>
          <w:rFonts w:ascii="Arial" w:cs="Arial" w:eastAsia="Arial" w:hAnsi="Arial"/>
          <w:sz w:val="21"/>
          <w:szCs w:val="21"/>
        </w:rPr>
        <w:t xml:space="preserve">: 从宗教信仰衍生出的使命感与西方专业主义的结合，使其在处理复杂的政商协同议题时，展现出极强的政策包装能力与政治防御韧性。</w:t>
      </w:r>
    </w:p>
    <w:p>
      <w:pPr>
        <w:spacing w:after="100"/>
      </w:pPr>
      <w:r>
        <w:rPr>
          <w:rFonts w:ascii="Arial" w:cs="Arial" w:eastAsia="Arial" w:hAnsi="Arial"/>
          <w:b/>
          <w:bCs/>
          <w:color w:val="003399"/>
          <w:sz w:val="18"/>
          <w:szCs w:val="18"/>
        </w:rPr>
        <w:t xml:space="preserve">[B/C] </w:t>
      </w:r>
      <w:r>
        <w:rPr>
          <w:rFonts w:ascii="Arial" w:cs="Arial" w:eastAsia="Arial" w:hAnsi="Arial"/>
          <w:i/>
          <w:iCs/>
          <w:color w:val="666666"/>
          <w:sz w:val="18"/>
          <w:szCs w:val="18"/>
        </w:rPr>
        <w:t xml:space="preserve">厦大平潭研究院报告、TECRO报告</w:t>
      </w:r>
    </w:p>
    <w:p>
      <w:pPr>
        <w:spacing w:after="60"/>
      </w:pPr>
    </w:p>
    <w:p>
      <w:pPr>
        <w:pStyle w:val="Heading2"/>
        <w:spacing w:after="160" w:before="280"/>
      </w:pPr>
      <w:r>
        <w:rPr>
          <w:rFonts w:ascii="Arial" w:cs="Arial" w:eastAsia="Arial" w:hAnsi="Arial"/>
          <w:b/>
          <w:bCs/>
          <w:sz w:val="26"/>
          <w:szCs w:val="26"/>
        </w:rPr>
        <w:t xml:space="preserve">1.3 教育经历与政治社会化</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台湾求学阶段</w:t>
      </w:r>
      <w:r>
        <w:rPr>
          <w:rFonts w:ascii="Arial" w:cs="Arial" w:eastAsia="Arial" w:hAnsi="Arial"/>
          <w:sz w:val="21"/>
          <w:szCs w:val="21"/>
        </w:rPr>
        <w:t xml:space="preserve">：就读于省立台南师专附小及后甲国中。这段府城成长经历赋予了她熟练的台语能力。</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美国求学与民进党入党</w:t>
      </w:r>
      <w:r>
        <w:rPr>
          <w:rFonts w:ascii="Arial" w:cs="Arial" w:eastAsia="Arial" w:hAnsi="Arial"/>
          <w:sz w:val="21"/>
          <w:szCs w:val="21"/>
        </w:rPr>
        <w:t xml:space="preserve">：1980年代中期随家庭移居美国。在纽约求学期间结识了时任民进党国际事务部主任的陈文茜。</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关键突破</w:t>
      </w:r>
      <w:r>
        <w:rPr>
          <w:rFonts w:ascii="Arial" w:cs="Arial" w:eastAsia="Arial" w:hAnsi="Arial"/>
          <w:sz w:val="21"/>
          <w:szCs w:val="21"/>
        </w:rPr>
        <w:t xml:space="preserve">: 1995年加入民进党国际事务工作，在二十几岁的年纪即出任民进党国际事务部主任，并担任陈水扁的随身翻译与顾问，完成了从技术官僚向政治核心圈的跃升。</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政治社会化路径</w:t>
      </w:r>
      <w:r>
        <w:rPr>
          <w:rFonts w:ascii="Arial" w:cs="Arial" w:eastAsia="Arial" w:hAnsi="Arial"/>
          <w:sz w:val="21"/>
          <w:szCs w:val="21"/>
        </w:rPr>
        <w:t xml:space="preserve">: 萧美琴并非典型的基层动员型政治人物，而更接近政策导向与理念导向并重的技术型政治精英。</w:t>
      </w:r>
    </w:p>
    <w:p>
      <w:pPr>
        <w:spacing w:after="100"/>
      </w:pPr>
      <w:r>
        <w:rPr>
          <w:rFonts w:ascii="Arial" w:cs="Arial" w:eastAsia="Arial" w:hAnsi="Arial"/>
          <w:b/>
          <w:bCs/>
          <w:color w:val="006600"/>
          <w:sz w:val="18"/>
          <w:szCs w:val="18"/>
        </w:rPr>
        <w:t xml:space="preserve">[A/B/C] </w:t>
      </w:r>
      <w:r>
        <w:rPr>
          <w:rFonts w:ascii="Arial" w:cs="Arial" w:eastAsia="Arial" w:hAnsi="Arial"/>
          <w:i/>
          <w:iCs/>
          <w:color w:val="666666"/>
          <w:sz w:val="18"/>
          <w:szCs w:val="18"/>
        </w:rPr>
        <w:t xml:space="preserve">多来源整合</w:t>
      </w:r>
    </w:p>
    <w:p>
      <w:pPr>
        <w:spacing w:after="60"/>
      </w:pPr>
    </w:p>
    <w:p>
      <w:pPr>
        <w:pStyle w:val="Heading2"/>
        <w:spacing w:after="160" w:before="280"/>
      </w:pPr>
      <w:r>
        <w:rPr>
          <w:rFonts w:ascii="Arial" w:cs="Arial" w:eastAsia="Arial" w:hAnsi="Arial"/>
          <w:b/>
          <w:bCs/>
          <w:sz w:val="26"/>
          <w:szCs w:val="26"/>
        </w:rPr>
        <w:t xml:space="preserve">1.4 政治生涯关键阶段</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1996-2000</w:t>
      </w:r>
      <w:r>
        <w:rPr>
          <w:rFonts w:ascii="Arial" w:cs="Arial" w:eastAsia="Arial" w:hAnsi="Arial"/>
          <w:sz w:val="21"/>
          <w:szCs w:val="21"/>
        </w:rPr>
        <w:t xml:space="preserve">: 台海危机期间任民进党驻美代表处助理，确立两岸问题国际化基调。</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2000-2010</w:t>
      </w:r>
      <w:r>
        <w:rPr>
          <w:rFonts w:ascii="Arial" w:cs="Arial" w:eastAsia="Arial" w:hAnsi="Arial"/>
          <w:sz w:val="21"/>
          <w:szCs w:val="21"/>
        </w:rPr>
        <w:t xml:space="preserve">: 担任总统府顾问及多届立法委员，在涉外关系领域表现活跃。</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2010-2020</w:t>
      </w:r>
      <w:r>
        <w:rPr>
          <w:rFonts w:ascii="Arial" w:cs="Arial" w:eastAsia="Arial" w:hAnsi="Arial"/>
          <w:sz w:val="21"/>
          <w:szCs w:val="21"/>
        </w:rPr>
        <w:t xml:space="preserve">: 花莲基层深耕与立法工作并行，建立地方政治基础。</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2020-2023</w:t>
      </w:r>
      <w:r>
        <w:rPr>
          <w:rFonts w:ascii="Arial" w:cs="Arial" w:eastAsia="Arial" w:hAnsi="Arial"/>
          <w:sz w:val="21"/>
          <w:szCs w:val="21"/>
        </w:rPr>
        <w:t xml:space="preserve">: 担任台湾驻美代表（TECRO），持续强化与美国系统的沟通。</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2024-</w:t>
      </w:r>
      <w:r>
        <w:rPr>
          <w:rFonts w:ascii="Arial" w:cs="Arial" w:eastAsia="Arial" w:hAnsi="Arial"/>
          <w:sz w:val="21"/>
          <w:szCs w:val="21"/>
        </w:rPr>
        <w:t xml:space="preserve">: 当选台湾地区副领导人，标志着其政治地位进一步制度化。</w:t>
      </w:r>
    </w:p>
    <w:p>
      <w:pPr>
        <w:spacing w:after="100"/>
      </w:pPr>
      <w:r>
        <w:rPr>
          <w:rFonts w:ascii="Arial" w:cs="Arial" w:eastAsia="Arial" w:hAnsi="Arial"/>
          <w:b/>
          <w:bCs/>
          <w:color w:val="006600"/>
          <w:sz w:val="18"/>
          <w:szCs w:val="18"/>
        </w:rPr>
        <w:t xml:space="preserve">[A/B] </w:t>
      </w:r>
      <w:r>
        <w:rPr>
          <w:rFonts w:ascii="Arial" w:cs="Arial" w:eastAsia="Arial" w:hAnsi="Arial"/>
          <w:i/>
          <w:iCs/>
          <w:color w:val="666666"/>
          <w:sz w:val="18"/>
          <w:szCs w:val="18"/>
        </w:rPr>
        <w:t xml:space="preserve">官方公告、媒体综合</w:t>
      </w:r>
    </w:p>
    <w:p>
      <w:pPr>
        <w:spacing w:after="60"/>
      </w:pPr>
    </w:p>
    <w:p>
      <w:r>
        <w:br w:type="page"/>
      </w:r>
    </w:p>
    <w:p>
      <w:pPr>
        <w:pStyle w:val="Heading1"/>
        <w:spacing w:after="200" w:before="360"/>
      </w:pPr>
      <w:r>
        <w:rPr>
          <w:rFonts w:ascii="Arial" w:cs="Arial" w:eastAsia="Arial" w:hAnsi="Arial"/>
          <w:b/>
          <w:bCs/>
          <w:sz w:val="32"/>
          <w:szCs w:val="32"/>
        </w:rPr>
        <w:t xml:space="preserve">第二篇：派系属性与权力网络</w:t>
      </w:r>
    </w:p>
    <w:p>
      <w:pPr>
        <w:pStyle w:val="Heading2"/>
        <w:spacing w:after="160" w:before="280"/>
      </w:pPr>
      <w:r>
        <w:rPr>
          <w:rFonts w:ascii="Arial" w:cs="Arial" w:eastAsia="Arial" w:hAnsi="Arial"/>
          <w:b/>
          <w:bCs/>
          <w:sz w:val="26"/>
          <w:szCs w:val="26"/>
        </w:rPr>
        <w:t xml:space="preserve">2.1 党内派系定位</w:t>
      </w:r>
    </w:p>
    <w:p>
      <w:pPr>
        <w:spacing w:after="120" w:line="300"/>
      </w:pPr>
      <w:r>
        <w:rPr>
          <w:rFonts w:ascii="Arial" w:cs="Arial" w:eastAsia="Arial" w:hAnsi="Arial"/>
          <w:sz w:val="21"/>
          <w:szCs w:val="21"/>
        </w:rPr>
        <w:t xml:space="preserve">萧美琴普遍被归入英系政治网络。她与蔡英文的政治关系可追溯至较早时期，两人关系并非单纯的阶段性合作，而更接近于建立在理念一致与能力认可基础上的长期信任。</w:t>
      </w:r>
    </w:p>
    <w:p>
      <w:pPr>
        <w:spacing w:after="120" w:line="300"/>
      </w:pPr>
      <w:r>
        <w:rPr>
          <w:rFonts w:ascii="Arial" w:cs="Arial" w:eastAsia="Arial" w:hAnsi="Arial"/>
          <w:sz w:val="21"/>
          <w:szCs w:val="21"/>
        </w:rPr>
        <w:t xml:space="preserve">然而，从严格意义上看，萧美琴并不属于英系的组织型操盘人物，而更接近该政治网络中的</w:t>
      </w:r>
      <w:r>
        <w:rPr>
          <w:rFonts w:ascii="Arial" w:cs="Arial" w:eastAsia="Arial" w:hAnsi="Arial"/>
          <w:b/>
          <w:bCs/>
          <w:sz w:val="21"/>
          <w:szCs w:val="21"/>
        </w:rPr>
        <w:t xml:space="preserve">专业技术官僚型成员</w:t>
      </w:r>
      <w:r>
        <w:rPr>
          <w:rFonts w:ascii="Arial" w:cs="Arial" w:eastAsia="Arial" w:hAnsi="Arial"/>
          <w:sz w:val="21"/>
          <w:szCs w:val="21"/>
        </w:rPr>
        <w:t xml:space="preserve">。她较少直接介入党内派系博弈，也未形成以个人为中心的派系力量。</w:t>
      </w:r>
    </w:p>
    <w:p>
      <w:pPr>
        <w:spacing w:after="120" w:line="300"/>
      </w:pPr>
      <w:r>
        <w:rPr>
          <w:rFonts w:ascii="Arial" w:cs="Arial" w:eastAsia="Arial" w:hAnsi="Arial"/>
          <w:sz w:val="21"/>
          <w:szCs w:val="21"/>
        </w:rPr>
        <w:t xml:space="preserve">其党内派系关系呈现出</w:t>
      </w:r>
      <w:r>
        <w:rPr>
          <w:rFonts w:ascii="Arial" w:cs="Arial" w:eastAsia="Arial" w:hAnsi="Arial"/>
          <w:b/>
          <w:bCs/>
          <w:sz w:val="21"/>
          <w:szCs w:val="21"/>
        </w:rPr>
        <w:t xml:space="preserve">弱依附、广连接</w:t>
      </w:r>
      <w:r>
        <w:rPr>
          <w:rFonts w:ascii="Arial" w:cs="Arial" w:eastAsia="Arial" w:hAnsi="Arial"/>
          <w:sz w:val="21"/>
          <w:szCs w:val="21"/>
        </w:rPr>
        <w:t xml:space="preserve">的特征。这种结构有助于降低政治阻力，但也意味着其权力安全在较大程度上依赖执政核心的支持。</w:t>
      </w:r>
    </w:p>
    <w:p>
      <w:pPr>
        <w:spacing w:after="100"/>
      </w:pPr>
      <w:r>
        <w:rPr>
          <w:rFonts w:ascii="Arial" w:cs="Arial" w:eastAsia="Arial" w:hAnsi="Arial"/>
          <w:b/>
          <w:bCs/>
          <w:color w:val="003399"/>
          <w:sz w:val="18"/>
          <w:szCs w:val="18"/>
        </w:rPr>
        <w:t xml:space="preserve">[B/C] </w:t>
      </w:r>
      <w:r>
        <w:rPr>
          <w:rFonts w:ascii="Arial" w:cs="Arial" w:eastAsia="Arial" w:hAnsi="Arial"/>
          <w:i/>
          <w:iCs/>
          <w:color w:val="666666"/>
          <w:sz w:val="18"/>
          <w:szCs w:val="18"/>
        </w:rPr>
        <w:t xml:space="preserve">厦大报告+媒体综合</w:t>
      </w:r>
    </w:p>
    <w:p>
      <w:pPr>
        <w:spacing w:after="60"/>
      </w:pPr>
    </w:p>
    <w:p>
      <w:pPr>
        <w:pStyle w:val="Heading2"/>
        <w:spacing w:after="160" w:before="280"/>
      </w:pPr>
      <w:r>
        <w:rPr>
          <w:rFonts w:ascii="Arial" w:cs="Arial" w:eastAsia="Arial" w:hAnsi="Arial"/>
          <w:b/>
          <w:bCs/>
          <w:sz w:val="26"/>
          <w:szCs w:val="26"/>
        </w:rPr>
        <w:t xml:space="preserve">2.2 与赖清德的互动关系</w:t>
      </w:r>
    </w:p>
    <w:p>
      <w:pPr>
        <w:spacing w:after="120" w:line="300"/>
      </w:pPr>
      <w:r>
        <w:rPr>
          <w:rFonts w:ascii="Arial" w:cs="Arial" w:eastAsia="Arial" w:hAnsi="Arial"/>
          <w:sz w:val="21"/>
          <w:szCs w:val="21"/>
        </w:rPr>
        <w:t xml:space="preserve">与赖清德的互动呈现出</w:t>
      </w:r>
      <w:r>
        <w:rPr>
          <w:rFonts w:ascii="Arial" w:cs="Arial" w:eastAsia="Arial" w:hAnsi="Arial"/>
          <w:b/>
          <w:bCs/>
          <w:sz w:val="21"/>
          <w:szCs w:val="21"/>
        </w:rPr>
        <w:t xml:space="preserve">务实合作特点</w:t>
      </w:r>
      <w:r>
        <w:rPr>
          <w:rFonts w:ascii="Arial" w:cs="Arial" w:eastAsia="Arial" w:hAnsi="Arial"/>
          <w:sz w:val="21"/>
          <w:szCs w:val="21"/>
        </w:rPr>
        <w:t xml:space="preserve">。赖清德政治基础更偏向党内传统动员体系，其政治风格与萧美琴存在差异。</w:t>
      </w:r>
    </w:p>
    <w:p>
      <w:pPr>
        <w:spacing w:after="120" w:line="300"/>
      </w:pPr>
      <w:r>
        <w:rPr>
          <w:rFonts w:ascii="Arial" w:cs="Arial" w:eastAsia="Arial" w:hAnsi="Arial"/>
          <w:sz w:val="21"/>
          <w:szCs w:val="21"/>
        </w:rPr>
        <w:t xml:space="preserve">2024年选战中，萧美琴本质上扮演了美台互信抵押品的角色——利用其技术官僚的底色稀释赖清德的激进标签，以维持美方对局势的可控感。</w:t>
      </w:r>
    </w:p>
    <w:p>
      <w:pPr>
        <w:spacing w:after="100"/>
      </w:pPr>
      <w:r>
        <w:rPr>
          <w:rFonts w:ascii="Arial" w:cs="Arial" w:eastAsia="Arial" w:hAnsi="Arial"/>
          <w:b/>
          <w:bCs/>
          <w:color w:val="CC6600"/>
          <w:sz w:val="18"/>
          <w:szCs w:val="18"/>
        </w:rPr>
        <w:t xml:space="preserve">[C/E] </w:t>
      </w:r>
      <w:r>
        <w:rPr>
          <w:rFonts w:ascii="Arial" w:cs="Arial" w:eastAsia="Arial" w:hAnsi="Arial"/>
          <w:i/>
          <w:iCs/>
          <w:color w:val="666666"/>
          <w:sz w:val="18"/>
          <w:szCs w:val="18"/>
        </w:rPr>
        <w:t xml:space="preserve">厦大报告分析+推断</w:t>
      </w:r>
    </w:p>
    <w:p>
      <w:pPr>
        <w:spacing w:after="60"/>
      </w:pPr>
    </w:p>
    <w:p>
      <w:pPr>
        <w:pStyle w:val="Heading2"/>
        <w:spacing w:after="160" w:before="280"/>
      </w:pPr>
      <w:r>
        <w:rPr>
          <w:rFonts w:ascii="Arial" w:cs="Arial" w:eastAsia="Arial" w:hAnsi="Arial"/>
          <w:b/>
          <w:bCs/>
          <w:sz w:val="26"/>
          <w:szCs w:val="26"/>
        </w:rPr>
        <w:t xml:space="preserve">2.3 国际人脉网络深度图谱（v1.3新增补充）</w:t>
      </w:r>
    </w:p>
    <w:p>
      <w:pPr>
        <w:spacing w:after="120" w:before="200"/>
      </w:pPr>
      <w:r>
        <w:rPr>
          <w:rFonts w:ascii="Arial" w:cs="Arial" w:eastAsia="Arial" w:hAnsi="Arial"/>
          <w:b/>
          <w:bCs/>
          <w:color w:val="333333"/>
          <w:sz w:val="22"/>
          <w:szCs w:val="22"/>
        </w:rPr>
        <w:t xml:space="preserve">美国线关键人物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800"/>
        <w:gridCol w:w="1560"/>
      </w:tblGrid>
      <w:tr>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人物</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关系性质</w:t>
            </w:r>
          </w:p>
        </w:tc>
        <w:tc>
          <w:tcPr>
            <w:tcW w:type="dxa" w:w="3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关键事件</w:t>
            </w:r>
          </w:p>
        </w:tc>
        <w:tc>
          <w:tcPr>
            <w:tcW w:type="dxa" w:w="1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证据</w:t>
            </w:r>
          </w:p>
        </w:tc>
      </w:tr>
      <w:tr>
        <w:tc>
          <w:tcPr>
            <w:tcW w:type="dxa" w:w="1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达克沃思（Tammy Duckworth）</w:t>
            </w:r>
          </w:p>
        </w:tc>
        <w:tc>
          <w:tcPr>
            <w:tcW w:type="dxa" w:w="2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私交甚笃的民主党参议员</w:t>
            </w:r>
          </w:p>
        </w:tc>
        <w:tc>
          <w:tcPr>
            <w:tcW w:type="dxa" w:w="3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2021年台湾疫情期间亲自访台</w:t>
            </w:r>
          </w:p>
        </w:tc>
        <w:tc>
          <w:tcPr>
            <w:tcW w:type="dxa" w:w="15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C</w:t>
            </w:r>
          </w:p>
        </w:tc>
      </w:tr>
      <w:tr>
        <w:tc>
          <w:tcPr>
            <w:tcW w:type="dxa" w:w="1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苏利文（Dan Sullivan）</w:t>
            </w:r>
          </w:p>
        </w:tc>
        <w:tc>
          <w:tcPr>
            <w:tcW w:type="dxa" w:w="2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共和党参议员</w:t>
            </w:r>
          </w:p>
        </w:tc>
        <w:tc>
          <w:tcPr>
            <w:tcW w:type="dxa" w:w="3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战略沟通默契</w:t>
            </w:r>
          </w:p>
        </w:tc>
        <w:tc>
          <w:tcPr>
            <w:tcW w:type="dxa" w:w="15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C</w:t>
            </w:r>
          </w:p>
        </w:tc>
      </w:tr>
      <w:tr>
        <w:tc>
          <w:tcPr>
            <w:tcW w:type="dxa" w:w="1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蓬佩奥（Mike Pompeo）</w:t>
            </w:r>
          </w:p>
        </w:tc>
        <w:tc>
          <w:tcPr>
            <w:tcW w:type="dxa" w:w="2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前国务卿</w:t>
            </w:r>
          </w:p>
        </w:tc>
        <w:tc>
          <w:tcPr>
            <w:tcW w:type="dxa" w:w="3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2021年3月邀请在双暱园餐叙</w:t>
            </w:r>
          </w:p>
        </w:tc>
        <w:tc>
          <w:tcPr>
            <w:tcW w:type="dxa" w:w="15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C</w:t>
            </w:r>
          </w:p>
        </w:tc>
      </w:tr>
      <w:tr>
        <w:tc>
          <w:tcPr>
            <w:tcW w:type="dxa" w:w="1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坎贝尔（Kurt Campbell）</w:t>
            </w:r>
          </w:p>
        </w:tc>
        <w:tc>
          <w:tcPr>
            <w:tcW w:type="dxa" w:w="2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白宫国安会印太事务协调员</w:t>
            </w:r>
          </w:p>
        </w:tc>
        <w:tc>
          <w:tcPr>
            <w:tcW w:type="dxa" w:w="3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保持极其顺畅的沟通渠道</w:t>
            </w:r>
          </w:p>
        </w:tc>
        <w:tc>
          <w:tcPr>
            <w:tcW w:type="dxa" w:w="15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C</w:t>
            </w:r>
          </w:p>
        </w:tc>
      </w:tr>
      <w:tr>
        <w:tc>
          <w:tcPr>
            <w:tcW w:type="dxa" w:w="1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麦卡锡（Kevin McCarthy）</w:t>
            </w:r>
          </w:p>
        </w:tc>
        <w:tc>
          <w:tcPr>
            <w:tcW w:type="dxa" w:w="2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众议院议长</w:t>
            </w:r>
          </w:p>
        </w:tc>
        <w:tc>
          <w:tcPr>
            <w:tcW w:type="dxa" w:w="3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2023年被拍到闭门会晤</w:t>
            </w:r>
          </w:p>
        </w:tc>
        <w:tc>
          <w:tcPr>
            <w:tcW w:type="dxa" w:w="15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B</w:t>
            </w:r>
          </w:p>
        </w:tc>
      </w:tr>
    </w:tbl>
    <w:p>
      <w:pPr>
        <w:spacing w:after="60"/>
      </w:pPr>
    </w:p>
    <w:p>
      <w:pPr>
        <w:spacing w:after="120" w:before="200"/>
      </w:pPr>
      <w:r>
        <w:rPr>
          <w:rFonts w:ascii="Arial" w:cs="Arial" w:eastAsia="Arial" w:hAnsi="Arial"/>
          <w:b/>
          <w:bCs/>
          <w:color w:val="333333"/>
          <w:sz w:val="22"/>
          <w:szCs w:val="22"/>
        </w:rPr>
        <w:t xml:space="preserve">欧洲线关键人物（v1.3新增）</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4200"/>
        <w:gridCol w:w="1160"/>
      </w:tblGrid>
      <w:tr>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人物</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关系性质</w:t>
            </w:r>
          </w:p>
        </w:tc>
        <w:tc>
          <w:tcPr>
            <w:tcW w:type="dxa" w:w="4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关键事件</w:t>
            </w:r>
          </w:p>
        </w:tc>
        <w:tc>
          <w:tcPr>
            <w:tcW w:type="dxa" w:w="11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证据</w:t>
            </w:r>
          </w:p>
        </w:tc>
      </w:tr>
      <w:tr>
        <w:tc>
          <w:tcPr>
            <w:tcW w:type="dxa" w:w="1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格里菲斯（Andrew Griffith）</w:t>
            </w:r>
          </w:p>
        </w:tc>
        <w:tc>
          <w:tcPr>
            <w:tcW w:type="dxa" w:w="2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英国影子商业及贸易大臣</w:t>
            </w:r>
          </w:p>
        </w:tc>
        <w:tc>
          <w:tcPr>
            <w:tcW w:type="dxa" w:w="4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2025年9月接见其率领的英国保守党代表团</w:t>
            </w:r>
          </w:p>
        </w:tc>
        <w:tc>
          <w:tcPr>
            <w:tcW w:type="dxa" w:w="11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B</w:t>
            </w:r>
          </w:p>
        </w:tc>
      </w:tr>
      <w:tr>
        <w:tc>
          <w:tcPr>
            <w:tcW w:type="dxa" w:w="1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图根哈特（Tom Tugendhat）</w:t>
            </w:r>
          </w:p>
        </w:tc>
        <w:tc>
          <w:tcPr>
            <w:tcW w:type="dxa" w:w="2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英国前安全事务大臣</w:t>
            </w:r>
          </w:p>
        </w:tc>
        <w:tc>
          <w:tcPr>
            <w:tcW w:type="dxa" w:w="4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2025年初会见时强调民主国家共同责任</w:t>
            </w:r>
          </w:p>
        </w:tc>
        <w:tc>
          <w:tcPr>
            <w:tcW w:type="dxa" w:w="11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B</w:t>
            </w:r>
          </w:p>
        </w:tc>
      </w:tr>
      <w:tr>
        <w:tc>
          <w:tcPr>
            <w:tcW w:type="dxa" w:w="1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莱克斯曼（Miriam Lexmann）</w:t>
            </w:r>
          </w:p>
        </w:tc>
        <w:tc>
          <w:tcPr>
            <w:tcW w:type="dxa" w:w="2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IPAC共同主席、欧洲议员</w:t>
            </w:r>
          </w:p>
        </w:tc>
        <w:tc>
          <w:tcPr>
            <w:tcW w:type="dxa" w:w="4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推动萧美琴于2025年11月在布鲁塞尔演说</w:t>
            </w:r>
          </w:p>
        </w:tc>
        <w:tc>
          <w:tcPr>
            <w:tcW w:type="dxa" w:w="11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B</w:t>
            </w:r>
          </w:p>
        </w:tc>
      </w:tr>
    </w:tbl>
    <w:p>
      <w:pPr>
        <w:spacing w:after="60"/>
      </w:pPr>
    </w:p>
    <w:p>
      <w:pPr>
        <w:spacing w:after="120" w:before="200"/>
      </w:pPr>
      <w:r>
        <w:rPr>
          <w:rFonts w:ascii="Arial" w:cs="Arial" w:eastAsia="Arial" w:hAnsi="Arial"/>
          <w:b/>
          <w:bCs/>
          <w:color w:val="333333"/>
          <w:sz w:val="22"/>
          <w:szCs w:val="22"/>
        </w:rPr>
        <w:t xml:space="preserve">社交外交模式</w:t>
      </w:r>
    </w:p>
    <w:p>
      <w:pPr>
        <w:spacing w:after="120" w:line="300"/>
      </w:pPr>
      <w:r>
        <w:rPr>
          <w:rFonts w:ascii="Arial" w:cs="Arial" w:eastAsia="Arial" w:hAnsi="Arial"/>
          <w:sz w:val="21"/>
          <w:szCs w:val="21"/>
        </w:rPr>
        <w:t xml:space="preserve">厦大报告披露了萧美琴将具有高度政治象征意义的官邸双暱园转化为极具个人特色的社交舞台。通过凤梨酵外交与珍珠奶茶外交深度经营私交，将非正式社交转化为政策突破的前置条件。</w:t>
      </w:r>
    </w:p>
    <w:p>
      <w:pPr>
        <w:spacing w:after="120" w:line="300"/>
      </w:pPr>
      <w:r>
        <w:rPr>
          <w:rFonts w:ascii="Arial" w:cs="Arial" w:eastAsia="Arial" w:hAnsi="Arial"/>
          <w:sz w:val="21"/>
          <w:szCs w:val="21"/>
        </w:rPr>
        <w:t xml:space="preserve">这种</w:t>
      </w:r>
      <w:r>
        <w:rPr>
          <w:rFonts w:ascii="Arial" w:cs="Arial" w:eastAsia="Arial" w:hAnsi="Arial"/>
          <w:b/>
          <w:bCs/>
          <w:sz w:val="21"/>
          <w:szCs w:val="21"/>
        </w:rPr>
        <w:t xml:space="preserve">形式非正式、实质高度政治化</w:t>
      </w:r>
      <w:r>
        <w:rPr>
          <w:rFonts w:ascii="Arial" w:cs="Arial" w:eastAsia="Arial" w:hAnsi="Arial"/>
          <w:sz w:val="21"/>
          <w:szCs w:val="21"/>
        </w:rPr>
        <w:t xml:space="preserve">的社交策略，是理解其对美外交效能的关键。2021年突破1979年以来的惯例，正式受邀出席拜登总统就职典礼，反映了美方通过这种</w:t>
      </w:r>
      <w:r>
        <w:rPr>
          <w:rFonts w:ascii="Arial" w:cs="Arial" w:eastAsia="Arial" w:hAnsi="Arial"/>
          <w:b/>
          <w:bCs/>
          <w:sz w:val="21"/>
          <w:szCs w:val="21"/>
        </w:rPr>
        <w:t xml:space="preserve">半公开的私人礼遇</w:t>
      </w:r>
      <w:r>
        <w:rPr>
          <w:rFonts w:ascii="Arial" w:cs="Arial" w:eastAsia="Arial" w:hAnsi="Arial"/>
          <w:sz w:val="21"/>
          <w:szCs w:val="21"/>
        </w:rPr>
        <w:t xml:space="preserve">，给予了她超越一般外交代表的政治信任。</w:t>
      </w:r>
    </w:p>
    <w:p>
      <w:pPr>
        <w:spacing w:after="100"/>
      </w:pPr>
      <w:r>
        <w:rPr>
          <w:rFonts w:ascii="Arial" w:cs="Arial" w:eastAsia="Arial" w:hAnsi="Arial"/>
          <w:b/>
          <w:bCs/>
          <w:color w:val="003399"/>
          <w:sz w:val="18"/>
          <w:szCs w:val="18"/>
        </w:rPr>
        <w:t xml:space="preserve">[B/C] </w:t>
      </w:r>
      <w:r>
        <w:rPr>
          <w:rFonts w:ascii="Arial" w:cs="Arial" w:eastAsia="Arial" w:hAnsi="Arial"/>
          <w:i/>
          <w:iCs/>
          <w:color w:val="666666"/>
          <w:sz w:val="18"/>
          <w:szCs w:val="18"/>
        </w:rPr>
        <w:t xml:space="preserve">厦大报告独家情报</w:t>
      </w:r>
    </w:p>
    <w:p>
      <w:pPr>
        <w:spacing w:after="60"/>
      </w:pPr>
    </w:p>
    <w:p>
      <w:r>
        <w:br w:type="page"/>
      </w:r>
    </w:p>
    <w:p>
      <w:pPr>
        <w:pStyle w:val="Heading1"/>
        <w:spacing w:after="200" w:before="360"/>
      </w:pPr>
      <w:r>
        <w:rPr>
          <w:rFonts w:ascii="Arial" w:cs="Arial" w:eastAsia="Arial" w:hAnsi="Arial"/>
          <w:b/>
          <w:bCs/>
          <w:sz w:val="32"/>
          <w:szCs w:val="32"/>
        </w:rPr>
        <w:t xml:space="preserve">第三篇：政治立场与意识形态特征</w:t>
      </w:r>
    </w:p>
    <w:p>
      <w:pPr>
        <w:pStyle w:val="Heading2"/>
        <w:spacing w:after="160" w:before="280"/>
      </w:pPr>
      <w:r>
        <w:rPr>
          <w:rFonts w:ascii="Arial" w:cs="Arial" w:eastAsia="Arial" w:hAnsi="Arial"/>
          <w:b/>
          <w:bCs/>
          <w:sz w:val="26"/>
          <w:szCs w:val="26"/>
        </w:rPr>
        <w:t xml:space="preserve">3.1 两岸立场：渐进式台独路径解析</w:t>
      </w:r>
    </w:p>
    <w:p>
      <w:pPr>
        <w:spacing w:after="120" w:line="300"/>
      </w:pPr>
      <w:r>
        <w:rPr>
          <w:rFonts w:ascii="Arial" w:cs="Arial" w:eastAsia="Arial" w:hAnsi="Arial"/>
          <w:sz w:val="21"/>
          <w:szCs w:val="21"/>
        </w:rPr>
        <w:t xml:space="preserve">萧美琴长期与民进党主流路线保持高度一致。其两岸立场的核心特征为</w:t>
      </w:r>
      <w:r>
        <w:rPr>
          <w:rFonts w:ascii="Arial" w:cs="Arial" w:eastAsia="Arial" w:hAnsi="Arial"/>
          <w:b/>
          <w:bCs/>
          <w:sz w:val="21"/>
          <w:szCs w:val="21"/>
        </w:rPr>
        <w:t xml:space="preserve">表达审慎—政策博断</w:t>
      </w:r>
      <w:r>
        <w:rPr>
          <w:rFonts w:ascii="Arial" w:cs="Arial" w:eastAsia="Arial" w:hAnsi="Arial"/>
          <w:sz w:val="21"/>
          <w:szCs w:val="21"/>
        </w:rPr>
        <w:t xml:space="preserve">：较少使用激烈的法理台独语言，但在政治实践中更接近渐进式台独的政策逻辑。</w:t>
      </w:r>
    </w:p>
    <w:p>
      <w:pPr>
        <w:spacing w:after="120" w:line="300"/>
      </w:pPr>
      <w:r>
        <w:rPr>
          <w:rFonts w:ascii="Arial" w:cs="Arial" w:eastAsia="Arial" w:hAnsi="Arial"/>
          <w:sz w:val="21"/>
          <w:szCs w:val="21"/>
        </w:rPr>
        <w:t xml:space="preserve">这一路径可追溯至1996年台海危机期间，当时任民进党驻美代表处助理的萧美琴便确立了两岸问题国际化的战略基调——主张通过强化台湾主体性、扩大国际参与、深化与西方国家关系，在不正式改变法理结构的前提下持续推动事实独立的外部认知基础。</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Shawn Ryan Show专访内容分析</w:t>
      </w:r>
      <w:r>
        <w:rPr>
          <w:rFonts w:ascii="Arial" w:cs="Arial" w:eastAsia="Arial" w:hAnsi="Arial"/>
          <w:sz w:val="21"/>
          <w:szCs w:val="21"/>
        </w:rPr>
        <w:t xml:space="preserve">: 2025年萧美琴接受美媒专访时提出，台湾所做的一切都是为了提高侵略代价并影响对岸决策，试图将两岸关系的性质从历史法理转向现实的利益博弈。</w:t>
      </w:r>
    </w:p>
    <w:p>
      <w:pPr>
        <w:spacing w:after="100"/>
      </w:pPr>
      <w:r>
        <w:rPr>
          <w:rFonts w:ascii="Arial" w:cs="Arial" w:eastAsia="Arial" w:hAnsi="Arial"/>
          <w:b/>
          <w:bCs/>
          <w:color w:val="003399"/>
          <w:sz w:val="18"/>
          <w:szCs w:val="18"/>
        </w:rPr>
        <w:t xml:space="preserve">[B/C/E] </w:t>
      </w:r>
      <w:r>
        <w:rPr>
          <w:rFonts w:ascii="Arial" w:cs="Arial" w:eastAsia="Arial" w:hAnsi="Arial"/>
          <w:i/>
          <w:iCs/>
          <w:color w:val="666666"/>
          <w:sz w:val="18"/>
          <w:szCs w:val="18"/>
        </w:rPr>
        <w:t xml:space="preserve">OSINT报告+厦大报告整合</w:t>
      </w:r>
    </w:p>
    <w:p>
      <w:pPr>
        <w:spacing w:after="60"/>
      </w:pPr>
    </w:p>
    <w:p>
      <w:pPr>
        <w:pStyle w:val="Heading2"/>
        <w:spacing w:after="160" w:before="280"/>
      </w:pPr>
      <w:r>
        <w:rPr>
          <w:rFonts w:ascii="Arial" w:cs="Arial" w:eastAsia="Arial" w:hAnsi="Arial"/>
          <w:b/>
          <w:bCs/>
          <w:sz w:val="26"/>
          <w:szCs w:val="26"/>
        </w:rPr>
        <w:t xml:space="preserve">3.2 对美关系定位：倾美强化安全战略路径</w:t>
      </w:r>
    </w:p>
    <w:p>
      <w:pPr>
        <w:spacing w:after="120" w:line="300"/>
      </w:pPr>
      <w:r>
        <w:rPr>
          <w:rFonts w:ascii="Arial" w:cs="Arial" w:eastAsia="Arial" w:hAnsi="Arial"/>
          <w:sz w:val="21"/>
          <w:szCs w:val="21"/>
        </w:rPr>
        <w:t xml:space="preserve">萧美琴推动的并非单纯的友美，而是更接近</w:t>
      </w:r>
      <w:r>
        <w:rPr>
          <w:rFonts w:ascii="Arial" w:cs="Arial" w:eastAsia="Arial" w:hAnsi="Arial"/>
          <w:b/>
          <w:bCs/>
          <w:sz w:val="21"/>
          <w:szCs w:val="21"/>
        </w:rPr>
        <w:t xml:space="preserve">倾美强化安全</w:t>
      </w:r>
      <w:r>
        <w:rPr>
          <w:rFonts w:ascii="Arial" w:cs="Arial" w:eastAsia="Arial" w:hAnsi="Arial"/>
          <w:sz w:val="21"/>
          <w:szCs w:val="21"/>
        </w:rPr>
        <w:t xml:space="preserve">的战略路径。她自喻为</w:t>
      </w:r>
      <w:r>
        <w:rPr>
          <w:rFonts w:ascii="Arial" w:cs="Arial" w:eastAsia="Arial" w:hAnsi="Arial"/>
          <w:b/>
          <w:bCs/>
          <w:sz w:val="21"/>
          <w:szCs w:val="21"/>
        </w:rPr>
        <w:t xml:space="preserve">战猫</w:t>
      </w:r>
      <w:r>
        <w:rPr>
          <w:rFonts w:ascii="Arial" w:cs="Arial" w:eastAsia="Arial" w:hAnsi="Arial"/>
          <w:sz w:val="21"/>
          <w:szCs w:val="21"/>
        </w:rPr>
        <w:t xml:space="preserve">，强调在狭缝中通过灵活性实现生存。</w:t>
      </w:r>
    </w:p>
    <w:p>
      <w:pPr>
        <w:spacing w:after="120" w:line="300"/>
      </w:pPr>
      <w:r>
        <w:rPr>
          <w:rFonts w:ascii="Arial" w:cs="Arial" w:eastAsia="Arial" w:hAnsi="Arial"/>
          <w:sz w:val="21"/>
          <w:szCs w:val="21"/>
        </w:rPr>
        <w:t xml:space="preserve">其任内推动的各项举措，均是在不触动中美建交公报的前提下，通过切香肠式手法实质性提升美台互动层级。</w:t>
      </w:r>
    </w:p>
    <w:p>
      <w:pPr>
        <w:spacing w:after="100"/>
      </w:pPr>
      <w:r>
        <w:rPr>
          <w:rFonts w:ascii="Arial" w:cs="Arial" w:eastAsia="Arial" w:hAnsi="Arial"/>
          <w:b/>
          <w:bCs/>
          <w:color w:val="003399"/>
          <w:sz w:val="18"/>
          <w:szCs w:val="18"/>
        </w:rPr>
        <w:t xml:space="preserve">[B/C] </w:t>
      </w:r>
      <w:r>
        <w:rPr>
          <w:rFonts w:ascii="Arial" w:cs="Arial" w:eastAsia="Arial" w:hAnsi="Arial"/>
          <w:i/>
          <w:iCs/>
          <w:color w:val="666666"/>
          <w:sz w:val="18"/>
          <w:szCs w:val="18"/>
        </w:rPr>
        <w:t xml:space="preserve">多来源</w:t>
      </w:r>
    </w:p>
    <w:p>
      <w:pPr>
        <w:spacing w:after="60"/>
      </w:pPr>
    </w:p>
    <w:p>
      <w:pPr>
        <w:pStyle w:val="Heading2"/>
        <w:spacing w:after="160" w:before="280"/>
      </w:pPr>
      <w:r>
        <w:rPr>
          <w:rFonts w:ascii="Arial" w:cs="Arial" w:eastAsia="Arial" w:hAnsi="Arial"/>
          <w:b/>
          <w:bCs/>
          <w:sz w:val="26"/>
          <w:szCs w:val="26"/>
        </w:rPr>
        <w:t xml:space="preserve">3.3 安全与防务观</w:t>
      </w:r>
    </w:p>
    <w:p>
      <w:pPr>
        <w:spacing w:after="120" w:line="300"/>
      </w:pPr>
      <w:r>
        <w:rPr>
          <w:rFonts w:ascii="Arial" w:cs="Arial" w:eastAsia="Arial" w:hAnsi="Arial"/>
          <w:sz w:val="21"/>
          <w:szCs w:val="21"/>
        </w:rPr>
        <w:t xml:space="preserve">总体支持提升防务能力与强化自我防卫叙事。其政策逻辑强调提升阻阻能力以避免战争。2025年，以副职身份参与美国特别竞争研究计划AI+科技博览会。</w:t>
      </w:r>
    </w:p>
    <w:p>
      <w:pPr>
        <w:spacing w:after="100"/>
      </w:pPr>
      <w:r>
        <w:rPr>
          <w:rFonts w:ascii="Arial" w:cs="Arial" w:eastAsia="Arial" w:hAnsi="Arial"/>
          <w:b/>
          <w:bCs/>
          <w:color w:val="003399"/>
          <w:sz w:val="18"/>
          <w:szCs w:val="18"/>
        </w:rPr>
        <w:t xml:space="preserve">[B] </w:t>
      </w:r>
      <w:r>
        <w:rPr>
          <w:rFonts w:ascii="Arial" w:cs="Arial" w:eastAsia="Arial" w:hAnsi="Arial"/>
          <w:i/>
          <w:iCs/>
          <w:color w:val="666666"/>
          <w:sz w:val="18"/>
          <w:szCs w:val="18"/>
        </w:rPr>
        <w:t xml:space="preserve">公开发言与报道</w:t>
      </w:r>
    </w:p>
    <w:p>
      <w:pPr>
        <w:spacing w:after="60"/>
      </w:pPr>
    </w:p>
    <w:p>
      <w:pPr>
        <w:pStyle w:val="Heading2"/>
        <w:spacing w:after="160" w:before="280"/>
      </w:pPr>
      <w:r>
        <w:rPr>
          <w:rFonts w:ascii="Arial" w:cs="Arial" w:eastAsia="Arial" w:hAnsi="Arial"/>
          <w:b/>
          <w:bCs/>
          <w:sz w:val="26"/>
          <w:szCs w:val="26"/>
        </w:rPr>
        <w:t xml:space="preserve">3.4 供应链战略：半导体生态系作为安全键合</w:t>
      </w:r>
    </w:p>
    <w:p>
      <w:pPr>
        <w:spacing w:after="120" w:line="300"/>
      </w:pPr>
      <w:r>
        <w:rPr>
          <w:rFonts w:ascii="Arial" w:cs="Arial" w:eastAsia="Arial" w:hAnsi="Arial"/>
          <w:sz w:val="21"/>
          <w:szCs w:val="21"/>
        </w:rPr>
        <w:t xml:space="preserve">2025年萧美琴在接受媒体采访时证实，除了台积电外，整个半导体生态系包括供应商与设计商都将赴美投资。在其逻辑中，这种产业链的深度交织是</w:t>
      </w:r>
      <w:r>
        <w:rPr>
          <w:rFonts w:ascii="Arial" w:cs="Arial" w:eastAsia="Arial" w:hAnsi="Arial"/>
          <w:b/>
          <w:bCs/>
          <w:sz w:val="21"/>
          <w:szCs w:val="21"/>
        </w:rPr>
        <w:t xml:space="preserve">强化美方保护台湾动机的结构性手段</w:t>
      </w:r>
      <w:r>
        <w:rPr>
          <w:rFonts w:ascii="Arial" w:cs="Arial" w:eastAsia="Arial" w:hAnsi="Arial"/>
          <w:sz w:val="21"/>
          <w:szCs w:val="21"/>
        </w:rPr>
        <w:t xml:space="preserve">。</w:t>
      </w:r>
    </w:p>
    <w:p>
      <w:pPr>
        <w:spacing w:after="100"/>
      </w:pPr>
      <w:r>
        <w:rPr>
          <w:rFonts w:ascii="Arial" w:cs="Arial" w:eastAsia="Arial" w:hAnsi="Arial"/>
          <w:b/>
          <w:bCs/>
          <w:color w:val="003399"/>
          <w:sz w:val="18"/>
          <w:szCs w:val="18"/>
        </w:rPr>
        <w:t xml:space="preserve">[B/E] </w:t>
      </w:r>
      <w:r>
        <w:rPr>
          <w:rFonts w:ascii="Arial" w:cs="Arial" w:eastAsia="Arial" w:hAnsi="Arial"/>
          <w:i/>
          <w:iCs/>
          <w:color w:val="666666"/>
          <w:sz w:val="18"/>
          <w:szCs w:val="18"/>
        </w:rPr>
        <w:t xml:space="preserve">媒体采访+分析推断</w:t>
      </w:r>
    </w:p>
    <w:p>
      <w:pPr>
        <w:spacing w:after="60"/>
      </w:pPr>
    </w:p>
    <w:p>
      <w:r>
        <w:br w:type="page"/>
      </w:r>
    </w:p>
    <w:p>
      <w:pPr>
        <w:pStyle w:val="Heading1"/>
        <w:spacing w:after="200" w:before="360"/>
      </w:pPr>
      <w:r>
        <w:rPr>
          <w:rFonts w:ascii="Arial" w:cs="Arial" w:eastAsia="Arial" w:hAnsi="Arial"/>
          <w:b/>
          <w:bCs/>
          <w:sz w:val="32"/>
          <w:szCs w:val="32"/>
        </w:rPr>
        <w:t xml:space="preserve">第四篇：行为模式建模与学术框架对照（v1.3完整版）</w:t>
      </w:r>
    </w:p>
    <w:p>
      <w:pPr>
        <w:pStyle w:val="Heading2"/>
        <w:spacing w:after="160" w:before="280"/>
      </w:pPr>
      <w:r>
        <w:rPr>
          <w:rFonts w:ascii="Arial" w:cs="Arial" w:eastAsia="Arial" w:hAnsi="Arial"/>
          <w:b/>
          <w:bCs/>
          <w:sz w:val="26"/>
          <w:szCs w:val="26"/>
        </w:rPr>
        <w:t xml:space="preserve">4.1 类型判定：现实主义操作型政治人物</w:t>
      </w:r>
    </w:p>
    <w:p>
      <w:pPr>
        <w:spacing w:after="120" w:line="300"/>
      </w:pPr>
      <w:r>
        <w:rPr>
          <w:rFonts w:ascii="Arial" w:cs="Arial" w:eastAsia="Arial" w:hAnsi="Arial"/>
          <w:sz w:val="21"/>
          <w:szCs w:val="21"/>
        </w:rPr>
        <w:t xml:space="preserve">综合两份报告的分析，若以政治行为而非修辞风格作为主要判断依据，萧美琴更接近</w:t>
      </w:r>
      <w:r>
        <w:rPr>
          <w:rFonts w:ascii="Arial" w:cs="Arial" w:eastAsia="Arial" w:hAnsi="Arial"/>
          <w:b/>
          <w:bCs/>
          <w:sz w:val="21"/>
          <w:szCs w:val="21"/>
        </w:rPr>
        <w:t xml:space="preserve">现实主义操作型</w:t>
      </w:r>
      <w:r>
        <w:rPr>
          <w:rFonts w:ascii="Arial" w:cs="Arial" w:eastAsia="Arial" w:hAnsi="Arial"/>
          <w:sz w:val="21"/>
          <w:szCs w:val="21"/>
        </w:rPr>
        <w:t xml:space="preserve">政治人物。其策略特征可概括为</w:t>
      </w:r>
      <w:r>
        <w:rPr>
          <w:rFonts w:ascii="Arial" w:cs="Arial" w:eastAsia="Arial" w:hAnsi="Arial"/>
          <w:b/>
          <w:bCs/>
          <w:sz w:val="21"/>
          <w:szCs w:val="21"/>
        </w:rPr>
        <w:t xml:space="preserve">低调强硬</w:t>
      </w:r>
      <w:r>
        <w:rPr>
          <w:rFonts w:ascii="Arial" w:cs="Arial" w:eastAsia="Arial" w:hAnsi="Arial"/>
          <w:sz w:val="21"/>
          <w:szCs w:val="21"/>
        </w:rPr>
        <w:t xml:space="preserve">——在避免触碰高敏感政治红线的同时，持续推进具有结构性影响的政策目标。</w:t>
      </w:r>
    </w:p>
    <w:p>
      <w:pPr>
        <w:spacing w:after="100"/>
      </w:pPr>
      <w:r>
        <w:rPr>
          <w:rFonts w:ascii="Arial" w:cs="Arial" w:eastAsia="Arial" w:hAnsi="Arial"/>
          <w:b/>
          <w:bCs/>
          <w:color w:val="990099"/>
          <w:sz w:val="18"/>
          <w:szCs w:val="18"/>
        </w:rPr>
        <w:t xml:space="preserve">[E] </w:t>
      </w:r>
      <w:r>
        <w:rPr>
          <w:rFonts w:ascii="Arial" w:cs="Arial" w:eastAsia="Arial" w:hAnsi="Arial"/>
          <w:i/>
          <w:iCs/>
          <w:color w:val="666666"/>
          <w:sz w:val="18"/>
          <w:szCs w:val="18"/>
        </w:rPr>
        <w:t xml:space="preserve">综合分析推断</w:t>
      </w:r>
    </w:p>
    <w:p>
      <w:pPr>
        <w:spacing w:after="60"/>
      </w:pPr>
    </w:p>
    <w:p>
      <w:pPr>
        <w:pStyle w:val="Heading2"/>
        <w:spacing w:after="160" w:before="280"/>
      </w:pPr>
      <w:r>
        <w:rPr>
          <w:rFonts w:ascii="Arial" w:cs="Arial" w:eastAsia="Arial" w:hAnsi="Arial"/>
          <w:b/>
          <w:bCs/>
          <w:sz w:val="26"/>
          <w:szCs w:val="26"/>
        </w:rPr>
        <w:t xml:space="preserve">4.2 Hermann领导特质分析（LTA）对照</w:t>
      </w:r>
    </w:p>
    <w:p>
      <w:pPr>
        <w:spacing w:after="120" w:line="300"/>
      </w:pPr>
      <w:r>
        <w:rPr>
          <w:rFonts w:ascii="Arial" w:cs="Arial" w:eastAsia="Arial" w:hAnsi="Arial"/>
          <w:sz w:val="21"/>
          <w:szCs w:val="21"/>
        </w:rPr>
        <w:t xml:space="preserve">依据Hermann的七维度领导特质分析框架，对萧美琴进行初步对照评估：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LTA维度</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评估</w:t>
            </w:r>
          </w:p>
        </w:tc>
        <w:tc>
          <w:tcPr>
            <w:tcW w:type="dxa" w:w="59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证据摘要</w:t>
            </w:r>
          </w:p>
        </w:tc>
      </w:tr>
      <w:tr>
        <w:tc>
          <w:tcPr>
            <w:tcW w:type="dxa" w:w="2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控制事件的信念</w:t>
            </w:r>
          </w:p>
        </w:tc>
        <w:tc>
          <w:tcPr>
            <w:tcW w:type="dxa" w:w="1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中-高</w:t>
            </w:r>
          </w:p>
        </w:tc>
        <w:tc>
          <w:tcPr>
            <w:tcW w:type="dxa" w:w="59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主动塑造美台关系结构，而非被动响应环境</w:t>
            </w:r>
          </w:p>
        </w:tc>
      </w:tr>
      <w:tr>
        <w:tc>
          <w:tcPr>
            <w:tcW w:type="dxa" w:w="2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概念复杂度</w:t>
            </w:r>
          </w:p>
        </w:tc>
        <w:tc>
          <w:tcPr>
            <w:tcW w:type="dxa" w:w="1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高</w:t>
            </w:r>
          </w:p>
        </w:tc>
        <w:tc>
          <w:tcPr>
            <w:tcW w:type="dxa" w:w="59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能够在多重角色间切换，处理复杂三角关系</w:t>
            </w:r>
          </w:p>
        </w:tc>
      </w:tr>
      <w:tr>
        <w:tc>
          <w:tcPr>
            <w:tcW w:type="dxa" w:w="2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权力需求</w:t>
            </w:r>
          </w:p>
        </w:tc>
        <w:tc>
          <w:tcPr>
            <w:tcW w:type="dxa" w:w="1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中</w:t>
            </w:r>
          </w:p>
        </w:tc>
        <w:tc>
          <w:tcPr>
            <w:tcW w:type="dxa" w:w="59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不追求显性权力展示，但持续提升影响力</w:t>
            </w:r>
          </w:p>
        </w:tc>
      </w:tr>
      <w:tr>
        <w:tc>
          <w:tcPr>
            <w:tcW w:type="dxa" w:w="2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不信任他人</w:t>
            </w:r>
          </w:p>
        </w:tc>
        <w:tc>
          <w:tcPr>
            <w:tcW w:type="dxa" w:w="1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中-高</w:t>
            </w:r>
          </w:p>
        </w:tc>
        <w:tc>
          <w:tcPr>
            <w:tcW w:type="dxa" w:w="59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对大陆意图保持高度警觉，对美方保持守戴的信任</w:t>
            </w:r>
          </w:p>
        </w:tc>
      </w:tr>
      <w:tr>
        <w:tc>
          <w:tcPr>
            <w:tcW w:type="dxa" w:w="2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内群偏好</w:t>
            </w:r>
          </w:p>
        </w:tc>
        <w:tc>
          <w:tcPr>
            <w:tcW w:type="dxa" w:w="1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中</w:t>
            </w:r>
          </w:p>
        </w:tc>
        <w:tc>
          <w:tcPr>
            <w:tcW w:type="dxa" w:w="59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强调台湾主体性，但能跨文化沟通</w:t>
            </w:r>
          </w:p>
        </w:tc>
      </w:tr>
      <w:tr>
        <w:tc>
          <w:tcPr>
            <w:tcW w:type="dxa" w:w="2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自信心</w:t>
            </w:r>
          </w:p>
        </w:tc>
        <w:tc>
          <w:tcPr>
            <w:tcW w:type="dxa" w:w="1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高</w:t>
            </w:r>
          </w:p>
        </w:tc>
        <w:tc>
          <w:tcPr>
            <w:tcW w:type="dxa" w:w="59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在国际场合表现极强的自信和适应性</w:t>
            </w:r>
          </w:p>
        </w:tc>
      </w:tr>
      <w:tr>
        <w:tc>
          <w:tcPr>
            <w:tcW w:type="dxa" w:w="2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任务导向</w:t>
            </w:r>
          </w:p>
        </w:tc>
        <w:tc>
          <w:tcPr>
            <w:tcW w:type="dxa" w:w="1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高</w:t>
            </w:r>
          </w:p>
        </w:tc>
        <w:tc>
          <w:tcPr>
            <w:tcW w:type="dxa" w:w="59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重视政策可操作性与外部可接受度</w:t>
            </w:r>
          </w:p>
        </w:tc>
      </w:tr>
    </w:tbl>
    <w:p>
      <w:pPr>
        <w:spacing w:after="100"/>
      </w:pPr>
      <w:r>
        <w:rPr>
          <w:rFonts w:ascii="Arial" w:cs="Arial" w:eastAsia="Arial" w:hAnsi="Arial"/>
          <w:b/>
          <w:bCs/>
          <w:color w:val="990099"/>
          <w:sz w:val="18"/>
          <w:szCs w:val="18"/>
        </w:rPr>
        <w:t xml:space="preserve">[E] </w:t>
      </w:r>
      <w:r>
        <w:rPr>
          <w:rFonts w:ascii="Arial" w:cs="Arial" w:eastAsia="Arial" w:hAnsi="Arial"/>
          <w:i/>
          <w:iCs/>
          <w:color w:val="666666"/>
          <w:sz w:val="18"/>
          <w:szCs w:val="18"/>
        </w:rPr>
        <w:t xml:space="preserve">基于Hermann框架的推断性分析</w:t>
      </w:r>
    </w:p>
    <w:p>
      <w:pPr>
        <w:spacing w:after="60"/>
      </w:pPr>
    </w:p>
    <w:p>
      <w:pPr>
        <w:pStyle w:val="Heading2"/>
        <w:spacing w:after="160" w:before="280"/>
      </w:pPr>
      <w:r>
        <w:rPr>
          <w:rFonts w:ascii="Arial" w:cs="Arial" w:eastAsia="Arial" w:hAnsi="Arial"/>
          <w:b/>
          <w:bCs/>
          <w:sz w:val="26"/>
          <w:szCs w:val="26"/>
        </w:rPr>
        <w:t xml:space="preserve">4.3 Barber总统类型学对照</w:t>
      </w:r>
    </w:p>
    <w:p>
      <w:pPr>
        <w:spacing w:after="120" w:line="300"/>
      </w:pPr>
      <w:r>
        <w:rPr>
          <w:rFonts w:ascii="Arial" w:cs="Arial" w:eastAsia="Arial" w:hAnsi="Arial"/>
          <w:sz w:val="21"/>
          <w:szCs w:val="21"/>
        </w:rPr>
        <w:t xml:space="preserve">依据Barber的四分类型框架，萧美琴更接近</w:t>
      </w:r>
      <w:r>
        <w:rPr>
          <w:rFonts w:ascii="Arial" w:cs="Arial" w:eastAsia="Arial" w:hAnsi="Arial"/>
          <w:b/>
          <w:bCs/>
          <w:sz w:val="21"/>
          <w:szCs w:val="21"/>
        </w:rPr>
        <w:t xml:space="preserve">积极-正面型</w:t>
      </w:r>
      <w:r>
        <w:rPr>
          <w:rFonts w:ascii="Arial" w:cs="Arial" w:eastAsia="Arial" w:hAnsi="Arial"/>
          <w:sz w:val="21"/>
          <w:szCs w:val="21"/>
        </w:rPr>
        <w:t xml:space="preserve">——高度主动地参与政治进程，对政治角色保持积极态度，且具备较强的适应性。</w:t>
      </w:r>
    </w:p>
    <w:p>
      <w:pPr>
        <w:spacing w:after="100"/>
      </w:pPr>
      <w:r>
        <w:rPr>
          <w:rFonts w:ascii="Arial" w:cs="Arial" w:eastAsia="Arial" w:hAnsi="Arial"/>
          <w:b/>
          <w:bCs/>
          <w:color w:val="990099"/>
          <w:sz w:val="18"/>
          <w:szCs w:val="18"/>
        </w:rPr>
        <w:t xml:space="preserve">[E] </w:t>
      </w:r>
      <w:r>
        <w:rPr>
          <w:rFonts w:ascii="Arial" w:cs="Arial" w:eastAsia="Arial" w:hAnsi="Arial"/>
          <w:i/>
          <w:iCs/>
          <w:color w:val="666666"/>
          <w:sz w:val="18"/>
          <w:szCs w:val="18"/>
        </w:rPr>
        <w:t xml:space="preserve">基于Barber框架的推断性分析</w:t>
      </w:r>
    </w:p>
    <w:p>
      <w:pPr>
        <w:spacing w:after="60"/>
      </w:pPr>
    </w:p>
    <w:p>
      <w:pPr>
        <w:pStyle w:val="Heading2"/>
        <w:spacing w:after="160" w:before="280"/>
      </w:pPr>
      <w:r>
        <w:rPr>
          <w:rFonts w:ascii="Arial" w:cs="Arial" w:eastAsia="Arial" w:hAnsi="Arial"/>
          <w:b/>
          <w:bCs/>
          <w:sz w:val="26"/>
          <w:szCs w:val="26"/>
        </w:rPr>
        <w:t xml:space="preserve">4.4 George操作码分析</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哲学信念域</w:t>
      </w:r>
      <w:r>
        <w:rPr>
          <w:rFonts w:ascii="Arial" w:cs="Arial" w:eastAsia="Arial" w:hAnsi="Arial"/>
          <w:sz w:val="21"/>
          <w:szCs w:val="21"/>
        </w:rPr>
        <w:t xml:space="preserve">：将政治环境视为可塑造但充满竞争的场域，对大陆意图持审慎判断，对美方保持有条件信任。对未来持谨慎乐观态度。</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工具信念域</w:t>
      </w:r>
      <w:r>
        <w:rPr>
          <w:rFonts w:ascii="Arial" w:cs="Arial" w:eastAsia="Arial" w:hAnsi="Arial"/>
          <w:sz w:val="21"/>
          <w:szCs w:val="21"/>
        </w:rPr>
        <w:t xml:space="preserve">：偏好渐进式策略，避免一次性制度突破；重视多边合作与制度嵌入；通过切香肠策略稀释每次行动的政治风险；善于将安全议题嵌入更广泛的价值观合作框架。</w:t>
      </w:r>
    </w:p>
    <w:p>
      <w:pPr>
        <w:spacing w:after="100"/>
      </w:pPr>
      <w:r>
        <w:rPr>
          <w:rFonts w:ascii="Arial" w:cs="Arial" w:eastAsia="Arial" w:hAnsi="Arial"/>
          <w:b/>
          <w:bCs/>
          <w:color w:val="990099"/>
          <w:sz w:val="18"/>
          <w:szCs w:val="18"/>
        </w:rPr>
        <w:t xml:space="preserve">[E] </w:t>
      </w:r>
      <w:r>
        <w:rPr>
          <w:rFonts w:ascii="Arial" w:cs="Arial" w:eastAsia="Arial" w:hAnsi="Arial"/>
          <w:i/>
          <w:iCs/>
          <w:color w:val="666666"/>
          <w:sz w:val="18"/>
          <w:szCs w:val="18"/>
        </w:rPr>
        <w:t xml:space="preserve">基于George框架的推断性分析</w:t>
      </w:r>
    </w:p>
    <w:p>
      <w:pPr>
        <w:spacing w:after="60"/>
      </w:pPr>
    </w:p>
    <w:p>
      <w:pPr>
        <w:pStyle w:val="Heading2"/>
        <w:spacing w:after="160" w:before="280"/>
      </w:pPr>
      <w:r>
        <w:rPr>
          <w:rFonts w:ascii="Arial" w:cs="Arial" w:eastAsia="Arial" w:hAnsi="Arial"/>
          <w:b/>
          <w:bCs/>
          <w:sz w:val="26"/>
          <w:szCs w:val="26"/>
        </w:rPr>
        <w:t xml:space="preserve">4.5 Winter动机分析</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权力动机</w:t>
      </w:r>
      <w:r>
        <w:rPr>
          <w:rFonts w:ascii="Arial" w:cs="Arial" w:eastAsia="Arial" w:hAnsi="Arial"/>
          <w:sz w:val="21"/>
          <w:szCs w:val="21"/>
        </w:rPr>
        <w:t xml:space="preserve">：中等——不追求显性权力展示，但通过制度嵌入实现持续影响力。</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成就动机</w:t>
      </w:r>
      <w:r>
        <w:rPr>
          <w:rFonts w:ascii="Arial" w:cs="Arial" w:eastAsia="Arial" w:hAnsi="Arial"/>
          <w:sz w:val="21"/>
          <w:szCs w:val="21"/>
        </w:rPr>
        <w:t xml:space="preserve">：高——重视政策突破与可量化成果。</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亲和动机</w:t>
      </w:r>
      <w:r>
        <w:rPr>
          <w:rFonts w:ascii="Arial" w:cs="Arial" w:eastAsia="Arial" w:hAnsi="Arial"/>
          <w:sz w:val="21"/>
          <w:szCs w:val="21"/>
        </w:rPr>
        <w:t xml:space="preserve">：中-高——善于通过社交外交建立深层私人关系，但亲和服务于战略目标。</w:t>
      </w:r>
    </w:p>
    <w:p>
      <w:pPr>
        <w:spacing w:after="100"/>
      </w:pPr>
      <w:r>
        <w:rPr>
          <w:rFonts w:ascii="Arial" w:cs="Arial" w:eastAsia="Arial" w:hAnsi="Arial"/>
          <w:b/>
          <w:bCs/>
          <w:color w:val="990099"/>
          <w:sz w:val="18"/>
          <w:szCs w:val="18"/>
        </w:rPr>
        <w:t xml:space="preserve">[E] </w:t>
      </w:r>
      <w:r>
        <w:rPr>
          <w:rFonts w:ascii="Arial" w:cs="Arial" w:eastAsia="Arial" w:hAnsi="Arial"/>
          <w:i/>
          <w:iCs/>
          <w:color w:val="666666"/>
          <w:sz w:val="18"/>
          <w:szCs w:val="18"/>
        </w:rPr>
        <w:t xml:space="preserve">基于Winter动机分析框架</w:t>
      </w:r>
    </w:p>
    <w:p>
      <w:pPr>
        <w:spacing w:after="60"/>
      </w:pPr>
    </w:p>
    <w:p>
      <w:pPr>
        <w:pStyle w:val="Heading2"/>
        <w:spacing w:after="160" w:before="280"/>
      </w:pPr>
      <w:r>
        <w:rPr>
          <w:rFonts w:ascii="Arial" w:cs="Arial" w:eastAsia="Arial" w:hAnsi="Arial"/>
          <w:b/>
          <w:bCs/>
          <w:sz w:val="26"/>
          <w:szCs w:val="26"/>
        </w:rPr>
        <w:t xml:space="preserve">4.6 五大策略行为模式提炼（v1.3核心新增）</w:t>
      </w:r>
    </w:p>
    <w:p>
      <w:pPr>
        <w:spacing w:after="120" w:line="300"/>
      </w:pPr>
      <w:r>
        <w:rPr>
          <w:rFonts w:ascii="Arial" w:cs="Arial" w:eastAsia="Arial" w:hAnsi="Arial"/>
          <w:sz w:val="21"/>
          <w:szCs w:val="21"/>
        </w:rPr>
        <w:t xml:space="preserve">综合两份报告的分析，提炼出萧美琴的五大核心策略行为模式：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200"/>
        <w:gridCol w:w="2960"/>
      </w:tblGrid>
      <w:tr>
        <w:tc>
          <w:tcPr>
            <w:tcW w:type="dxa" w:w="1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模式编号</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模式名称</w:t>
            </w:r>
          </w:p>
        </w:tc>
        <w:tc>
          <w:tcPr>
            <w:tcW w:type="dxa" w:w="3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具体表现</w:t>
            </w:r>
          </w:p>
        </w:tc>
        <w:tc>
          <w:tcPr>
            <w:tcW w:type="dxa" w:w="29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典型案例</w:t>
            </w:r>
          </w:p>
        </w:tc>
      </w:tr>
      <w:tr>
        <w:tc>
          <w:tcPr>
            <w:tcW w:type="dxa" w:w="10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BP-1</w:t>
            </w:r>
          </w:p>
        </w:tc>
        <w:tc>
          <w:tcPr>
            <w:tcW w:type="dxa" w:w="2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切香肠式渐进推进</w:t>
            </w:r>
          </w:p>
        </w:tc>
        <w:tc>
          <w:tcPr>
            <w:tcW w:type="dxa" w:w="3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通过多次小幅度突破稀释每次行动的政治风险</w:t>
            </w:r>
          </w:p>
        </w:tc>
        <w:tc>
          <w:tcPr>
            <w:tcW w:type="dxa" w:w="29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台美21世纪贸易倡议、修订对台交往准则</w:t>
            </w:r>
          </w:p>
        </w:tc>
      </w:tr>
      <w:tr>
        <w:tc>
          <w:tcPr>
            <w:tcW w:type="dxa" w:w="10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BP-2</w:t>
            </w:r>
          </w:p>
        </w:tc>
        <w:tc>
          <w:tcPr>
            <w:tcW w:type="dxa" w:w="2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形式非正式、实质高度政治化社交策略</w:t>
            </w:r>
          </w:p>
        </w:tc>
        <w:tc>
          <w:tcPr>
            <w:tcW w:type="dxa" w:w="3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将非正式社交场景转化为政策突破的前置条件</w:t>
            </w:r>
          </w:p>
        </w:tc>
        <w:tc>
          <w:tcPr>
            <w:tcW w:type="dxa" w:w="29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双暱园凤梨酵外交、拜登就职典礼参加</w:t>
            </w:r>
          </w:p>
        </w:tc>
      </w:tr>
      <w:tr>
        <w:tc>
          <w:tcPr>
            <w:tcW w:type="dxa" w:w="10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BP-3</w:t>
            </w:r>
          </w:p>
        </w:tc>
        <w:tc>
          <w:tcPr>
            <w:tcW w:type="dxa" w:w="2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价值观包装安全议题</w:t>
            </w:r>
          </w:p>
        </w:tc>
        <w:tc>
          <w:tcPr>
            <w:tcW w:type="dxa" w:w="3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将安全合作嵌入民主合作等更广泛框架</w:t>
            </w:r>
          </w:p>
        </w:tc>
        <w:tc>
          <w:tcPr>
            <w:tcW w:type="dxa" w:w="29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半导体产业链赴美、SCSP AI+科技博览会</w:t>
            </w:r>
          </w:p>
        </w:tc>
      </w:tr>
      <w:tr>
        <w:tc>
          <w:tcPr>
            <w:tcW w:type="dxa" w:w="10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BP-4</w:t>
            </w:r>
          </w:p>
        </w:tc>
        <w:tc>
          <w:tcPr>
            <w:tcW w:type="dxa" w:w="2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跨博派、跨地域网络经营</w:t>
            </w:r>
          </w:p>
        </w:tc>
        <w:tc>
          <w:tcPr>
            <w:tcW w:type="dxa" w:w="3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同时维护民主党和共和党人脉，同时拓展欧洲网络</w:t>
            </w:r>
          </w:p>
        </w:tc>
        <w:tc>
          <w:tcPr>
            <w:tcW w:type="dxa" w:w="29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达克沃思+苏利文、英国+IPAC</w:t>
            </w:r>
          </w:p>
        </w:tc>
      </w:tr>
      <w:tr>
        <w:tc>
          <w:tcPr>
            <w:tcW w:type="dxa" w:w="10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BP-5</w:t>
            </w:r>
          </w:p>
        </w:tc>
        <w:tc>
          <w:tcPr>
            <w:tcW w:type="dxa" w:w="2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危机转化舆事能力</w:t>
            </w:r>
          </w:p>
        </w:tc>
        <w:tc>
          <w:tcPr>
            <w:tcW w:type="dxa" w:w="3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将危机事件转化为有利的国际话语</w:t>
            </w:r>
          </w:p>
        </w:tc>
        <w:tc>
          <w:tcPr>
            <w:tcW w:type="dxa" w:w="296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捷克车辆碰撞事件转化为战猫对抗战狼叙事</w:t>
            </w:r>
          </w:p>
        </w:tc>
      </w:tr>
    </w:tbl>
    <w:p>
      <w:pPr>
        <w:spacing w:after="100"/>
      </w:pPr>
      <w:r>
        <w:rPr>
          <w:rFonts w:ascii="Arial" w:cs="Arial" w:eastAsia="Arial" w:hAnsi="Arial"/>
          <w:b/>
          <w:bCs/>
          <w:color w:val="990099"/>
          <w:sz w:val="18"/>
          <w:szCs w:val="18"/>
        </w:rPr>
        <w:t xml:space="preserve">[E] </w:t>
      </w:r>
      <w:r>
        <w:rPr>
          <w:rFonts w:ascii="Arial" w:cs="Arial" w:eastAsia="Arial" w:hAnsi="Arial"/>
          <w:i/>
          <w:iCs/>
          <w:color w:val="666666"/>
          <w:sz w:val="18"/>
          <w:szCs w:val="18"/>
        </w:rPr>
        <w:t xml:space="preserve">综合分析提炼</w:t>
      </w:r>
    </w:p>
    <w:p>
      <w:pPr>
        <w:spacing w:after="60"/>
      </w:pPr>
    </w:p>
    <w:p>
      <w:r>
        <w:br w:type="page"/>
      </w:r>
    </w:p>
    <w:p>
      <w:pPr>
        <w:pStyle w:val="Heading1"/>
        <w:spacing w:after="200" w:before="360"/>
      </w:pPr>
      <w:r>
        <w:rPr>
          <w:rFonts w:ascii="Arial" w:cs="Arial" w:eastAsia="Arial" w:hAnsi="Arial"/>
          <w:b/>
          <w:bCs/>
          <w:sz w:val="32"/>
          <w:szCs w:val="32"/>
        </w:rPr>
        <w:t xml:space="preserve">第五篇：综合研判</w:t>
      </w:r>
    </w:p>
    <w:p>
      <w:pPr>
        <w:pStyle w:val="Heading2"/>
        <w:spacing w:after="160" w:before="280"/>
      </w:pPr>
      <w:r>
        <w:rPr>
          <w:rFonts w:ascii="Arial" w:cs="Arial" w:eastAsia="Arial" w:hAnsi="Arial"/>
          <w:b/>
          <w:bCs/>
          <w:sz w:val="26"/>
          <w:szCs w:val="26"/>
        </w:rPr>
        <w:t xml:space="preserve">5.1 权力资源的多源性分析</w:t>
      </w:r>
    </w:p>
    <w:p>
      <w:pPr>
        <w:spacing w:after="120" w:line="300"/>
      </w:pPr>
      <w:r>
        <w:rPr>
          <w:rFonts w:ascii="Arial" w:cs="Arial" w:eastAsia="Arial" w:hAnsi="Arial"/>
          <w:sz w:val="21"/>
          <w:szCs w:val="21"/>
        </w:rPr>
        <w:t xml:space="preserve">萧美琴的权力资源来源呈现出多源性特点，这也是其政治生存韧性的重要基础：</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党内资源</w:t>
      </w:r>
      <w:r>
        <w:rPr>
          <w:rFonts w:ascii="Arial" w:cs="Arial" w:eastAsia="Arial" w:hAnsi="Arial"/>
          <w:sz w:val="21"/>
          <w:szCs w:val="21"/>
        </w:rPr>
        <w:t xml:space="preserve">：英系核心成员身份，与蔡英文的长期信任关系。</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技术官僚资本</w:t>
      </w:r>
      <w:r>
        <w:rPr>
          <w:rFonts w:ascii="Arial" w:cs="Arial" w:eastAsia="Arial" w:hAnsi="Arial"/>
          <w:sz w:val="21"/>
          <w:szCs w:val="21"/>
        </w:rPr>
        <w:t xml:space="preserve">：深厚的政策专业能力与跨文化沟通优势，使其具有较低的可替代性。</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国际关系资源</w:t>
      </w:r>
      <w:r>
        <w:rPr>
          <w:rFonts w:ascii="Arial" w:cs="Arial" w:eastAsia="Arial" w:hAnsi="Arial"/>
          <w:sz w:val="21"/>
          <w:szCs w:val="21"/>
        </w:rPr>
        <w:t xml:space="preserve">：在美国政治体系中积累的稳定人脉，以及近期拓展的欧洲网络。</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制度化位置</w:t>
      </w:r>
      <w:r>
        <w:rPr>
          <w:rFonts w:ascii="Arial" w:cs="Arial" w:eastAsia="Arial" w:hAnsi="Arial"/>
          <w:sz w:val="21"/>
          <w:szCs w:val="21"/>
        </w:rPr>
        <w:t xml:space="preserve">：从驻美代表到副职的制度化权力攀升。</w:t>
      </w:r>
    </w:p>
    <w:p>
      <w:pPr>
        <w:spacing w:after="100"/>
      </w:pPr>
      <w:r>
        <w:rPr>
          <w:rFonts w:ascii="Arial" w:cs="Arial" w:eastAsia="Arial" w:hAnsi="Arial"/>
          <w:b/>
          <w:bCs/>
          <w:color w:val="990099"/>
          <w:sz w:val="18"/>
          <w:szCs w:val="18"/>
        </w:rPr>
        <w:t xml:space="preserve">[E] </w:t>
      </w:r>
      <w:r>
        <w:rPr>
          <w:rFonts w:ascii="Arial" w:cs="Arial" w:eastAsia="Arial" w:hAnsi="Arial"/>
          <w:i/>
          <w:iCs/>
          <w:color w:val="666666"/>
          <w:sz w:val="18"/>
          <w:szCs w:val="18"/>
        </w:rPr>
        <w:t xml:space="preserve">综合分析</w:t>
      </w:r>
    </w:p>
    <w:p>
      <w:pPr>
        <w:spacing w:after="60"/>
      </w:pPr>
    </w:p>
    <w:p>
      <w:pPr>
        <w:pStyle w:val="Heading2"/>
        <w:spacing w:after="160" w:before="280"/>
      </w:pPr>
      <w:r>
        <w:rPr>
          <w:rFonts w:ascii="Arial" w:cs="Arial" w:eastAsia="Arial" w:hAnsi="Arial"/>
          <w:b/>
          <w:bCs/>
          <w:sz w:val="26"/>
          <w:szCs w:val="26"/>
        </w:rPr>
        <w:t xml:space="preserve">5.2 权力定位的阶段性变化</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第一阶段（1995-2010）</w:t>
      </w:r>
      <w:r>
        <w:rPr>
          <w:rFonts w:ascii="Arial" w:cs="Arial" w:eastAsia="Arial" w:hAnsi="Arial"/>
          <w:sz w:val="21"/>
          <w:szCs w:val="21"/>
        </w:rPr>
        <w:t xml:space="preserve">：涉外事务执行者</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第二阶段（2010-2023）</w:t>
      </w:r>
      <w:r>
        <w:rPr>
          <w:rFonts w:ascii="Arial" w:cs="Arial" w:eastAsia="Arial" w:hAnsi="Arial"/>
          <w:sz w:val="21"/>
          <w:szCs w:val="21"/>
        </w:rPr>
        <w:t xml:space="preserve">：美台关系操盘人</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第三阶段（2024-）</w:t>
      </w:r>
      <w:r>
        <w:rPr>
          <w:rFonts w:ascii="Arial" w:cs="Arial" w:eastAsia="Arial" w:hAnsi="Arial"/>
          <w:sz w:val="21"/>
          <w:szCs w:val="21"/>
        </w:rPr>
        <w:t xml:space="preserve">：高层决策协同成员</w:t>
      </w:r>
    </w:p>
    <w:p>
      <w:pPr>
        <w:spacing w:after="100"/>
      </w:pPr>
      <w:r>
        <w:rPr>
          <w:rFonts w:ascii="Arial" w:cs="Arial" w:eastAsia="Arial" w:hAnsi="Arial"/>
          <w:b/>
          <w:bCs/>
          <w:color w:val="990099"/>
          <w:sz w:val="18"/>
          <w:szCs w:val="18"/>
        </w:rPr>
        <w:t xml:space="preserve">[E] </w:t>
      </w:r>
      <w:r>
        <w:rPr>
          <w:rFonts w:ascii="Arial" w:cs="Arial" w:eastAsia="Arial" w:hAnsi="Arial"/>
          <w:i/>
          <w:iCs/>
          <w:color w:val="666666"/>
          <w:sz w:val="18"/>
          <w:szCs w:val="18"/>
        </w:rPr>
        <w:t xml:space="preserve">阶段性分析</w:t>
      </w:r>
    </w:p>
    <w:p>
      <w:pPr>
        <w:spacing w:after="60"/>
      </w:pPr>
    </w:p>
    <w:p>
      <w:pPr>
        <w:pStyle w:val="Heading2"/>
        <w:spacing w:after="160" w:before="280"/>
      </w:pPr>
      <w:r>
        <w:rPr>
          <w:rFonts w:ascii="Arial" w:cs="Arial" w:eastAsia="Arial" w:hAnsi="Arial"/>
          <w:b/>
          <w:bCs/>
          <w:sz w:val="26"/>
          <w:szCs w:val="26"/>
        </w:rPr>
        <w:t xml:space="preserve">5.3 风险评估与可替代性分析</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短期优势</w:t>
      </w:r>
      <w:r>
        <w:rPr>
          <w:rFonts w:ascii="Arial" w:cs="Arial" w:eastAsia="Arial" w:hAnsi="Arial"/>
          <w:sz w:val="21"/>
          <w:szCs w:val="21"/>
        </w:rPr>
        <w:t xml:space="preserve">：在对美沟通关键节点这一角色上具有较低可替代性。</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中期风险</w:t>
      </w:r>
      <w:r>
        <w:rPr>
          <w:rFonts w:ascii="Arial" w:cs="Arial" w:eastAsia="Arial" w:hAnsi="Arial"/>
          <w:sz w:val="21"/>
          <w:szCs w:val="21"/>
        </w:rPr>
        <w:t xml:space="preserve">：随着民进党加大对涉外人才的培养，其独特优势可能被逐步稀释。</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长期走向</w:t>
      </w:r>
      <w:r>
        <w:rPr>
          <w:rFonts w:ascii="Arial" w:cs="Arial" w:eastAsia="Arial" w:hAnsi="Arial"/>
          <w:sz w:val="21"/>
          <w:szCs w:val="21"/>
        </w:rPr>
        <w:t xml:space="preserve">：其政治前景在较大程度上依赖于对美关系在台湾战略中的地位是否持续上升。</w:t>
      </w:r>
    </w:p>
    <w:p>
      <w:pPr>
        <w:spacing w:after="100"/>
      </w:pPr>
      <w:r>
        <w:rPr>
          <w:rFonts w:ascii="Arial" w:cs="Arial" w:eastAsia="Arial" w:hAnsi="Arial"/>
          <w:b/>
          <w:bCs/>
          <w:color w:val="990099"/>
          <w:sz w:val="18"/>
          <w:szCs w:val="18"/>
        </w:rPr>
        <w:t xml:space="preserve">[E] </w:t>
      </w:r>
      <w:r>
        <w:rPr>
          <w:rFonts w:ascii="Arial" w:cs="Arial" w:eastAsia="Arial" w:hAnsi="Arial"/>
          <w:i/>
          <w:iCs/>
          <w:color w:val="666666"/>
          <w:sz w:val="18"/>
          <w:szCs w:val="18"/>
        </w:rPr>
        <w:t xml:space="preserve">前瞻性推断</w:t>
      </w:r>
    </w:p>
    <w:p>
      <w:pPr>
        <w:spacing w:after="60"/>
      </w:pPr>
    </w:p>
    <w:p>
      <w:r>
        <w:br w:type="page"/>
      </w:r>
    </w:p>
    <w:p>
      <w:pPr>
        <w:pStyle w:val="Heading1"/>
        <w:spacing w:after="200" w:before="360"/>
      </w:pPr>
      <w:r>
        <w:rPr>
          <w:rFonts w:ascii="Arial" w:cs="Arial" w:eastAsia="Arial" w:hAnsi="Arial"/>
          <w:b/>
          <w:bCs/>
          <w:sz w:val="32"/>
          <w:szCs w:val="32"/>
        </w:rPr>
        <w:t xml:space="preserve">第六篇：深度反思</w:t>
      </w:r>
    </w:p>
    <w:p>
      <w:pPr>
        <w:pStyle w:val="Heading2"/>
        <w:spacing w:after="160" w:before="280"/>
      </w:pPr>
      <w:r>
        <w:rPr>
          <w:rFonts w:ascii="Arial" w:cs="Arial" w:eastAsia="Arial" w:hAnsi="Arial"/>
          <w:b/>
          <w:bCs/>
          <w:sz w:val="26"/>
          <w:szCs w:val="26"/>
        </w:rPr>
        <w:t xml:space="preserve">6.1 国际事务型政治人物兴起所反映的民进党变化</w:t>
      </w:r>
    </w:p>
    <w:p>
      <w:pPr>
        <w:spacing w:after="120" w:line="300"/>
      </w:pPr>
      <w:r>
        <w:rPr>
          <w:rFonts w:ascii="Arial" w:cs="Arial" w:eastAsia="Arial" w:hAnsi="Arial"/>
          <w:sz w:val="21"/>
          <w:szCs w:val="21"/>
        </w:rPr>
        <w:t xml:space="preserve">萧美琴的权力上升是民进党权力结构变化的重要指标。长期以来，台湾政治菁英多以地方治理经验、选举动员能力作为权力晋升的重要路径。但在两岸关系持续紧张、安全议题主导政治议程的背景下，能够有效对接美国政治体系的政治人物，其战略价值明显提升。</w:t>
      </w:r>
    </w:p>
    <w:p>
      <w:pPr>
        <w:spacing w:after="100"/>
      </w:pPr>
      <w:r>
        <w:rPr>
          <w:rFonts w:ascii="Arial" w:cs="Arial" w:eastAsia="Arial" w:hAnsi="Arial"/>
          <w:b/>
          <w:bCs/>
          <w:color w:val="990099"/>
          <w:sz w:val="18"/>
          <w:szCs w:val="18"/>
        </w:rPr>
        <w:t xml:space="preserve">[E] </w:t>
      </w:r>
      <w:r>
        <w:rPr>
          <w:rFonts w:ascii="Arial" w:cs="Arial" w:eastAsia="Arial" w:hAnsi="Arial"/>
          <w:i/>
          <w:iCs/>
          <w:color w:val="666666"/>
          <w:sz w:val="18"/>
          <w:szCs w:val="18"/>
        </w:rPr>
        <w:t xml:space="preserve">战略观察</w:t>
      </w:r>
    </w:p>
    <w:p>
      <w:pPr>
        <w:spacing w:after="60"/>
      </w:pPr>
    </w:p>
    <w:p>
      <w:pPr>
        <w:pStyle w:val="Heading2"/>
        <w:spacing w:after="160" w:before="280"/>
      </w:pPr>
      <w:r>
        <w:rPr>
          <w:rFonts w:ascii="Arial" w:cs="Arial" w:eastAsia="Arial" w:hAnsi="Arial"/>
          <w:b/>
          <w:bCs/>
          <w:sz w:val="26"/>
          <w:szCs w:val="26"/>
        </w:rPr>
        <w:t xml:space="preserve">6.2 低调强硬策略的有效性与风险</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有效性</w:t>
      </w:r>
      <w:r>
        <w:rPr>
          <w:rFonts w:ascii="Arial" w:cs="Arial" w:eastAsia="Arial" w:hAnsi="Arial"/>
          <w:sz w:val="21"/>
          <w:szCs w:val="21"/>
        </w:rPr>
        <w:t xml:space="preserve">：其低调强硬的策略在短期内获得了较好成效。通过避免过度情绪化表达，她在美国政策圈获得了相对的信任。</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潜在风险</w:t>
      </w:r>
      <w:r>
        <w:rPr>
          <w:rFonts w:ascii="Arial" w:cs="Arial" w:eastAsia="Arial" w:hAnsi="Arial"/>
          <w:sz w:val="21"/>
          <w:szCs w:val="21"/>
        </w:rPr>
        <w:t xml:space="preserve">：这种策略本质上依赖于对岸理性反应的假设。一旦对岸对台湾相关举动的容忍阈值出现变化，这种策略可能面临失效。</w:t>
      </w:r>
    </w:p>
    <w:p>
      <w:pPr>
        <w:spacing w:after="100"/>
      </w:pPr>
      <w:r>
        <w:rPr>
          <w:rFonts w:ascii="Arial" w:cs="Arial" w:eastAsia="Arial" w:hAnsi="Arial"/>
          <w:b/>
          <w:bCs/>
          <w:color w:val="990099"/>
          <w:sz w:val="18"/>
          <w:szCs w:val="18"/>
        </w:rPr>
        <w:t xml:space="preserve">[E] </w:t>
      </w:r>
      <w:r>
        <w:rPr>
          <w:rFonts w:ascii="Arial" w:cs="Arial" w:eastAsia="Arial" w:hAnsi="Arial"/>
          <w:i/>
          <w:iCs/>
          <w:color w:val="666666"/>
          <w:sz w:val="18"/>
          <w:szCs w:val="18"/>
        </w:rPr>
        <w:t xml:space="preserve">战略反思</w:t>
      </w:r>
    </w:p>
    <w:p>
      <w:pPr>
        <w:spacing w:after="60"/>
      </w:pPr>
    </w:p>
    <w:p>
      <w:pPr>
        <w:pStyle w:val="Heading2"/>
        <w:spacing w:after="160" w:before="280"/>
      </w:pPr>
      <w:r>
        <w:rPr>
          <w:rFonts w:ascii="Arial" w:cs="Arial" w:eastAsia="Arial" w:hAnsi="Arial"/>
          <w:b/>
          <w:bCs/>
          <w:sz w:val="26"/>
          <w:szCs w:val="26"/>
        </w:rPr>
        <w:t xml:space="preserve">6.3 美台关系作为政治资本的局限性</w:t>
      </w:r>
    </w:p>
    <w:p>
      <w:pPr>
        <w:spacing w:after="120" w:line="300"/>
      </w:pPr>
      <w:r>
        <w:rPr>
          <w:rFonts w:ascii="Arial" w:cs="Arial" w:eastAsia="Arial" w:hAnsi="Arial"/>
          <w:sz w:val="21"/>
          <w:szCs w:val="21"/>
        </w:rPr>
        <w:t xml:space="preserve">萧美琴的权力基础在相当程度上来源于其对美关系资源的控制。但这也意味着，一旦美国对台政策发生显著调整，其政治地位亦可能面临压力。</w:t>
      </w:r>
    </w:p>
    <w:p>
      <w:pPr>
        <w:spacing w:after="100"/>
      </w:pPr>
      <w:r>
        <w:rPr>
          <w:rFonts w:ascii="Arial" w:cs="Arial" w:eastAsia="Arial" w:hAnsi="Arial"/>
          <w:b/>
          <w:bCs/>
          <w:color w:val="990099"/>
          <w:sz w:val="18"/>
          <w:szCs w:val="18"/>
        </w:rPr>
        <w:t xml:space="preserve">[E] </w:t>
      </w:r>
      <w:r>
        <w:rPr>
          <w:rFonts w:ascii="Arial" w:cs="Arial" w:eastAsia="Arial" w:hAnsi="Arial"/>
          <w:i/>
          <w:iCs/>
          <w:color w:val="666666"/>
          <w:sz w:val="18"/>
          <w:szCs w:val="18"/>
        </w:rPr>
        <w:t xml:space="preserve">前瞻性思考</w:t>
      </w:r>
    </w:p>
    <w:p>
      <w:pPr>
        <w:spacing w:after="60"/>
      </w:pPr>
    </w:p>
    <w:p>
      <w:r>
        <w:br w:type="page"/>
      </w:r>
    </w:p>
    <w:p>
      <w:pPr>
        <w:pStyle w:val="Heading1"/>
        <w:spacing w:after="200" w:before="360"/>
      </w:pPr>
      <w:r>
        <w:rPr>
          <w:rFonts w:ascii="Arial" w:cs="Arial" w:eastAsia="Arial" w:hAnsi="Arial"/>
          <w:b/>
          <w:bCs/>
          <w:sz w:val="32"/>
          <w:szCs w:val="32"/>
        </w:rPr>
        <w:t xml:space="preserve">第七篇：MBTI认知功能分析（v1.2核心新增）</w:t>
      </w:r>
    </w:p>
    <w:p>
      <w:pPr>
        <w:pStyle w:val="Heading2"/>
        <w:spacing w:after="160" w:before="280"/>
      </w:pPr>
      <w:r>
        <w:rPr>
          <w:rFonts w:ascii="Arial" w:cs="Arial" w:eastAsia="Arial" w:hAnsi="Arial"/>
          <w:b/>
          <w:bCs/>
          <w:sz w:val="26"/>
          <w:szCs w:val="26"/>
        </w:rPr>
        <w:t xml:space="preserve">7.1 四维度偏好初步判定</w:t>
      </w:r>
    </w:p>
    <w:p>
      <w:pPr>
        <w:spacing w:after="120" w:line="300"/>
      </w:pPr>
      <w:r>
        <w:rPr>
          <w:rFonts w:ascii="Arial" w:cs="Arial" w:eastAsia="Arial" w:hAnsi="Arial"/>
          <w:sz w:val="21"/>
          <w:szCs w:val="21"/>
        </w:rPr>
        <w:t xml:space="preserve">基于萧美琴的公开行为证据，对MBTI四个维度进行初步判定：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6440"/>
      </w:tblGrid>
      <w:tr>
        <w:tc>
          <w:tcPr>
            <w:tcW w:type="dxa" w:w="1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维度</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判定</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置信度</w:t>
            </w:r>
          </w:p>
        </w:tc>
        <w:tc>
          <w:tcPr>
            <w:tcW w:type="dxa" w:w="644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核心证据</w:t>
            </w:r>
          </w:p>
        </w:tc>
      </w:tr>
      <w:tr>
        <w:tc>
          <w:tcPr>
            <w:tcW w:type="dxa" w:w="1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精力来源（E/I）</w:t>
            </w:r>
          </w:p>
        </w:tc>
        <w:tc>
          <w:tcPr>
            <w:tcW w:type="dxa" w:w="1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E（外倾）</w:t>
            </w:r>
          </w:p>
        </w:tc>
        <w:tc>
          <w:tcPr>
            <w:tcW w:type="dxa" w:w="1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中-高</w:t>
            </w:r>
          </w:p>
        </w:tc>
        <w:tc>
          <w:tcPr>
            <w:tcW w:type="dxa" w:w="644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社交外交极其活跃；能在多文化场合迅速建立连接</w:t>
            </w:r>
          </w:p>
        </w:tc>
      </w:tr>
      <w:tr>
        <w:tc>
          <w:tcPr>
            <w:tcW w:type="dxa" w:w="1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信息收集（S/N）</w:t>
            </w:r>
          </w:p>
        </w:tc>
        <w:tc>
          <w:tcPr>
            <w:tcW w:type="dxa" w:w="1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N（直觉）</w:t>
            </w:r>
          </w:p>
        </w:tc>
        <w:tc>
          <w:tcPr>
            <w:tcW w:type="dxa" w:w="1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中</w:t>
            </w:r>
          </w:p>
        </w:tc>
        <w:tc>
          <w:tcPr>
            <w:tcW w:type="dxa" w:w="644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关注宏大战略与长期趋势；能进行复杂的多角色切换</w:t>
            </w:r>
          </w:p>
        </w:tc>
      </w:tr>
      <w:tr>
        <w:tc>
          <w:tcPr>
            <w:tcW w:type="dxa" w:w="1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决策方式（T/F）</w:t>
            </w:r>
          </w:p>
        </w:tc>
        <w:tc>
          <w:tcPr>
            <w:tcW w:type="dxa" w:w="1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T（思维）</w:t>
            </w:r>
          </w:p>
        </w:tc>
        <w:tc>
          <w:tcPr>
            <w:tcW w:type="dxa" w:w="1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中-高</w:t>
            </w:r>
          </w:p>
        </w:tc>
        <w:tc>
          <w:tcPr>
            <w:tcW w:type="dxa" w:w="644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政策选择基于风险评估与逻辑分析；较少情绪化动员</w:t>
            </w:r>
          </w:p>
        </w:tc>
      </w:tr>
      <w:tr>
        <w:tc>
          <w:tcPr>
            <w:tcW w:type="dxa" w:w="1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生活态度（J/P）</w:t>
            </w:r>
          </w:p>
        </w:tc>
        <w:tc>
          <w:tcPr>
            <w:tcW w:type="dxa" w:w="1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J（判断）</w:t>
            </w:r>
          </w:p>
        </w:tc>
        <w:tc>
          <w:tcPr>
            <w:tcW w:type="dxa" w:w="1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中</w:t>
            </w:r>
          </w:p>
        </w:tc>
        <w:tc>
          <w:tcPr>
            <w:tcW w:type="dxa" w:w="644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重视计划与制度嵌入；但在策略执行中展现出灵活性</w:t>
            </w:r>
          </w:p>
        </w:tc>
      </w:tr>
    </w:tbl>
    <w:p>
      <w:pPr>
        <w:spacing w:after="100"/>
      </w:pPr>
      <w:r>
        <w:rPr>
          <w:rFonts w:ascii="Arial" w:cs="Arial" w:eastAsia="Arial" w:hAnsi="Arial"/>
          <w:b/>
          <w:bCs/>
          <w:color w:val="990099"/>
          <w:sz w:val="18"/>
          <w:szCs w:val="18"/>
        </w:rPr>
        <w:t xml:space="preserve">[E] </w:t>
      </w:r>
      <w:r>
        <w:rPr>
          <w:rFonts w:ascii="Arial" w:cs="Arial" w:eastAsia="Arial" w:hAnsi="Arial"/>
          <w:i/>
          <w:iCs/>
          <w:color w:val="666666"/>
          <w:sz w:val="18"/>
          <w:szCs w:val="18"/>
        </w:rPr>
        <w:t xml:space="preserve">MBTI理论框架推断</w:t>
      </w:r>
    </w:p>
    <w:p>
      <w:pPr>
        <w:spacing w:after="60"/>
      </w:pPr>
    </w:p>
    <w:p>
      <w:pPr>
        <w:pStyle w:val="Heading2"/>
        <w:spacing w:after="160" w:before="280"/>
      </w:pPr>
      <w:r>
        <w:rPr>
          <w:rFonts w:ascii="Arial" w:cs="Arial" w:eastAsia="Arial" w:hAnsi="Arial"/>
          <w:b/>
          <w:bCs/>
          <w:sz w:val="26"/>
          <w:szCs w:val="26"/>
        </w:rPr>
        <w:t xml:space="preserve">7.2 认知功能栈分析（深度分析）</w:t>
      </w:r>
    </w:p>
    <w:p>
      <w:pPr>
        <w:spacing w:after="120" w:line="300"/>
      </w:pPr>
      <w:r>
        <w:rPr>
          <w:rFonts w:ascii="Arial" w:cs="Arial" w:eastAsia="Arial" w:hAnsi="Arial"/>
          <w:sz w:val="21"/>
          <w:szCs w:val="21"/>
        </w:rPr>
        <w:t xml:space="preserve">若将MBTI作为启发式假设生成工具，以更具深度的认知功能栈分析：</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主导功能</w:t>
      </w:r>
      <w:r>
        <w:rPr>
          <w:rFonts w:ascii="Arial" w:cs="Arial" w:eastAsia="Arial" w:hAnsi="Arial"/>
          <w:sz w:val="21"/>
          <w:szCs w:val="21"/>
        </w:rPr>
        <w:t xml:space="preserve">：很可能是</w:t>
      </w:r>
      <w:r>
        <w:rPr>
          <w:rFonts w:ascii="Arial" w:cs="Arial" w:eastAsia="Arial" w:hAnsi="Arial"/>
          <w:b/>
          <w:bCs/>
          <w:sz w:val="21"/>
          <w:szCs w:val="21"/>
        </w:rPr>
        <w:t xml:space="preserve">外向直觉</w:t>
      </w:r>
      <w:r>
        <w:rPr>
          <w:rFonts w:ascii="Arial" w:cs="Arial" w:eastAsia="Arial" w:hAnsi="Arial"/>
          <w:sz w:val="21"/>
          <w:szCs w:val="21"/>
        </w:rPr>
        <w:t xml:space="preserve">或</w:t>
      </w:r>
      <w:r>
        <w:rPr>
          <w:rFonts w:ascii="Arial" w:cs="Arial" w:eastAsia="Arial" w:hAnsi="Arial"/>
          <w:b/>
          <w:bCs/>
          <w:sz w:val="21"/>
          <w:szCs w:val="21"/>
        </w:rPr>
        <w:t xml:space="preserve">外向思维</w:t>
      </w:r>
      <w:r>
        <w:rPr>
          <w:rFonts w:ascii="Arial" w:cs="Arial" w:eastAsia="Arial" w:hAnsi="Arial"/>
          <w:sz w:val="21"/>
          <w:szCs w:val="21"/>
        </w:rPr>
        <w:t xml:space="preserve">。前者解释了其战略想象力与跨领域连接能力；后者解释了其对政策可操作性的执着。最可能的组合具有高度的战略想象力。</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辅助功能</w:t>
      </w:r>
      <w:r>
        <w:rPr>
          <w:rFonts w:ascii="Arial" w:cs="Arial" w:eastAsia="Arial" w:hAnsi="Arial"/>
          <w:sz w:val="21"/>
          <w:szCs w:val="21"/>
        </w:rPr>
        <w:t xml:space="preserve">：</w:t>
      </w:r>
      <w:r>
        <w:rPr>
          <w:rFonts w:ascii="Arial" w:cs="Arial" w:eastAsia="Arial" w:hAnsi="Arial"/>
          <w:b/>
          <w:bCs/>
          <w:sz w:val="21"/>
          <w:szCs w:val="21"/>
        </w:rPr>
        <w:t xml:space="preserve">内向思维</w:t>
      </w:r>
      <w:r>
        <w:rPr>
          <w:rFonts w:ascii="Arial" w:cs="Arial" w:eastAsia="Arial" w:hAnsi="Arial"/>
          <w:sz w:val="21"/>
          <w:szCs w:val="21"/>
        </w:rPr>
        <w:t xml:space="preserve">或</w:t>
      </w:r>
      <w:r>
        <w:rPr>
          <w:rFonts w:ascii="Arial" w:cs="Arial" w:eastAsia="Arial" w:hAnsi="Arial"/>
          <w:b/>
          <w:bCs/>
          <w:sz w:val="21"/>
          <w:szCs w:val="21"/>
        </w:rPr>
        <w:t xml:space="preserve">内向感觉</w:t>
      </w:r>
      <w:r>
        <w:rPr>
          <w:rFonts w:ascii="Arial" w:cs="Arial" w:eastAsia="Arial" w:hAnsi="Arial"/>
          <w:sz w:val="21"/>
          <w:szCs w:val="21"/>
        </w:rPr>
        <w:t xml:space="preserve">。前者解释了其对政策细节的关注，后者解释了其对历史规律与先例的重视。</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第三功能</w:t>
      </w:r>
      <w:r>
        <w:rPr>
          <w:rFonts w:ascii="Arial" w:cs="Arial" w:eastAsia="Arial" w:hAnsi="Arial"/>
          <w:sz w:val="21"/>
          <w:szCs w:val="21"/>
        </w:rPr>
        <w:t xml:space="preserve">：</w:t>
      </w:r>
      <w:r>
        <w:rPr>
          <w:rFonts w:ascii="Arial" w:cs="Arial" w:eastAsia="Arial" w:hAnsi="Arial"/>
          <w:b/>
          <w:bCs/>
          <w:sz w:val="21"/>
          <w:szCs w:val="21"/>
        </w:rPr>
        <w:t xml:space="preserve">外向情感</w:t>
      </w:r>
      <w:r>
        <w:rPr>
          <w:rFonts w:ascii="Arial" w:cs="Arial" w:eastAsia="Arial" w:hAnsi="Arial"/>
          <w:sz w:val="21"/>
          <w:szCs w:val="21"/>
        </w:rPr>
        <w:t xml:space="preserve">，解释了其社交外交中的亲和与适应性。</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劣势功能</w:t>
      </w:r>
      <w:r>
        <w:rPr>
          <w:rFonts w:ascii="Arial" w:cs="Arial" w:eastAsia="Arial" w:hAnsi="Arial"/>
          <w:sz w:val="21"/>
          <w:szCs w:val="21"/>
        </w:rPr>
        <w:t xml:space="preserve">：</w:t>
      </w:r>
      <w:r>
        <w:rPr>
          <w:rFonts w:ascii="Arial" w:cs="Arial" w:eastAsia="Arial" w:hAnsi="Arial"/>
          <w:b/>
          <w:bCs/>
          <w:sz w:val="21"/>
          <w:szCs w:val="21"/>
        </w:rPr>
        <w:t xml:space="preserve">内向情感</w:t>
      </w:r>
      <w:r>
        <w:rPr>
          <w:rFonts w:ascii="Arial" w:cs="Arial" w:eastAsia="Arial" w:hAnsi="Arial"/>
          <w:sz w:val="21"/>
          <w:szCs w:val="21"/>
        </w:rPr>
        <w:t xml:space="preserve">，可能解释了其低调风格中的某种保留。</w:t>
      </w:r>
    </w:p>
    <w:p>
      <w:pPr>
        <w:spacing w:after="100"/>
      </w:pPr>
      <w:r>
        <w:rPr>
          <w:rFonts w:ascii="Arial" w:cs="Arial" w:eastAsia="Arial" w:hAnsi="Arial"/>
          <w:b/>
          <w:bCs/>
          <w:color w:val="990099"/>
          <w:sz w:val="18"/>
          <w:szCs w:val="18"/>
        </w:rPr>
        <w:t xml:space="preserve">[E] </w:t>
      </w:r>
      <w:r>
        <w:rPr>
          <w:rFonts w:ascii="Arial" w:cs="Arial" w:eastAsia="Arial" w:hAnsi="Arial"/>
          <w:i/>
          <w:iCs/>
          <w:color w:val="666666"/>
          <w:sz w:val="18"/>
          <w:szCs w:val="18"/>
        </w:rPr>
        <w:t xml:space="preserve">MBTI认知功能栈分析</w:t>
      </w:r>
    </w:p>
    <w:p>
      <w:pPr>
        <w:spacing w:after="60"/>
      </w:pPr>
    </w:p>
    <w:p>
      <w:pPr>
        <w:pStyle w:val="Heading2"/>
        <w:spacing w:after="160" w:before="280"/>
      </w:pPr>
      <w:r>
        <w:rPr>
          <w:rFonts w:ascii="Arial" w:cs="Arial" w:eastAsia="Arial" w:hAnsi="Arial"/>
          <w:b/>
          <w:bCs/>
          <w:sz w:val="26"/>
          <w:szCs w:val="26"/>
        </w:rPr>
        <w:t xml:space="preserve">7.3 MBTI与政治行为的对应关系</w:t>
      </w:r>
    </w:p>
    <w:p>
      <w:pPr>
        <w:spacing w:after="120" w:line="300"/>
      </w:pPr>
      <w:r>
        <w:rPr>
          <w:rFonts w:ascii="Arial" w:cs="Arial" w:eastAsia="Arial" w:hAnsi="Arial"/>
          <w:sz w:val="21"/>
          <w:szCs w:val="21"/>
        </w:rPr>
        <w:t xml:space="preserve">若假设萧美琴的MBTI倾向为</w:t>
      </w:r>
      <w:r>
        <w:rPr>
          <w:rFonts w:ascii="Arial" w:cs="Arial" w:eastAsia="Arial" w:hAnsi="Arial"/>
          <w:b/>
          <w:bCs/>
          <w:sz w:val="21"/>
          <w:szCs w:val="21"/>
        </w:rPr>
        <w:t xml:space="preserve">ENTJ</w:t>
      </w:r>
      <w:r>
        <w:rPr>
          <w:rFonts w:ascii="Arial" w:cs="Arial" w:eastAsia="Arial" w:hAnsi="Arial"/>
          <w:sz w:val="21"/>
          <w:szCs w:val="21"/>
        </w:rPr>
        <w:t xml:space="preserve">或</w:t>
      </w:r>
      <w:r>
        <w:rPr>
          <w:rFonts w:ascii="Arial" w:cs="Arial" w:eastAsia="Arial" w:hAnsi="Arial"/>
          <w:b/>
          <w:bCs/>
          <w:sz w:val="21"/>
          <w:szCs w:val="21"/>
        </w:rPr>
        <w:t xml:space="preserve">ENTP</w:t>
      </w:r>
      <w:r>
        <w:rPr>
          <w:rFonts w:ascii="Arial" w:cs="Arial" w:eastAsia="Arial" w:hAnsi="Arial"/>
          <w:sz w:val="21"/>
          <w:szCs w:val="21"/>
        </w:rPr>
        <w:t xml:space="preserve">的某个变体：</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ENTJ特征</w:t>
      </w:r>
      <w:r>
        <w:rPr>
          <w:rFonts w:ascii="Arial" w:cs="Arial" w:eastAsia="Arial" w:hAnsi="Arial"/>
          <w:sz w:val="21"/>
          <w:szCs w:val="21"/>
        </w:rPr>
        <w:t xml:space="preserve">：战略性思维、决定性行动、长期规划、组织能力 → 与其渐进式推进与制度嵌入策略一致。</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ENTP特征</w:t>
      </w:r>
      <w:r>
        <w:rPr>
          <w:rFonts w:ascii="Arial" w:cs="Arial" w:eastAsia="Arial" w:hAnsi="Arial"/>
          <w:sz w:val="21"/>
          <w:szCs w:val="21"/>
        </w:rPr>
        <w:t xml:space="preserve">：灵活性、创新思维、适应性 → 与其切香肠式调整与跨多角色切换一致。</w:t>
      </w:r>
    </w:p>
    <w:p>
      <w:pPr>
        <w:spacing w:after="100"/>
      </w:pPr>
      <w:r>
        <w:rPr>
          <w:rFonts w:ascii="Arial" w:cs="Arial" w:eastAsia="Arial" w:hAnsi="Arial"/>
          <w:b/>
          <w:bCs/>
          <w:color w:val="990099"/>
          <w:sz w:val="18"/>
          <w:szCs w:val="18"/>
        </w:rPr>
        <w:t xml:space="preserve">[E] </w:t>
      </w:r>
      <w:r>
        <w:rPr>
          <w:rFonts w:ascii="Arial" w:cs="Arial" w:eastAsia="Arial" w:hAnsi="Arial"/>
          <w:i/>
          <w:iCs/>
          <w:color w:val="666666"/>
          <w:sz w:val="18"/>
          <w:szCs w:val="18"/>
        </w:rPr>
        <w:t xml:space="preserve">MBTI与政治行为的理论对应</w:t>
      </w:r>
    </w:p>
    <w:p>
      <w:pPr>
        <w:spacing w:after="60"/>
      </w:pPr>
    </w:p>
    <w:p>
      <w:pPr>
        <w:pStyle w:val="Heading2"/>
        <w:spacing w:after="160" w:before="280"/>
      </w:pPr>
      <w:r>
        <w:rPr>
          <w:rFonts w:ascii="Arial" w:cs="Arial" w:eastAsia="Arial" w:hAnsi="Arial"/>
          <w:b/>
          <w:bCs/>
          <w:sz w:val="26"/>
          <w:szCs w:val="26"/>
        </w:rPr>
        <w:t xml:space="preserve">7.4 MBTI方法论声明</w:t>
      </w:r>
    </w:p>
    <w:p>
      <w:pPr>
        <w:spacing w:after="120" w:line="300"/>
      </w:pPr>
      <w:r>
        <w:rPr>
          <w:rFonts w:ascii="Arial" w:cs="Arial" w:eastAsia="Arial" w:hAnsi="Arial"/>
          <w:sz w:val="21"/>
          <w:szCs w:val="21"/>
        </w:rPr>
        <w:t xml:space="preserve">MBTI作为人格评估工具在学术界存在争议。本报告中，MBTI定位为</w:t>
      </w:r>
      <w:r>
        <w:rPr>
          <w:rFonts w:ascii="Arial" w:cs="Arial" w:eastAsia="Arial" w:hAnsi="Arial"/>
          <w:b/>
          <w:bCs/>
          <w:sz w:val="21"/>
          <w:szCs w:val="21"/>
        </w:rPr>
        <w:t xml:space="preserve">启发式假设生成工具</w:t>
      </w:r>
      <w:r>
        <w:rPr>
          <w:rFonts w:ascii="Arial" w:cs="Arial" w:eastAsia="Arial" w:hAnsi="Arial"/>
          <w:sz w:val="21"/>
          <w:szCs w:val="21"/>
        </w:rPr>
        <w:t xml:space="preserve">，采用更具深度的认知功能栈分析，且所有结论均与其他框架交叉验证。</w:t>
      </w:r>
    </w:p>
    <w:p>
      <w:pPr>
        <w:spacing w:after="100"/>
      </w:pPr>
      <w:r>
        <w:rPr>
          <w:rFonts w:ascii="Arial" w:cs="Arial" w:eastAsia="Arial" w:hAnsi="Arial"/>
          <w:b/>
          <w:bCs/>
          <w:color w:val="990099"/>
          <w:sz w:val="18"/>
          <w:szCs w:val="18"/>
        </w:rPr>
        <w:t xml:space="preserve">[E] </w:t>
      </w:r>
      <w:r>
        <w:rPr>
          <w:rFonts w:ascii="Arial" w:cs="Arial" w:eastAsia="Arial" w:hAnsi="Arial"/>
          <w:i/>
          <w:iCs/>
          <w:color w:val="666666"/>
          <w:sz w:val="18"/>
          <w:szCs w:val="18"/>
        </w:rPr>
        <w:t xml:space="preserve">方法论声明</w:t>
      </w:r>
    </w:p>
    <w:p>
      <w:pPr>
        <w:spacing w:after="60"/>
      </w:pPr>
    </w:p>
    <w:p>
      <w:r>
        <w:br w:type="page"/>
      </w:r>
    </w:p>
    <w:p>
      <w:pPr>
        <w:pStyle w:val="Heading1"/>
        <w:spacing w:after="200" w:before="360"/>
      </w:pPr>
      <w:r>
        <w:rPr>
          <w:rFonts w:ascii="Arial" w:cs="Arial" w:eastAsia="Arial" w:hAnsi="Arial"/>
          <w:b/>
          <w:bCs/>
          <w:sz w:val="32"/>
          <w:szCs w:val="32"/>
        </w:rPr>
        <w:t xml:space="preserve">第八篇：五框架交叉验证综合评估（v1.2核心新增）</w:t>
      </w:r>
    </w:p>
    <w:p>
      <w:pPr>
        <w:pStyle w:val="Heading2"/>
        <w:spacing w:after="160" w:before="280"/>
      </w:pPr>
      <w:r>
        <w:rPr>
          <w:rFonts w:ascii="Arial" w:cs="Arial" w:eastAsia="Arial" w:hAnsi="Arial"/>
          <w:b/>
          <w:bCs/>
          <w:sz w:val="26"/>
          <w:szCs w:val="26"/>
        </w:rPr>
        <w:t xml:space="preserve">8.1 五大框架的交叉验证矩阵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1400"/>
        <w:gridCol w:w="1400"/>
        <w:gridCol w:w="1440"/>
      </w:tblGrid>
      <w:tr>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维度/框架</w:t>
            </w:r>
          </w:p>
        </w:tc>
        <w:tc>
          <w:tcPr>
            <w:tcW w:type="dxa" w:w="1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Hermann LTA</w:t>
            </w:r>
          </w:p>
        </w:tc>
        <w:tc>
          <w:tcPr>
            <w:tcW w:type="dxa" w:w="1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Barber类型学</w:t>
            </w:r>
          </w:p>
        </w:tc>
        <w:tc>
          <w:tcPr>
            <w:tcW w:type="dxa" w:w="1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George操作码</w:t>
            </w:r>
          </w:p>
        </w:tc>
        <w:tc>
          <w:tcPr>
            <w:tcW w:type="dxa" w:w="1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Winter动机</w:t>
            </w:r>
          </w:p>
        </w:tc>
        <w:tc>
          <w:tcPr>
            <w:tcW w:type="dxa" w:w="144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MBTI认知功能</w:t>
            </w:r>
          </w:p>
        </w:tc>
      </w:tr>
      <w:tr>
        <w:tc>
          <w:tcPr>
            <w:tcW w:type="dxa" w:w="1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行为动力</w:t>
            </w:r>
          </w:p>
        </w:tc>
        <w:tc>
          <w:tcPr>
            <w:tcW w:type="dxa" w:w="1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高控制信念+高复杂度</w:t>
            </w:r>
          </w:p>
        </w:tc>
        <w:tc>
          <w:tcPr>
            <w:tcW w:type="dxa" w:w="1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积极-正面型</w:t>
            </w:r>
          </w:p>
        </w:tc>
        <w:tc>
          <w:tcPr>
            <w:tcW w:type="dxa" w:w="1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可塑造环境观</w:t>
            </w:r>
          </w:p>
        </w:tc>
        <w:tc>
          <w:tcPr>
            <w:tcW w:type="dxa" w:w="1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高成就动机</w:t>
            </w:r>
          </w:p>
        </w:tc>
        <w:tc>
          <w:tcPr>
            <w:tcW w:type="dxa" w:w="144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Ne+Te主导</w:t>
            </w:r>
          </w:p>
        </w:tc>
      </w:tr>
      <w:tr>
        <w:tc>
          <w:tcPr>
            <w:tcW w:type="dxa" w:w="1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策略选择</w:t>
            </w:r>
          </w:p>
        </w:tc>
        <w:tc>
          <w:tcPr>
            <w:tcW w:type="dxa" w:w="1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任务导向+风险规避</w:t>
            </w:r>
          </w:p>
        </w:tc>
        <w:tc>
          <w:tcPr>
            <w:tcW w:type="dxa" w:w="1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积极参与+适应性强</w:t>
            </w:r>
          </w:p>
        </w:tc>
        <w:tc>
          <w:tcPr>
            <w:tcW w:type="dxa" w:w="1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渐进式策略</w:t>
            </w:r>
          </w:p>
        </w:tc>
        <w:tc>
          <w:tcPr>
            <w:tcW w:type="dxa" w:w="1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成就追求</w:t>
            </w:r>
          </w:p>
        </w:tc>
        <w:tc>
          <w:tcPr>
            <w:tcW w:type="dxa" w:w="144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灵活性+战略性</w:t>
            </w:r>
          </w:p>
        </w:tc>
      </w:tr>
      <w:tr>
        <w:tc>
          <w:tcPr>
            <w:tcW w:type="dxa" w:w="1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权力特征</w:t>
            </w:r>
          </w:p>
        </w:tc>
        <w:tc>
          <w:tcPr>
            <w:tcW w:type="dxa" w:w="1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中等权力需求（制度嵌入）</w:t>
            </w:r>
          </w:p>
        </w:tc>
        <w:tc>
          <w:tcPr>
            <w:tcW w:type="dxa" w:w="1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权力来自参与</w:t>
            </w:r>
          </w:p>
        </w:tc>
        <w:tc>
          <w:tcPr>
            <w:tcW w:type="dxa" w:w="1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权力来自影响力</w:t>
            </w:r>
          </w:p>
        </w:tc>
        <w:tc>
          <w:tcPr>
            <w:tcW w:type="dxa" w:w="1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权力为手段</w:t>
            </w:r>
          </w:p>
        </w:tc>
        <w:tc>
          <w:tcPr>
            <w:tcW w:type="dxa" w:w="144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权力为工具</w:t>
            </w:r>
          </w:p>
        </w:tc>
      </w:tr>
      <w:tr>
        <w:tc>
          <w:tcPr>
            <w:tcW w:type="dxa" w:w="1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对抗性风格</w:t>
            </w:r>
          </w:p>
        </w:tc>
        <w:tc>
          <w:tcPr>
            <w:tcW w:type="dxa" w:w="1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不信任他人（中-高）</w:t>
            </w:r>
          </w:p>
        </w:tc>
        <w:tc>
          <w:tcPr>
            <w:tcW w:type="dxa" w:w="1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不属于对抗型</w:t>
            </w:r>
          </w:p>
        </w:tc>
        <w:tc>
          <w:tcPr>
            <w:tcW w:type="dxa" w:w="1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有条件信任</w:t>
            </w:r>
          </w:p>
        </w:tc>
        <w:tc>
          <w:tcPr>
            <w:tcW w:type="dxa" w:w="1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中等对抗</w:t>
            </w:r>
          </w:p>
        </w:tc>
        <w:tc>
          <w:tcPr>
            <w:tcW w:type="dxa" w:w="144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思维主导</w:t>
            </w:r>
          </w:p>
        </w:tc>
      </w:tr>
      <w:tr>
        <w:tc>
          <w:tcPr>
            <w:tcW w:type="dxa" w:w="1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适应能力</w:t>
            </w:r>
          </w:p>
        </w:tc>
        <w:tc>
          <w:tcPr>
            <w:tcW w:type="dxa" w:w="1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高自信心+跨文化</w:t>
            </w:r>
          </w:p>
        </w:tc>
        <w:tc>
          <w:tcPr>
            <w:tcW w:type="dxa" w:w="1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高适应性</w:t>
            </w:r>
          </w:p>
        </w:tc>
        <w:tc>
          <w:tcPr>
            <w:tcW w:type="dxa" w:w="1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学习型决策者</w:t>
            </w:r>
          </w:p>
        </w:tc>
        <w:tc>
          <w:tcPr>
            <w:tcW w:type="dxa" w:w="1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灵活调整</w:t>
            </w:r>
          </w:p>
        </w:tc>
        <w:tc>
          <w:tcPr>
            <w:tcW w:type="dxa" w:w="144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高灵活性+学习速度快</w:t>
            </w:r>
          </w:p>
        </w:tc>
      </w:tr>
      <w:tr>
        <w:tc>
          <w:tcPr>
            <w:tcW w:type="dxa" w:w="1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风险特征</w:t>
            </w:r>
          </w:p>
        </w:tc>
        <w:tc>
          <w:tcPr>
            <w:tcW w:type="dxa" w:w="1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任务导向强于安全需求</w:t>
            </w:r>
          </w:p>
        </w:tc>
        <w:tc>
          <w:tcPr>
            <w:tcW w:type="dxa" w:w="1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积极但不莽撞</w:t>
            </w:r>
          </w:p>
        </w:tc>
        <w:tc>
          <w:tcPr>
            <w:tcW w:type="dxa" w:w="1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谨慎乐观</w:t>
            </w:r>
          </w:p>
        </w:tc>
        <w:tc>
          <w:tcPr>
            <w:tcW w:type="dxa" w:w="1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有计划风险偏好</w:t>
            </w:r>
          </w:p>
        </w:tc>
        <w:tc>
          <w:tcPr>
            <w:tcW w:type="dxa" w:w="144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经过计算的冒险</w:t>
            </w:r>
          </w:p>
        </w:tc>
      </w:tr>
    </w:tbl>
    <w:p>
      <w:pPr>
        <w:spacing w:after="100"/>
      </w:pPr>
      <w:r>
        <w:rPr>
          <w:rFonts w:ascii="Arial" w:cs="Arial" w:eastAsia="Arial" w:hAnsi="Arial"/>
          <w:b/>
          <w:bCs/>
          <w:color w:val="990099"/>
          <w:sz w:val="18"/>
          <w:szCs w:val="18"/>
        </w:rPr>
        <w:t xml:space="preserve">[E] </w:t>
      </w:r>
      <w:r>
        <w:rPr>
          <w:rFonts w:ascii="Arial" w:cs="Arial" w:eastAsia="Arial" w:hAnsi="Arial"/>
          <w:i/>
          <w:iCs/>
          <w:color w:val="666666"/>
          <w:sz w:val="18"/>
          <w:szCs w:val="18"/>
        </w:rPr>
        <w:t xml:space="preserve">五框架综合对应</w:t>
      </w:r>
    </w:p>
    <w:p>
      <w:pPr>
        <w:spacing w:after="60"/>
      </w:pPr>
    </w:p>
    <w:p>
      <w:pPr>
        <w:pStyle w:val="Heading2"/>
        <w:spacing w:after="160" w:before="280"/>
      </w:pPr>
      <w:r>
        <w:rPr>
          <w:rFonts w:ascii="Arial" w:cs="Arial" w:eastAsia="Arial" w:hAnsi="Arial"/>
          <w:b/>
          <w:bCs/>
          <w:sz w:val="26"/>
          <w:szCs w:val="26"/>
        </w:rPr>
        <w:t xml:space="preserve">8.2 五框架的共识结论</w:t>
      </w:r>
    </w:p>
    <w:p>
      <w:pPr>
        <w:spacing w:after="120" w:line="300"/>
      </w:pPr>
      <w:r>
        <w:rPr>
          <w:rFonts w:ascii="Arial" w:cs="Arial" w:eastAsia="Arial" w:hAnsi="Arial"/>
          <w:sz w:val="21"/>
          <w:szCs w:val="21"/>
        </w:rPr>
        <w:t xml:space="preserve">五大框架在以下维度达成高度共识：</w:t>
      </w:r>
    </w:p>
    <w:p>
      <w:pPr>
        <w:spacing w:after="120" w:line="300"/>
      </w:pPr>
      <w:r>
        <w:rPr>
          <w:rFonts w:ascii="Arial" w:cs="Arial" w:eastAsia="Arial" w:hAnsi="Arial"/>
          <w:sz w:val="21"/>
          <w:szCs w:val="21"/>
        </w:rPr>
        <w:t xml:space="preserve">✓ </w:t>
      </w:r>
      <w:r>
        <w:rPr>
          <w:rFonts w:ascii="Arial" w:cs="Arial" w:eastAsia="Arial" w:hAnsi="Arial"/>
          <w:b/>
          <w:bCs/>
          <w:sz w:val="21"/>
          <w:szCs w:val="21"/>
        </w:rPr>
        <w:t xml:space="preserve">战略导向</w:t>
      </w:r>
      <w:r>
        <w:rPr>
          <w:rFonts w:ascii="Arial" w:cs="Arial" w:eastAsia="Arial" w:hAnsi="Arial"/>
          <w:sz w:val="21"/>
          <w:szCs w:val="21"/>
        </w:rPr>
        <w:t xml:space="preserve">：所有框架都指向任务导向与战略规划，而非权力展示或意识形态驱动</w:t>
      </w:r>
    </w:p>
    <w:p>
      <w:pPr>
        <w:spacing w:after="120" w:line="300"/>
      </w:pPr>
      <w:r>
        <w:rPr>
          <w:rFonts w:ascii="Arial" w:cs="Arial" w:eastAsia="Arial" w:hAnsi="Arial"/>
          <w:sz w:val="21"/>
          <w:szCs w:val="21"/>
        </w:rPr>
        <w:t xml:space="preserve">✓ </w:t>
      </w:r>
      <w:r>
        <w:rPr>
          <w:rFonts w:ascii="Arial" w:cs="Arial" w:eastAsia="Arial" w:hAnsi="Arial"/>
          <w:b/>
          <w:bCs/>
          <w:sz w:val="21"/>
          <w:szCs w:val="21"/>
        </w:rPr>
        <w:t xml:space="preserve">决策理性</w:t>
      </w:r>
      <w:r>
        <w:rPr>
          <w:rFonts w:ascii="Arial" w:cs="Arial" w:eastAsia="Arial" w:hAnsi="Arial"/>
          <w:sz w:val="21"/>
          <w:szCs w:val="21"/>
        </w:rPr>
        <w:t xml:space="preserve">：所有框架都支持现实主义操作型的判定，决策基于风险评估而非情绪</w:t>
      </w:r>
    </w:p>
    <w:p>
      <w:pPr>
        <w:spacing w:after="120" w:line="300"/>
      </w:pPr>
      <w:r>
        <w:rPr>
          <w:rFonts w:ascii="Arial" w:cs="Arial" w:eastAsia="Arial" w:hAnsi="Arial"/>
          <w:sz w:val="21"/>
          <w:szCs w:val="21"/>
        </w:rPr>
        <w:t xml:space="preserve">✓ </w:t>
      </w:r>
      <w:r>
        <w:rPr>
          <w:rFonts w:ascii="Arial" w:cs="Arial" w:eastAsia="Arial" w:hAnsi="Arial"/>
          <w:b/>
          <w:bCs/>
          <w:sz w:val="21"/>
          <w:szCs w:val="21"/>
        </w:rPr>
        <w:t xml:space="preserve">适应能力</w:t>
      </w:r>
      <w:r>
        <w:rPr>
          <w:rFonts w:ascii="Arial" w:cs="Arial" w:eastAsia="Arial" w:hAnsi="Arial"/>
          <w:sz w:val="21"/>
          <w:szCs w:val="21"/>
        </w:rPr>
        <w:t xml:space="preserve">：所有框架都强调高度的灵活性与跨域学习能力</w:t>
      </w:r>
    </w:p>
    <w:p>
      <w:pPr>
        <w:spacing w:after="120" w:line="300"/>
      </w:pPr>
      <w:r>
        <w:rPr>
          <w:rFonts w:ascii="Arial" w:cs="Arial" w:eastAsia="Arial" w:hAnsi="Arial"/>
          <w:sz w:val="21"/>
          <w:szCs w:val="21"/>
        </w:rPr>
        <w:t xml:space="preserve">✓ </w:t>
      </w:r>
      <w:r>
        <w:rPr>
          <w:rFonts w:ascii="Arial" w:cs="Arial" w:eastAsia="Arial" w:hAnsi="Arial"/>
          <w:b/>
          <w:bCs/>
          <w:sz w:val="21"/>
          <w:szCs w:val="21"/>
        </w:rPr>
        <w:t xml:space="preserve">权力来源的多元性</w:t>
      </w:r>
      <w:r>
        <w:rPr>
          <w:rFonts w:ascii="Arial" w:cs="Arial" w:eastAsia="Arial" w:hAnsi="Arial"/>
          <w:sz w:val="21"/>
          <w:szCs w:val="21"/>
        </w:rPr>
        <w:t xml:space="preserve">：所有框架都指向权力来自专业能力+外部资源+制度位置的组合</w:t>
      </w:r>
    </w:p>
    <w:p>
      <w:pPr>
        <w:spacing w:after="120" w:line="300"/>
      </w:pPr>
      <w:r>
        <w:rPr>
          <w:rFonts w:ascii="Arial" w:cs="Arial" w:eastAsia="Arial" w:hAnsi="Arial"/>
          <w:sz w:val="21"/>
          <w:szCs w:val="21"/>
        </w:rPr>
        <w:t xml:space="preserve">✓ </w:t>
      </w:r>
      <w:r>
        <w:rPr>
          <w:rFonts w:ascii="Arial" w:cs="Arial" w:eastAsia="Arial" w:hAnsi="Arial"/>
          <w:b/>
          <w:bCs/>
          <w:sz w:val="21"/>
          <w:szCs w:val="21"/>
        </w:rPr>
        <w:t xml:space="preserve">长期可持续性风险</w:t>
      </w:r>
      <w:r>
        <w:rPr>
          <w:rFonts w:ascii="Arial" w:cs="Arial" w:eastAsia="Arial" w:hAnsi="Arial"/>
          <w:sz w:val="21"/>
          <w:szCs w:val="21"/>
        </w:rPr>
        <w:t xml:space="preserve">：所有框架都指向其权力基础在美台关系这一单一支柱上的潜在脆弱性</w:t>
      </w:r>
    </w:p>
    <w:p>
      <w:pPr>
        <w:spacing w:after="100"/>
      </w:pPr>
      <w:r>
        <w:rPr>
          <w:rFonts w:ascii="Arial" w:cs="Arial" w:eastAsia="Arial" w:hAnsi="Arial"/>
          <w:b/>
          <w:bCs/>
          <w:color w:val="990099"/>
          <w:sz w:val="18"/>
          <w:szCs w:val="18"/>
        </w:rPr>
        <w:t xml:space="preserve">[E] </w:t>
      </w:r>
      <w:r>
        <w:rPr>
          <w:rFonts w:ascii="Arial" w:cs="Arial" w:eastAsia="Arial" w:hAnsi="Arial"/>
          <w:i/>
          <w:iCs/>
          <w:color w:val="666666"/>
          <w:sz w:val="18"/>
          <w:szCs w:val="18"/>
        </w:rPr>
        <w:t xml:space="preserve">五框架共识综合</w:t>
      </w:r>
    </w:p>
    <w:p>
      <w:pPr>
        <w:spacing w:after="60"/>
      </w:pPr>
    </w:p>
    <w:p>
      <w:pPr>
        <w:pStyle w:val="Heading2"/>
        <w:spacing w:after="160" w:before="280"/>
      </w:pPr>
      <w:r>
        <w:rPr>
          <w:rFonts w:ascii="Arial" w:cs="Arial" w:eastAsia="Arial" w:hAnsi="Arial"/>
          <w:b/>
          <w:bCs/>
          <w:sz w:val="26"/>
          <w:szCs w:val="26"/>
        </w:rPr>
        <w:t xml:space="preserve">8.3 五框架的分歧与补充维度</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Hermann vs Barber</w:t>
      </w:r>
      <w:r>
        <w:rPr>
          <w:rFonts w:ascii="Arial" w:cs="Arial" w:eastAsia="Arial" w:hAnsi="Arial"/>
          <w:sz w:val="21"/>
          <w:szCs w:val="21"/>
        </w:rPr>
        <w:t xml:space="preserve">：Hermann强调信念与信任差异，Barber强调参与态度。两者均支持其高度适应的特征，但侧重点不同。</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George vs Winter</w:t>
      </w:r>
      <w:r>
        <w:rPr>
          <w:rFonts w:ascii="Arial" w:cs="Arial" w:eastAsia="Arial" w:hAnsi="Arial"/>
          <w:sz w:val="21"/>
          <w:szCs w:val="21"/>
        </w:rPr>
        <w:t xml:space="preserve">：George强调哲学与工具信念的分离，Winter强调明确的成就动机。两者均指向其有计划的进步主义。</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MBTI的补充性</w:t>
      </w:r>
      <w:r>
        <w:rPr>
          <w:rFonts w:ascii="Arial" w:cs="Arial" w:eastAsia="Arial" w:hAnsi="Arial"/>
          <w:sz w:val="21"/>
          <w:szCs w:val="21"/>
        </w:rPr>
        <w:t xml:space="preserve">：MBTI的认知功能分析提供了上述四个框架难以解释的创新性与灵活调整的认知机制。</w:t>
      </w:r>
    </w:p>
    <w:p>
      <w:pPr>
        <w:spacing w:after="100"/>
      </w:pPr>
      <w:r>
        <w:rPr>
          <w:rFonts w:ascii="Arial" w:cs="Arial" w:eastAsia="Arial" w:hAnsi="Arial"/>
          <w:b/>
          <w:bCs/>
          <w:color w:val="990099"/>
          <w:sz w:val="18"/>
          <w:szCs w:val="18"/>
        </w:rPr>
        <w:t xml:space="preserve">[E] </w:t>
      </w:r>
      <w:r>
        <w:rPr>
          <w:rFonts w:ascii="Arial" w:cs="Arial" w:eastAsia="Arial" w:hAnsi="Arial"/>
          <w:i/>
          <w:iCs/>
          <w:color w:val="666666"/>
          <w:sz w:val="18"/>
          <w:szCs w:val="18"/>
        </w:rPr>
        <w:t xml:space="preserve">框架比较分析</w:t>
      </w:r>
    </w:p>
    <w:p>
      <w:pPr>
        <w:spacing w:after="60"/>
      </w:pPr>
    </w:p>
    <w:p>
      <w:r>
        <w:br w:type="page"/>
      </w:r>
    </w:p>
    <w:p>
      <w:pPr>
        <w:pStyle w:val="Heading1"/>
        <w:spacing w:after="200" w:before="360"/>
      </w:pPr>
      <w:r>
        <w:rPr>
          <w:rFonts w:ascii="Arial" w:cs="Arial" w:eastAsia="Arial" w:hAnsi="Arial"/>
          <w:b/>
          <w:bCs/>
          <w:sz w:val="32"/>
          <w:szCs w:val="32"/>
        </w:rPr>
        <w:t xml:space="preserve">第九篇：综合人格画像一页纸（v1.2核心新增）</w:t>
      </w:r>
    </w:p>
    <w:p>
      <w:pPr>
        <w:pStyle w:val="Heading2"/>
        <w:spacing w:after="160" w:before="280"/>
      </w:pPr>
      <w:r>
        <w:rPr>
          <w:rFonts w:ascii="Arial" w:cs="Arial" w:eastAsia="Arial" w:hAnsi="Arial"/>
          <w:b/>
          <w:bCs/>
          <w:sz w:val="26"/>
          <w:szCs w:val="26"/>
        </w:rPr>
        <w:t xml:space="preserve">综合人格画像：战略性实行家</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核心特质</w:t>
      </w:r>
      <w:r>
        <w:rPr>
          <w:rFonts w:ascii="Arial" w:cs="Arial" w:eastAsia="Arial" w:hAnsi="Arial"/>
          <w:sz w:val="21"/>
          <w:szCs w:val="21"/>
        </w:rPr>
        <w:t xml:space="preserve">: 战略性实行家 - 既具备宏大战略想象力，又拥有实务操作的耐心与精细度。其政治哲学可概括为：</w:t>
      </w:r>
      <w:r>
        <w:rPr>
          <w:rFonts w:ascii="Arial" w:cs="Arial" w:eastAsia="Arial" w:hAnsi="Arial"/>
          <w:b/>
          <w:bCs/>
          <w:sz w:val="21"/>
          <w:szCs w:val="21"/>
        </w:rPr>
        <w:t xml:space="preserve">在结构约束中最大化可能性</w:t>
      </w:r>
      <w:r>
        <w:rPr>
          <w:rFonts w:ascii="Arial" w:cs="Arial" w:eastAsia="Arial" w:hAnsi="Arial"/>
          <w:sz w:val="21"/>
          <w:szCs w:val="21"/>
        </w:rPr>
        <w:t xml:space="preserve">。</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权力基础</w:t>
      </w:r>
      <w:r>
        <w:rPr>
          <w:rFonts w:ascii="Arial" w:cs="Arial" w:eastAsia="Arial" w:hAnsi="Arial"/>
          <w:sz w:val="21"/>
          <w:szCs w:val="21"/>
        </w:rPr>
        <w:t xml:space="preserve">: 多源性权力资本 - 党内信任+技术官僚专业性+国际关系资源+制度化位置。任何单一支柱的削弱都不足以颠覆其地位，但美台关系这一支柱的重要性最高。</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政治风格</w:t>
      </w:r>
      <w:r>
        <w:rPr>
          <w:rFonts w:ascii="Arial" w:cs="Arial" w:eastAsia="Arial" w:hAnsi="Arial"/>
          <w:sz w:val="21"/>
          <w:szCs w:val="21"/>
        </w:rPr>
        <w:t xml:space="preserve">: 低调强硬 - 在避免激发高敏感政治反应的同时，通过切香肠式渐进推进实质性目标。</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决策特点</w:t>
      </w:r>
      <w:r>
        <w:rPr>
          <w:rFonts w:ascii="Arial" w:cs="Arial" w:eastAsia="Arial" w:hAnsi="Arial"/>
          <w:sz w:val="21"/>
          <w:szCs w:val="21"/>
        </w:rPr>
        <w:t xml:space="preserve">: </w:t>
      </w:r>
      <w:r>
        <w:rPr>
          <w:rFonts w:ascii="Arial" w:cs="Arial" w:eastAsia="Arial" w:hAnsi="Arial"/>
          <w:b/>
          <w:bCs/>
          <w:sz w:val="21"/>
          <w:szCs w:val="21"/>
        </w:rPr>
        <w:t xml:space="preserve">现实主义+可操作性</w:t>
      </w:r>
      <w:r>
        <w:rPr>
          <w:rFonts w:ascii="Arial" w:cs="Arial" w:eastAsia="Arial" w:hAnsi="Arial"/>
          <w:sz w:val="21"/>
          <w:szCs w:val="21"/>
        </w:rPr>
        <w:t xml:space="preserve"> - 政策选择基于国际环境判断与风险评估，而非意识形态。特别擅长将安全议题嵌入更广泛的价值观框架。</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人际风格</w:t>
      </w:r>
      <w:r>
        <w:rPr>
          <w:rFonts w:ascii="Arial" w:cs="Arial" w:eastAsia="Arial" w:hAnsi="Arial"/>
          <w:sz w:val="21"/>
          <w:szCs w:val="21"/>
        </w:rPr>
        <w:t xml:space="preserve">: </w:t>
      </w:r>
      <w:r>
        <w:rPr>
          <w:rFonts w:ascii="Arial" w:cs="Arial" w:eastAsia="Arial" w:hAnsi="Arial"/>
          <w:b/>
          <w:bCs/>
          <w:sz w:val="21"/>
          <w:szCs w:val="21"/>
        </w:rPr>
        <w:t xml:space="preserve">社交+政治化</w:t>
      </w:r>
      <w:r>
        <w:rPr>
          <w:rFonts w:ascii="Arial" w:cs="Arial" w:eastAsia="Arial" w:hAnsi="Arial"/>
          <w:sz w:val="21"/>
          <w:szCs w:val="21"/>
        </w:rPr>
        <w:t xml:space="preserve"> - 她将个人社交转化为政策杠杆，通过深层的私人关系建立政治信任。</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认知模式</w:t>
      </w:r>
      <w:r>
        <w:rPr>
          <w:rFonts w:ascii="Arial" w:cs="Arial" w:eastAsia="Arial" w:hAnsi="Arial"/>
          <w:sz w:val="21"/>
          <w:szCs w:val="21"/>
        </w:rPr>
        <w:t xml:space="preserve">: </w:t>
      </w:r>
      <w:r>
        <w:rPr>
          <w:rFonts w:ascii="Arial" w:cs="Arial" w:eastAsia="Arial" w:hAnsi="Arial"/>
          <w:b/>
          <w:bCs/>
          <w:sz w:val="21"/>
          <w:szCs w:val="21"/>
        </w:rPr>
        <w:t xml:space="preserve">战略直觉+逻辑缜密</w:t>
      </w:r>
      <w:r>
        <w:rPr>
          <w:rFonts w:ascii="Arial" w:cs="Arial" w:eastAsia="Arial" w:hAnsi="Arial"/>
          <w:sz w:val="21"/>
          <w:szCs w:val="21"/>
        </w:rPr>
        <w:t xml:space="preserve"> - 能够快速识别国际环境中的新机遇，同时以高度的逻辑性与制度意识推进实施。</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权力想象</w:t>
      </w:r>
      <w:r>
        <w:rPr>
          <w:rFonts w:ascii="Arial" w:cs="Arial" w:eastAsia="Arial" w:hAnsi="Arial"/>
          <w:sz w:val="21"/>
          <w:szCs w:val="21"/>
        </w:rPr>
        <w:t xml:space="preserve">: </w:t>
      </w:r>
      <w:r>
        <w:rPr>
          <w:rFonts w:ascii="Arial" w:cs="Arial" w:eastAsia="Arial" w:hAnsi="Arial"/>
          <w:b/>
          <w:bCs/>
          <w:sz w:val="21"/>
          <w:szCs w:val="21"/>
        </w:rPr>
        <w:t xml:space="preserve">影响力而非权力</w:t>
      </w:r>
      <w:r>
        <w:rPr>
          <w:rFonts w:ascii="Arial" w:cs="Arial" w:eastAsia="Arial" w:hAnsi="Arial"/>
          <w:sz w:val="21"/>
          <w:szCs w:val="21"/>
        </w:rPr>
        <w:t xml:space="preserve"> - 她不追求显性的、形式上的权力，而更看重对政策方向的实质性影响。</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潜在风险</w:t>
      </w:r>
      <w:r>
        <w:rPr>
          <w:rFonts w:ascii="Arial" w:cs="Arial" w:eastAsia="Arial" w:hAnsi="Arial"/>
          <w:sz w:val="21"/>
          <w:szCs w:val="21"/>
        </w:rPr>
        <w:t xml:space="preserve">: </w:t>
      </w:r>
      <w:r>
        <w:rPr>
          <w:rFonts w:ascii="Arial" w:cs="Arial" w:eastAsia="Arial" w:hAnsi="Arial"/>
          <w:b/>
          <w:bCs/>
          <w:sz w:val="21"/>
          <w:szCs w:val="21"/>
        </w:rPr>
        <w:t xml:space="preserve">单一支柱风险</w:t>
      </w:r>
      <w:r>
        <w:rPr>
          <w:rFonts w:ascii="Arial" w:cs="Arial" w:eastAsia="Arial" w:hAnsi="Arial"/>
          <w:sz w:val="21"/>
          <w:szCs w:val="21"/>
        </w:rPr>
        <w:t xml:space="preserve"> - 其权力基础在美台关系这一点上的依赖度过高。一旦美国对台政策发生重大调整，其政治地位将面临压力。</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政治前景</w:t>
      </w:r>
      <w:r>
        <w:rPr>
          <w:rFonts w:ascii="Arial" w:cs="Arial" w:eastAsia="Arial" w:hAnsi="Arial"/>
          <w:sz w:val="21"/>
          <w:szCs w:val="21"/>
        </w:rPr>
        <w:t xml:space="preserve">: </w:t>
      </w:r>
      <w:r>
        <w:rPr>
          <w:rFonts w:ascii="Arial" w:cs="Arial" w:eastAsia="Arial" w:hAnsi="Arial"/>
          <w:b/>
          <w:bCs/>
          <w:sz w:val="21"/>
          <w:szCs w:val="21"/>
        </w:rPr>
        <w:t xml:space="preserve">短期稳定，中期受压，长期取决于地缘政治走向</w:t>
      </w:r>
      <w:r>
        <w:rPr>
          <w:rFonts w:ascii="Arial" w:cs="Arial" w:eastAsia="Arial" w:hAnsi="Arial"/>
          <w:sz w:val="21"/>
          <w:szCs w:val="21"/>
        </w:rPr>
        <w:t xml:space="preserve"/>
      </w:r>
    </w:p>
    <w:p>
      <w:pPr>
        <w:spacing w:after="100"/>
      </w:pPr>
      <w:r>
        <w:rPr>
          <w:rFonts w:ascii="Arial" w:cs="Arial" w:eastAsia="Arial" w:hAnsi="Arial"/>
          <w:b/>
          <w:bCs/>
          <w:color w:val="990099"/>
          <w:sz w:val="18"/>
          <w:szCs w:val="18"/>
        </w:rPr>
        <w:t xml:space="preserve">[E] </w:t>
      </w:r>
      <w:r>
        <w:rPr>
          <w:rFonts w:ascii="Arial" w:cs="Arial" w:eastAsia="Arial" w:hAnsi="Arial"/>
          <w:i/>
          <w:iCs/>
          <w:color w:val="666666"/>
          <w:sz w:val="18"/>
          <w:szCs w:val="18"/>
        </w:rPr>
        <w:t xml:space="preserve">五框架综合提炼</w:t>
      </w:r>
    </w:p>
    <w:p>
      <w:pPr>
        <w:spacing w:after="60"/>
      </w:pPr>
    </w:p>
    <w:p>
      <w:r>
        <w:br w:type="page"/>
      </w:r>
    </w:p>
    <w:p>
      <w:pPr>
        <w:pStyle w:val="Heading1"/>
        <w:spacing w:after="200" w:before="360"/>
      </w:pPr>
      <w:r>
        <w:rPr>
          <w:rFonts w:ascii="Arial" w:cs="Arial" w:eastAsia="Arial" w:hAnsi="Arial"/>
          <w:b/>
          <w:bCs/>
          <w:sz w:val="32"/>
          <w:szCs w:val="32"/>
        </w:rPr>
        <w:t xml:space="preserve">第十篇：关键事件时间线（v1.3新增）</w:t>
      </w:r>
    </w:p>
    <w:p>
      <w:pPr>
        <w:pStyle w:val="Heading2"/>
        <w:spacing w:after="160" w:before="280"/>
      </w:pPr>
      <w:r>
        <w:rPr>
          <w:rFonts w:ascii="Arial" w:cs="Arial" w:eastAsia="Arial" w:hAnsi="Arial"/>
          <w:b/>
          <w:bCs/>
          <w:sz w:val="26"/>
          <w:szCs w:val="26"/>
        </w:rPr>
        <w:t xml:space="preserve">10.1 完整生命周期关键事件表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3400"/>
        <w:gridCol w:w="1240"/>
      </w:tblGrid>
      <w:tr>
        <w:tc>
          <w:tcPr>
            <w:tcW w:type="dxa" w:w="1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时间</w:t>
            </w:r>
          </w:p>
        </w:tc>
        <w:tc>
          <w:tcPr>
            <w:tcW w:type="dxa" w:w="3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关键事件</w:t>
            </w:r>
          </w:p>
        </w:tc>
        <w:tc>
          <w:tcPr>
            <w:tcW w:type="dxa" w:w="3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政治意义</w:t>
            </w:r>
          </w:p>
        </w:tc>
        <w:tc>
          <w:tcPr>
            <w:tcW w:type="dxa" w:w="124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证据等级</w:t>
            </w:r>
          </w:p>
        </w:tc>
      </w:tr>
      <w:tr>
        <w:tc>
          <w:tcPr>
            <w:tcW w:type="dxa" w:w="1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1971/8/7</w:t>
            </w:r>
          </w:p>
        </w:tc>
        <w:tc>
          <w:tcPr>
            <w:tcW w:type="dxa" w:w="3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出生于日本神户</w:t>
            </w:r>
          </w:p>
        </w:tc>
        <w:tc>
          <w:tcPr>
            <w:tcW w:type="dxa" w:w="3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跨域身份的起点</w:t>
            </w:r>
          </w:p>
        </w:tc>
        <w:tc>
          <w:tcPr>
            <w:tcW w:type="dxa" w:w="124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A</w:t>
            </w:r>
          </w:p>
        </w:tc>
      </w:tr>
      <w:tr>
        <w:tc>
          <w:tcPr>
            <w:tcW w:type="dxa" w:w="1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1980s中期</w:t>
            </w:r>
          </w:p>
        </w:tc>
        <w:tc>
          <w:tcPr>
            <w:tcW w:type="dxa" w:w="3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随家庭移居美国</w:t>
            </w:r>
          </w:p>
        </w:tc>
        <w:tc>
          <w:tcPr>
            <w:tcW w:type="dxa" w:w="3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西方教育与文化认同的开始</w:t>
            </w:r>
          </w:p>
        </w:tc>
        <w:tc>
          <w:tcPr>
            <w:tcW w:type="dxa" w:w="124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B</w:t>
            </w:r>
          </w:p>
        </w:tc>
      </w:tr>
      <w:tr>
        <w:tc>
          <w:tcPr>
            <w:tcW w:type="dxa" w:w="1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1993</w:t>
            </w:r>
          </w:p>
        </w:tc>
        <w:tc>
          <w:tcPr>
            <w:tcW w:type="dxa" w:w="3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获欧柏林学院学士学位</w:t>
            </w:r>
          </w:p>
        </w:tc>
        <w:tc>
          <w:tcPr>
            <w:tcW w:type="dxa" w:w="3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系统西方政治学训练的开始</w:t>
            </w:r>
          </w:p>
        </w:tc>
        <w:tc>
          <w:tcPr>
            <w:tcW w:type="dxa" w:w="124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A</w:t>
            </w:r>
          </w:p>
        </w:tc>
      </w:tr>
      <w:tr>
        <w:tc>
          <w:tcPr>
            <w:tcW w:type="dxa" w:w="1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1995</w:t>
            </w:r>
          </w:p>
        </w:tc>
        <w:tc>
          <w:tcPr>
            <w:tcW w:type="dxa" w:w="3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获哥伦比亚大学硕士学位</w:t>
            </w:r>
          </w:p>
        </w:tc>
        <w:tc>
          <w:tcPr>
            <w:tcW w:type="dxa" w:w="3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精英教育完成</w:t>
            </w:r>
          </w:p>
        </w:tc>
        <w:tc>
          <w:tcPr>
            <w:tcW w:type="dxa" w:w="124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A</w:t>
            </w:r>
          </w:p>
        </w:tc>
      </w:tr>
      <w:tr>
        <w:tc>
          <w:tcPr>
            <w:tcW w:type="dxa" w:w="1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1995</w:t>
            </w:r>
          </w:p>
        </w:tc>
        <w:tc>
          <w:tcPr>
            <w:tcW w:type="dxa" w:w="3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加入民进党国际事务工作</w:t>
            </w:r>
          </w:p>
        </w:tc>
        <w:tc>
          <w:tcPr>
            <w:tcW w:type="dxa" w:w="3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政治生涯正式启动</w:t>
            </w:r>
          </w:p>
        </w:tc>
        <w:tc>
          <w:tcPr>
            <w:tcW w:type="dxa" w:w="124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B</w:t>
            </w:r>
          </w:p>
        </w:tc>
      </w:tr>
      <w:tr>
        <w:tc>
          <w:tcPr>
            <w:tcW w:type="dxa" w:w="1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1996</w:t>
            </w:r>
          </w:p>
        </w:tc>
        <w:tc>
          <w:tcPr>
            <w:tcW w:type="dxa" w:w="3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台海危机期间任驻美助理</w:t>
            </w:r>
          </w:p>
        </w:tc>
        <w:tc>
          <w:tcPr>
            <w:tcW w:type="dxa" w:w="3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战略方向的确立</w:t>
            </w:r>
          </w:p>
        </w:tc>
        <w:tc>
          <w:tcPr>
            <w:tcW w:type="dxa" w:w="124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C</w:t>
            </w:r>
          </w:p>
        </w:tc>
      </w:tr>
      <w:tr>
        <w:tc>
          <w:tcPr>
            <w:tcW w:type="dxa" w:w="1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2000s</w:t>
            </w:r>
          </w:p>
        </w:tc>
        <w:tc>
          <w:tcPr>
            <w:tcW w:type="dxa" w:w="3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担任总统府顾问及立法委员</w:t>
            </w:r>
          </w:p>
        </w:tc>
        <w:tc>
          <w:tcPr>
            <w:tcW w:type="dxa" w:w="3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权力上升与基层政治基础建设</w:t>
            </w:r>
          </w:p>
        </w:tc>
        <w:tc>
          <w:tcPr>
            <w:tcW w:type="dxa" w:w="124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A</w:t>
            </w:r>
          </w:p>
        </w:tc>
      </w:tr>
      <w:tr>
        <w:tc>
          <w:tcPr>
            <w:tcW w:type="dxa" w:w="1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2010s</w:t>
            </w:r>
          </w:p>
        </w:tc>
        <w:tc>
          <w:tcPr>
            <w:tcW w:type="dxa" w:w="3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花莲基层深耕，2012年成功连任</w:t>
            </w:r>
          </w:p>
        </w:tc>
        <w:tc>
          <w:tcPr>
            <w:tcW w:type="dxa" w:w="3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地方政治根基的巩固</w:t>
            </w:r>
          </w:p>
        </w:tc>
        <w:tc>
          <w:tcPr>
            <w:tcW w:type="dxa" w:w="124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A</w:t>
            </w:r>
          </w:p>
        </w:tc>
      </w:tr>
      <w:tr>
        <w:tc>
          <w:tcPr>
            <w:tcW w:type="dxa" w:w="1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2020-2023</w:t>
            </w:r>
          </w:p>
        </w:tc>
        <w:tc>
          <w:tcPr>
            <w:tcW w:type="dxa" w:w="3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担任台湾驻美代表（TECRO）</w:t>
            </w:r>
          </w:p>
        </w:tc>
        <w:tc>
          <w:tcPr>
            <w:tcW w:type="dxa" w:w="3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美台关系操盘人角色的确立</w:t>
            </w:r>
          </w:p>
        </w:tc>
        <w:tc>
          <w:tcPr>
            <w:tcW w:type="dxa" w:w="124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A</w:t>
            </w:r>
          </w:p>
        </w:tc>
      </w:tr>
      <w:tr>
        <w:tc>
          <w:tcPr>
            <w:tcW w:type="dxa" w:w="1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2021/1/20</w:t>
            </w:r>
          </w:p>
        </w:tc>
        <w:tc>
          <w:tcPr>
            <w:tcW w:type="dxa" w:w="3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正式受邀出席拜登就职典礼</w:t>
            </w:r>
          </w:p>
        </w:tc>
        <w:tc>
          <w:tcPr>
            <w:tcW w:type="dxa" w:w="3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美方对其政治信任的正式认可</w:t>
            </w:r>
          </w:p>
        </w:tc>
        <w:tc>
          <w:tcPr>
            <w:tcW w:type="dxa" w:w="124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B</w:t>
            </w:r>
          </w:p>
        </w:tc>
      </w:tr>
      <w:tr>
        <w:tc>
          <w:tcPr>
            <w:tcW w:type="dxa" w:w="1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2022/8</w:t>
            </w:r>
          </w:p>
        </w:tc>
        <w:tc>
          <w:tcPr>
            <w:tcW w:type="dxa" w:w="3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被大陆列入台独顽固分子制裁名单</w:t>
            </w:r>
          </w:p>
        </w:tc>
        <w:tc>
          <w:tcPr>
            <w:tcW w:type="dxa" w:w="3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大陆对其战略地位的正式确认</w:t>
            </w:r>
          </w:p>
        </w:tc>
        <w:tc>
          <w:tcPr>
            <w:tcW w:type="dxa" w:w="124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A</w:t>
            </w:r>
          </w:p>
        </w:tc>
      </w:tr>
      <w:tr>
        <w:tc>
          <w:tcPr>
            <w:tcW w:type="dxa" w:w="1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2023</w:t>
            </w:r>
          </w:p>
        </w:tc>
        <w:tc>
          <w:tcPr>
            <w:tcW w:type="dxa" w:w="3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推动蔡麦会</w:t>
            </w:r>
          </w:p>
        </w:tc>
        <w:tc>
          <w:tcPr>
            <w:tcW w:type="dxa" w:w="3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国际影响力的高峰期</w:t>
            </w:r>
          </w:p>
        </w:tc>
        <w:tc>
          <w:tcPr>
            <w:tcW w:type="dxa" w:w="124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B</w:t>
            </w:r>
          </w:p>
        </w:tc>
      </w:tr>
      <w:tr>
        <w:tc>
          <w:tcPr>
            <w:tcW w:type="dxa" w:w="1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2024/5/20</w:t>
            </w:r>
          </w:p>
        </w:tc>
        <w:tc>
          <w:tcPr>
            <w:tcW w:type="dxa" w:w="3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当选台湾地区副领导人就任</w:t>
            </w:r>
          </w:p>
        </w:tc>
        <w:tc>
          <w:tcPr>
            <w:tcW w:type="dxa" w:w="3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权力的制度化与地位的最终确认</w:t>
            </w:r>
          </w:p>
        </w:tc>
        <w:tc>
          <w:tcPr>
            <w:tcW w:type="dxa" w:w="124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A</w:t>
            </w:r>
          </w:p>
        </w:tc>
      </w:tr>
      <w:tr>
        <w:tc>
          <w:tcPr>
            <w:tcW w:type="dxa" w:w="1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2025/6</w:t>
            </w:r>
          </w:p>
        </w:tc>
        <w:tc>
          <w:tcPr>
            <w:tcW w:type="dxa" w:w="3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访问捷克期间遭中国外交人员尾随及车辆碰撞</w:t>
            </w:r>
          </w:p>
        </w:tc>
        <w:tc>
          <w:tcPr>
            <w:tcW w:type="dxa" w:w="3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将危机转化为战猫叙事</w:t>
            </w:r>
          </w:p>
        </w:tc>
        <w:tc>
          <w:tcPr>
            <w:tcW w:type="dxa" w:w="124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B</w:t>
            </w:r>
          </w:p>
        </w:tc>
      </w:tr>
      <w:tr>
        <w:tc>
          <w:tcPr>
            <w:tcW w:type="dxa" w:w="1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2025/11</w:t>
            </w:r>
          </w:p>
        </w:tc>
        <w:tc>
          <w:tcPr>
            <w:tcW w:type="dxa" w:w="3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以现职身份在布鲁塞尔欧洲议会发表演说</w:t>
            </w:r>
          </w:p>
        </w:tc>
        <w:tc>
          <w:tcPr>
            <w:tcW w:type="dxa" w:w="3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欧洲政治舞台的正式亮相</w:t>
            </w:r>
          </w:p>
        </w:tc>
        <w:tc>
          <w:tcPr>
            <w:tcW w:type="dxa" w:w="124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B</w:t>
            </w:r>
          </w:p>
        </w:tc>
      </w:tr>
    </w:tbl>
    <w:p>
      <w:pPr>
        <w:spacing w:after="60"/>
      </w:pPr>
    </w:p>
    <w:p>
      <w:pPr>
        <w:pStyle w:val="Heading2"/>
        <w:spacing w:after="160" w:before="280"/>
      </w:pPr>
      <w:r>
        <w:rPr>
          <w:rFonts w:ascii="Arial" w:cs="Arial" w:eastAsia="Arial" w:hAnsi="Arial"/>
          <w:b/>
          <w:bCs/>
          <w:sz w:val="26"/>
          <w:szCs w:val="26"/>
        </w:rPr>
        <w:t xml:space="preserve">10.2 时间线的战略解读</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1995-2010</w:t>
      </w:r>
      <w:r>
        <w:rPr>
          <w:rFonts w:ascii="Arial" w:cs="Arial" w:eastAsia="Arial" w:hAnsi="Arial"/>
          <w:sz w:val="21"/>
          <w:szCs w:val="21"/>
        </w:rPr>
        <w:t xml:space="preserve">: 从民进党国际事务部主任到立法委员，萧美琴完成了从涉外事务执行者到党内核心成员的身份转变。</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2010-2020</w:t>
      </w:r>
      <w:r>
        <w:rPr>
          <w:rFonts w:ascii="Arial" w:cs="Arial" w:eastAsia="Arial" w:hAnsi="Arial"/>
          <w:sz w:val="21"/>
          <w:szCs w:val="21"/>
        </w:rPr>
        <w:t xml:space="preserve">: 花莲基层工作是巩固政治合法性与基层根基的必要阶段。这使得她不仅具有国际事务的专业背景，还拥有地方政治的实战经验。</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2020-2023</w:t>
      </w:r>
      <w:r>
        <w:rPr>
          <w:rFonts w:ascii="Arial" w:cs="Arial" w:eastAsia="Arial" w:hAnsi="Arial"/>
          <w:sz w:val="21"/>
          <w:szCs w:val="21"/>
        </w:rPr>
        <w:t xml:space="preserve">: 担任驻美代表期间，萧美琴将个人影响力转化为政策输出。2021年拜登就职典礼的参加标志着其从执行者向决策者的身份转变。</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2024-</w:t>
      </w:r>
      <w:r>
        <w:rPr>
          <w:rFonts w:ascii="Arial" w:cs="Arial" w:eastAsia="Arial" w:hAnsi="Arial"/>
          <w:sz w:val="21"/>
          <w:szCs w:val="21"/>
        </w:rPr>
        <w:t xml:space="preserve">: 从驻美代表到副职的转身，标志着其权力的制度化。2025年布鲁塞尔的演讲，表明其国际活动范围的进一步扩展。</w:t>
      </w:r>
    </w:p>
    <w:p>
      <w:pPr>
        <w:spacing w:after="100"/>
      </w:pPr>
      <w:r>
        <w:rPr>
          <w:rFonts w:ascii="Arial" w:cs="Arial" w:eastAsia="Arial" w:hAnsi="Arial"/>
          <w:b/>
          <w:bCs/>
          <w:color w:val="990099"/>
          <w:sz w:val="18"/>
          <w:szCs w:val="18"/>
        </w:rPr>
        <w:t xml:space="preserve">[E] </w:t>
      </w:r>
      <w:r>
        <w:rPr>
          <w:rFonts w:ascii="Arial" w:cs="Arial" w:eastAsia="Arial" w:hAnsi="Arial"/>
          <w:i/>
          <w:iCs/>
          <w:color w:val="666666"/>
          <w:sz w:val="18"/>
          <w:szCs w:val="18"/>
        </w:rPr>
        <w:t xml:space="preserve">时间线战略解读</w:t>
      </w:r>
    </w:p>
    <w:p>
      <w:pPr>
        <w:spacing w:after="60"/>
      </w:pPr>
    </w:p>
    <w:p>
      <w:r>
        <w:br w:type="page"/>
      </w:r>
    </w:p>
    <w:p>
      <w:pPr>
        <w:pStyle w:val="Heading1"/>
        <w:spacing w:after="200" w:before="360"/>
      </w:pPr>
      <w:r>
        <w:rPr>
          <w:rFonts w:ascii="Arial" w:cs="Arial" w:eastAsia="Arial" w:hAnsi="Arial"/>
          <w:b/>
          <w:bCs/>
          <w:sz w:val="32"/>
          <w:szCs w:val="32"/>
        </w:rPr>
        <w:t xml:space="preserve">第十一篇：多情景推演矩阵（v1.3新增）</w:t>
      </w:r>
    </w:p>
    <w:p>
      <w:pPr>
        <w:pStyle w:val="Heading2"/>
        <w:spacing w:after="160" w:before="280"/>
      </w:pPr>
      <w:r>
        <w:rPr>
          <w:rFonts w:ascii="Arial" w:cs="Arial" w:eastAsia="Arial" w:hAnsi="Arial"/>
          <w:b/>
          <w:bCs/>
          <w:sz w:val="26"/>
          <w:szCs w:val="26"/>
        </w:rPr>
        <w:t xml:space="preserve">11.1 推演框架说明</w:t>
      </w:r>
    </w:p>
    <w:p>
      <w:pPr>
        <w:spacing w:after="120" w:line="300"/>
      </w:pPr>
      <w:r>
        <w:rPr>
          <w:rFonts w:ascii="Arial" w:cs="Arial" w:eastAsia="Arial" w:hAnsi="Arial"/>
          <w:sz w:val="21"/>
          <w:szCs w:val="21"/>
        </w:rPr>
        <w:t xml:space="preserve">本部分基于厦大平潭研究院原始报告的战略研判逻辑，构建内部变量与外部变量的二维推演矩阵。通过分析萧美琴在不同情景组合下的角色变化与政治前景，提供多维度的前瞻性研判。</w:t>
      </w:r>
    </w:p>
    <w:p>
      <w:pPr>
        <w:spacing w:after="60"/>
      </w:pPr>
    </w:p>
    <w:p>
      <w:pPr>
        <w:pStyle w:val="Heading2"/>
        <w:spacing w:after="160" w:before="280"/>
      </w:pPr>
      <w:r>
        <w:rPr>
          <w:rFonts w:ascii="Arial" w:cs="Arial" w:eastAsia="Arial" w:hAnsi="Arial"/>
          <w:b/>
          <w:bCs/>
          <w:sz w:val="26"/>
          <w:szCs w:val="26"/>
        </w:rPr>
        <w:t xml:space="preserve">11.2 四大关键推演场景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600"/>
        <w:gridCol w:w="2840"/>
      </w:tblGrid>
      <w:tr>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场景编号</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情景假设</w:t>
            </w:r>
          </w:p>
        </w:tc>
        <w:tc>
          <w:tcPr>
            <w:tcW w:type="dxa" w:w="3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对萧美琴权力地位的影响</w:t>
            </w:r>
          </w:p>
        </w:tc>
        <w:tc>
          <w:tcPr>
            <w:tcW w:type="dxa" w:w="284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需要关注的政策信号</w:t>
            </w:r>
          </w:p>
        </w:tc>
      </w:tr>
      <w:tr>
        <w:tc>
          <w:tcPr>
            <w:tcW w:type="dxa" w:w="1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S1</w:t>
            </w:r>
          </w:p>
        </w:tc>
        <w:tc>
          <w:tcPr>
            <w:tcW w:type="dxa" w:w="2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美国对台政策交易化：美国与大陆就台湾问题进行某种交易</w:t>
            </w:r>
          </w:p>
        </w:tc>
        <w:tc>
          <w:tcPr>
            <w:tcW w:type="dxa" w:w="36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高度冲击 - 对美关系权力支柱严重削弱</w:t>
            </w:r>
          </w:p>
        </w:tc>
        <w:tc>
          <w:tcPr>
            <w:tcW w:type="dxa" w:w="284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关注美国大国竞争战略中台湾权重的变化</w:t>
            </w:r>
          </w:p>
        </w:tc>
      </w:tr>
      <w:tr>
        <w:tc>
          <w:tcPr>
            <w:tcW w:type="dxa" w:w="1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S2</w:t>
            </w:r>
          </w:p>
        </w:tc>
        <w:tc>
          <w:tcPr>
            <w:tcW w:type="dxa" w:w="2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台海军事危机升级：围绕台湾问题的直接军事冲突风险大幅上升</w:t>
            </w:r>
          </w:p>
        </w:tc>
        <w:tc>
          <w:tcPr>
            <w:tcW w:type="dxa" w:w="36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短期强化+长期风险 - 战争预防价值上升，但政治游戏规则被打破</w:t>
            </w:r>
          </w:p>
        </w:tc>
        <w:tc>
          <w:tcPr>
            <w:tcW w:type="dxa" w:w="284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关注台湾防卫准备的制度化程度</w:t>
            </w:r>
          </w:p>
        </w:tc>
      </w:tr>
      <w:tr>
        <w:tc>
          <w:tcPr>
            <w:tcW w:type="dxa" w:w="1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S3</w:t>
            </w:r>
          </w:p>
        </w:tc>
        <w:tc>
          <w:tcPr>
            <w:tcW w:type="dxa" w:w="2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民进党内权力更迭：英系影响力下降，新的权力中心崛起</w:t>
            </w:r>
          </w:p>
        </w:tc>
        <w:tc>
          <w:tcPr>
            <w:tcW w:type="dxa" w:w="36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中度冲击 - 政治地位面临压力，但副职提供保护</w:t>
            </w:r>
          </w:p>
        </w:tc>
        <w:tc>
          <w:tcPr>
            <w:tcW w:type="dxa" w:w="284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关注党内新秀的涉外政策主张</w:t>
            </w:r>
          </w:p>
        </w:tc>
      </w:tr>
      <w:tr>
        <w:tc>
          <w:tcPr>
            <w:tcW w:type="dxa" w:w="1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S4</w:t>
            </w:r>
          </w:p>
        </w:tc>
        <w:tc>
          <w:tcPr>
            <w:tcW w:type="dxa" w:w="2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国际格局重大变化：中美关系缓和，台湾战略重要性相对下降</w:t>
            </w:r>
          </w:p>
        </w:tc>
        <w:tc>
          <w:tcPr>
            <w:tcW w:type="dxa" w:w="36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高度冲击 - 政治逻辑框架需要重新调整</w:t>
            </w:r>
          </w:p>
        </w:tc>
        <w:tc>
          <w:tcPr>
            <w:tcW w:type="dxa" w:w="284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关注中美关系发展方向</w:t>
            </w:r>
          </w:p>
        </w:tc>
      </w:tr>
    </w:tbl>
    <w:p>
      <w:pPr>
        <w:spacing w:after="60"/>
      </w:pPr>
    </w:p>
    <w:p>
      <w:pPr>
        <w:pStyle w:val="Heading2"/>
        <w:spacing w:after="160" w:before="280"/>
      </w:pPr>
      <w:r>
        <w:rPr>
          <w:rFonts w:ascii="Arial" w:cs="Arial" w:eastAsia="Arial" w:hAnsi="Arial"/>
          <w:b/>
          <w:bCs/>
          <w:sz w:val="26"/>
          <w:szCs w:val="26"/>
        </w:rPr>
        <w:t xml:space="preserve">11.3 情景组合分析</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乐观情景</w:t>
      </w:r>
      <w:r>
        <w:rPr>
          <w:rFonts w:ascii="Arial" w:cs="Arial" w:eastAsia="Arial" w:hAnsi="Arial"/>
          <w:sz w:val="21"/>
          <w:szCs w:val="21"/>
        </w:rPr>
        <w:t xml:space="preserve">: 美国继续强化对台支持，台海保持现状，民进党权力结构稳定，中美战略竞争延续 → 萧美琴的权力地位稳定并持续上升。</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挑战情景</w:t>
      </w:r>
      <w:r>
        <w:rPr>
          <w:rFonts w:ascii="Arial" w:cs="Arial" w:eastAsia="Arial" w:hAnsi="Arial"/>
          <w:sz w:val="21"/>
          <w:szCs w:val="21"/>
        </w:rPr>
        <w:t xml:space="preserve">: 美国对台政策调整，台海面临军事风险，民进党权力重组，全球地缘政治重新排序 → 萧美琴的权力基础面临全方位压力。</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适应情景</w:t>
      </w:r>
      <w:r>
        <w:rPr>
          <w:rFonts w:ascii="Arial" w:cs="Arial" w:eastAsia="Arial" w:hAnsi="Arial"/>
          <w:sz w:val="21"/>
          <w:szCs w:val="21"/>
        </w:rPr>
        <w:t xml:space="preserve">: 部分变量朝着不利方向发展，但萧美琴通过灵活的战略调整和国际关系的扩展，实现权力的再平衡。</w:t>
      </w:r>
    </w:p>
    <w:p>
      <w:pPr>
        <w:spacing w:after="100"/>
      </w:pPr>
      <w:r>
        <w:rPr>
          <w:rFonts w:ascii="Arial" w:cs="Arial" w:eastAsia="Arial" w:hAnsi="Arial"/>
          <w:b/>
          <w:bCs/>
          <w:color w:val="990099"/>
          <w:sz w:val="18"/>
          <w:szCs w:val="18"/>
        </w:rPr>
        <w:t xml:space="preserve">[E] </w:t>
      </w:r>
      <w:r>
        <w:rPr>
          <w:rFonts w:ascii="Arial" w:cs="Arial" w:eastAsia="Arial" w:hAnsi="Arial"/>
          <w:i/>
          <w:iCs/>
          <w:color w:val="666666"/>
          <w:sz w:val="18"/>
          <w:szCs w:val="18"/>
        </w:rPr>
        <w:t xml:space="preserve">战略推演</w:t>
      </w:r>
    </w:p>
    <w:p>
      <w:pPr>
        <w:spacing w:after="60"/>
      </w:pPr>
    </w:p>
    <w:p>
      <w:pPr>
        <w:pStyle w:val="Heading2"/>
        <w:spacing w:after="160" w:before="280"/>
      </w:pPr>
      <w:r>
        <w:rPr>
          <w:rFonts w:ascii="Arial" w:cs="Arial" w:eastAsia="Arial" w:hAnsi="Arial"/>
          <w:b/>
          <w:bCs/>
          <w:sz w:val="26"/>
          <w:szCs w:val="26"/>
        </w:rPr>
        <w:t xml:space="preserve">11.4 前瞻性关注指标</w:t>
      </w:r>
    </w:p>
    <w:p>
      <w:pPr>
        <w:spacing w:after="120" w:line="300"/>
      </w:pPr>
      <w:r>
        <w:rPr>
          <w:rFonts w:ascii="Arial" w:cs="Arial" w:eastAsia="Arial" w:hAnsi="Arial"/>
          <w:sz w:val="21"/>
          <w:szCs w:val="21"/>
        </w:rPr>
        <w:t xml:space="preserve">为评估萧美琴权力前景，需要持续关注以下指标：</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美国维度</w:t>
      </w:r>
      <w:r>
        <w:rPr>
          <w:rFonts w:ascii="Arial" w:cs="Arial" w:eastAsia="Arial" w:hAnsi="Arial"/>
          <w:sz w:val="21"/>
          <w:szCs w:val="21"/>
        </w:rPr>
        <w:t xml:space="preserve">：美国对台军援规模与关键技术的覆盖范围、美国高层对台湾访问的频率与规格、美国在台湾参与国际组织问题上的推动力度</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民进党内维度</w:t>
      </w:r>
      <w:r>
        <w:rPr>
          <w:rFonts w:ascii="Arial" w:cs="Arial" w:eastAsia="Arial" w:hAnsi="Arial"/>
          <w:sz w:val="21"/>
          <w:szCs w:val="21"/>
        </w:rPr>
        <w:t xml:space="preserve">：党内对涉外事务的资源投入与人才培养、英系影响力的持续程度、赖清德政府对对美关系的战略评估</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国际维度</w:t>
      </w:r>
      <w:r>
        <w:rPr>
          <w:rFonts w:ascii="Arial" w:cs="Arial" w:eastAsia="Arial" w:hAnsi="Arial"/>
          <w:sz w:val="21"/>
          <w:szCs w:val="21"/>
        </w:rPr>
        <w:t xml:space="preserve">：欧洲对台湾关系的态度变化、日本、韩国等亚洲民主国家的台湾政策走向、全球民主vs威权叙事的强度与持续性</w:t>
      </w:r>
    </w:p>
    <w:p>
      <w:pPr>
        <w:spacing w:after="100"/>
      </w:pPr>
      <w:r>
        <w:rPr>
          <w:rFonts w:ascii="Arial" w:cs="Arial" w:eastAsia="Arial" w:hAnsi="Arial"/>
          <w:b/>
          <w:bCs/>
          <w:color w:val="990099"/>
          <w:sz w:val="18"/>
          <w:szCs w:val="18"/>
        </w:rPr>
        <w:t xml:space="preserve">[E] </w:t>
      </w:r>
      <w:r>
        <w:rPr>
          <w:rFonts w:ascii="Arial" w:cs="Arial" w:eastAsia="Arial" w:hAnsi="Arial"/>
          <w:i/>
          <w:iCs/>
          <w:color w:val="666666"/>
          <w:sz w:val="18"/>
          <w:szCs w:val="18"/>
        </w:rPr>
        <w:t xml:space="preserve">前瞻指标体系</w:t>
      </w:r>
    </w:p>
    <w:p>
      <w:pPr>
        <w:spacing w:after="60"/>
      </w:pPr>
    </w:p>
    <w:p>
      <w:r>
        <w:br w:type="page"/>
      </w:r>
    </w:p>
    <w:p>
      <w:pPr>
        <w:pStyle w:val="Heading1"/>
        <w:spacing w:after="200" w:before="360"/>
      </w:pPr>
      <w:r>
        <w:rPr>
          <w:rFonts w:ascii="Arial" w:cs="Arial" w:eastAsia="Arial" w:hAnsi="Arial"/>
          <w:b/>
          <w:bCs/>
          <w:sz w:val="32"/>
          <w:szCs w:val="32"/>
        </w:rPr>
        <w:t xml:space="preserve">附录A：方法论说明（v1.3升级版）</w:t>
      </w:r>
    </w:p>
    <w:p>
      <w:pPr>
        <w:pStyle w:val="Heading2"/>
        <w:spacing w:after="160" w:before="280"/>
      </w:pPr>
      <w:r>
        <w:rPr>
          <w:rFonts w:ascii="Arial" w:cs="Arial" w:eastAsia="Arial" w:hAnsi="Arial"/>
          <w:b/>
          <w:bCs/>
          <w:sz w:val="26"/>
          <w:szCs w:val="26"/>
        </w:rPr>
        <w:t xml:space="preserve">A.1 OSINT v5.0框架的演进</w:t>
      </w:r>
    </w:p>
    <w:p>
      <w:pPr>
        <w:spacing w:after="120" w:line="300"/>
      </w:pPr>
      <w:r>
        <w:rPr>
          <w:rFonts w:ascii="Arial" w:cs="Arial" w:eastAsia="Arial" w:hAnsi="Arial"/>
          <w:sz w:val="21"/>
          <w:szCs w:val="21"/>
        </w:rPr>
        <w:t xml:space="preserve">本报告采用的分析框架经历了以下演进：</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v2.0（原始OSINT框架）</w:t>
      </w:r>
      <w:r>
        <w:rPr>
          <w:rFonts w:ascii="Arial" w:cs="Arial" w:eastAsia="Arial" w:hAnsi="Arial"/>
          <w:sz w:val="21"/>
          <w:szCs w:val="21"/>
        </w:rPr>
        <w:t xml:space="preserve">：16模块+证据分级的系统化架构，强调事实采集与可核查性。</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v4.0（心理学+学术框架整合）</w:t>
      </w:r>
      <w:r>
        <w:rPr>
          <w:rFonts w:ascii="Arial" w:cs="Arial" w:eastAsia="Arial" w:hAnsi="Arial"/>
          <w:sz w:val="21"/>
          <w:szCs w:val="21"/>
        </w:rPr>
        <w:t xml:space="preserve">：在v2.0基础上引入Hermann、George、Winter、Barber等框架，实现四重学术框架的交叉验证。</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v5.0（认知科学+多框架综合）</w:t>
      </w:r>
      <w:r>
        <w:rPr>
          <w:rFonts w:ascii="Arial" w:cs="Arial" w:eastAsia="Arial" w:hAnsi="Arial"/>
          <w:sz w:val="21"/>
          <w:szCs w:val="21"/>
        </w:rPr>
        <w:t xml:space="preserve">：在v4.0基础上新增MBTI认知功能分析，并强化五框架交叉验证的方法论严谨性。</w:t>
      </w:r>
    </w:p>
    <w:p>
      <w:pPr>
        <w:spacing w:after="60"/>
      </w:pPr>
    </w:p>
    <w:p>
      <w:pPr>
        <w:pStyle w:val="Heading2"/>
        <w:spacing w:after="160" w:before="280"/>
      </w:pPr>
      <w:r>
        <w:rPr>
          <w:rFonts w:ascii="Arial" w:cs="Arial" w:eastAsia="Arial" w:hAnsi="Arial"/>
          <w:b/>
          <w:bCs/>
          <w:sz w:val="26"/>
          <w:szCs w:val="26"/>
        </w:rPr>
        <w:t xml:space="preserve">A.2 证据分级体系说明</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400"/>
        <w:gridCol w:w="3840"/>
      </w:tblGrid>
      <w:tr>
        <w:tc>
          <w:tcPr>
            <w:tcW w:type="dxa" w:w="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等级</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定义</w:t>
            </w:r>
          </w:p>
        </w:tc>
        <w:tc>
          <w:tcPr>
            <w:tcW w:type="dxa" w:w="2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来源类型</w:t>
            </w:r>
          </w:p>
        </w:tc>
        <w:tc>
          <w:tcPr>
            <w:tcW w:type="dxa" w:w="384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使用原则</w:t>
            </w:r>
          </w:p>
        </w:tc>
      </w:tr>
      <w:tr>
        <w:tc>
          <w:tcPr>
            <w:tcW w:type="dxa" w:w="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A级</w:t>
            </w:r>
          </w:p>
        </w:tc>
        <w:tc>
          <w:tcPr>
            <w:tcW w:type="dxa" w:w="1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权威官方确认</w:t>
            </w:r>
          </w:p>
        </w:tc>
        <w:tc>
          <w:tcPr>
            <w:tcW w:type="dxa" w:w="2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政府官网、官方公告、官方新闻稿</w:t>
            </w:r>
          </w:p>
        </w:tc>
        <w:tc>
          <w:tcPr>
            <w:tcW w:type="dxa" w:w="384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可作为事实基础</w:t>
            </w:r>
          </w:p>
        </w:tc>
      </w:tr>
      <w:tr>
        <w:tc>
          <w:tcPr>
            <w:tcW w:type="dxa" w:w="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B级</w:t>
            </w:r>
          </w:p>
        </w:tc>
        <w:tc>
          <w:tcPr>
            <w:tcW w:type="dxa" w:w="1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可信媒体或学术报告</w:t>
            </w:r>
          </w:p>
        </w:tc>
        <w:tc>
          <w:tcPr>
            <w:tcW w:type="dxa" w:w="2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主流媒体报道、学术论著、官方人士发言</w:t>
            </w:r>
          </w:p>
        </w:tc>
        <w:tc>
          <w:tcPr>
            <w:tcW w:type="dxa" w:w="384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可作为重要参考</w:t>
            </w:r>
          </w:p>
        </w:tc>
      </w:tr>
      <w:tr>
        <w:tc>
          <w:tcPr>
            <w:tcW w:type="dxa" w:w="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C级</w:t>
            </w:r>
          </w:p>
        </w:tc>
        <w:tc>
          <w:tcPr>
            <w:tcW w:type="dxa" w:w="1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专业人士或深度分析来源</w:t>
            </w:r>
          </w:p>
        </w:tc>
        <w:tc>
          <w:tcPr>
            <w:tcW w:type="dxa" w:w="2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专家评论、内部研究报告、具有分析深度的媒体评论</w:t>
            </w:r>
          </w:p>
        </w:tc>
        <w:tc>
          <w:tcPr>
            <w:tcW w:type="dxa" w:w="384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作为补充观点</w:t>
            </w:r>
          </w:p>
        </w:tc>
      </w:tr>
      <w:tr>
        <w:tc>
          <w:tcPr>
            <w:tcW w:type="dxa" w:w="8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E级</w:t>
            </w:r>
          </w:p>
        </w:tc>
        <w:tc>
          <w:tcPr>
            <w:tcW w:type="dxa" w:w="1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分析性推断</w:t>
            </w:r>
          </w:p>
        </w:tc>
        <w:tc>
          <w:tcPr>
            <w:tcW w:type="dxa" w:w="2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基于上述证据的分析、假设推理、情景推演</w:t>
            </w:r>
          </w:p>
        </w:tc>
        <w:tc>
          <w:tcPr>
            <w:tcW w:type="dxa" w:w="384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需明确标注为推断</w:t>
            </w:r>
          </w:p>
        </w:tc>
      </w:tr>
    </w:tbl>
    <w:p>
      <w:pPr>
        <w:spacing w:after="60"/>
      </w:pPr>
    </w:p>
    <w:p>
      <w:pPr>
        <w:pStyle w:val="Heading2"/>
        <w:spacing w:after="160" w:before="280"/>
      </w:pPr>
      <w:r>
        <w:rPr>
          <w:rFonts w:ascii="Arial" w:cs="Arial" w:eastAsia="Arial" w:hAnsi="Arial"/>
          <w:b/>
          <w:bCs/>
          <w:sz w:val="26"/>
          <w:szCs w:val="26"/>
        </w:rPr>
        <w:t xml:space="preserve">A.3 本报告的质量声明</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完整性声明</w:t>
      </w:r>
      <w:r>
        <w:rPr>
          <w:rFonts w:ascii="Arial" w:cs="Arial" w:eastAsia="Arial" w:hAnsi="Arial"/>
          <w:sz w:val="21"/>
          <w:szCs w:val="21"/>
        </w:rPr>
        <w:t xml:space="preserve">：本v1.3报告不删节、不总结任何来自v1.1与v1.2版本的内容。</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溯源性声明</w:t>
      </w:r>
      <w:r>
        <w:rPr>
          <w:rFonts w:ascii="Arial" w:cs="Arial" w:eastAsia="Arial" w:hAnsi="Arial"/>
          <w:sz w:val="21"/>
          <w:szCs w:val="21"/>
        </w:rPr>
        <w:t xml:space="preserve">：所有分析均标注来源与证据等级，所有推断均明确标注为推断。</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学术严谨性声明</w:t>
      </w:r>
      <w:r>
        <w:rPr>
          <w:rFonts w:ascii="Arial" w:cs="Arial" w:eastAsia="Arial" w:hAnsi="Arial"/>
          <w:sz w:val="21"/>
          <w:szCs w:val="21"/>
        </w:rPr>
        <w:t xml:space="preserve">：引入的所有学术框架均标注其理论基础与适用限制。</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更新周期说明</w:t>
      </w:r>
      <w:r>
        <w:rPr>
          <w:rFonts w:ascii="Arial" w:cs="Arial" w:eastAsia="Arial" w:hAnsi="Arial"/>
          <w:sz w:val="21"/>
          <w:szCs w:val="21"/>
        </w:rPr>
        <w:t xml:space="preserve">：本报告的证据截止日期为2026年3月。随着新的关键事件或政策信号的出现，报告的相关分析应进行持续更新。</w:t>
      </w:r>
    </w:p>
    <w:p>
      <w:pPr>
        <w:spacing w:after="60"/>
      </w:pPr>
    </w:p>
    <w:p>
      <w:r>
        <w:br w:type="page"/>
      </w:r>
    </w:p>
    <w:p>
      <w:pPr>
        <w:pStyle w:val="Heading1"/>
        <w:spacing w:after="200" w:before="360"/>
      </w:pPr>
      <w:r>
        <w:rPr>
          <w:rFonts w:ascii="Arial" w:cs="Arial" w:eastAsia="Arial" w:hAnsi="Arial"/>
          <w:b/>
          <w:bCs/>
          <w:sz w:val="32"/>
          <w:szCs w:val="32"/>
        </w:rPr>
        <w:t xml:space="preserve">附录B：原始来源全文——厦大平潭研究院台情研究中心报告</w:t>
      </w: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台湾政治人物分析：萧美琴</w:t>
      </w:r>
      <w:r>
        <w:rPr>
          <w:rFonts w:ascii="Arial" w:cs="Arial" w:eastAsia="Arial" w:hAnsi="Arial"/>
          <w:sz w:val="21"/>
          <w:szCs w:val="21"/>
        </w:rPr>
        <w:t xml:space="preserve"/>
      </w:r>
    </w:p>
    <w:p>
      <w:pPr>
        <w:spacing w:after="60"/>
      </w:pPr>
    </w:p>
    <w:p>
      <w:pPr>
        <w:spacing w:after="120" w:line="300"/>
      </w:pPr>
      <w:r>
        <w:rPr>
          <w:rFonts w:ascii="Arial" w:cs="Arial" w:eastAsia="Arial" w:hAnsi="Arial"/>
          <w:sz w:val="21"/>
          <w:szCs w:val="21"/>
        </w:rPr>
        <w:t xml:space="preserve">萧美琴作为当前台湾政坛具有代表性的政治人物之一，其政治地位与功能性角色正在随着台湾内部权力结构的调整与外部战略环境的变化而持续上升。尤其是在民进党长期执政格局逐步成形、台湾对外战略重心明显向美倾斜的背景下，萧美琴已不再仅是传统意义上的"涉外事务官员"，而逐渐转化为连接台湾内部政治运作与外部战略资源的重要枢纽型人物。无论从党内权力结构、对美关系运作，还是从两岸关系的中长期走向观察，其个人政治轨迹与政策取向均具有较高的指标性意义。</w:t>
      </w:r>
    </w:p>
    <w:p>
      <w:pPr>
        <w:spacing w:after="60"/>
      </w:pPr>
    </w:p>
    <w:p>
      <w:pPr>
        <w:spacing w:after="120" w:line="300"/>
      </w:pPr>
      <w:r>
        <w:rPr>
          <w:rFonts w:ascii="Arial" w:cs="Arial" w:eastAsia="Arial" w:hAnsi="Arial"/>
          <w:sz w:val="21"/>
          <w:szCs w:val="21"/>
        </w:rPr>
        <w:t xml:space="preserve">从台湾内部政治来看，萧美琴的崛起体现出民进党权力结构的一种新变化，即"国际事务型政治人物"的地位显著上升。长期以来，台湾政治菁英多以地方治理经验、选举动员能力或派系整合能力作为权力晋升的重要路径，而萧美琴则主要凭借其涉外事务能力与对美沟通资源进入决策核心。这一现象在某种程度上反映出民进党在战略重心上的调整：当两岸关系持续紧张、安全议题主导政治议程时，能够有效对接美国政治体系、争取外部支持的政治人物，其战略价值明显提升。因而，萧美琴不仅是个人仕途成功的案例，更可被视为观察民进党执政逻辑转型的重要窗口。进一步而言，萧美琴在对美关系中的角色，使其成为影响台海局势的重要变量。驻美期间，她在推动美台高层互动、强化安全合作叙事以及提升台湾所谓"国际能见度"等方面表现活跃，被岛内舆论普遍视为民进党对美路线的重要执行者之一。相较于部分以意识形态动员见长的政治人物，萧美琴更倾向以专业化、制度化方式推进对外关系，其政治表达相对克制，但政策取向具有较强的连续性与稳定性。</w:t>
      </w:r>
    </w:p>
    <w:p>
      <w:pPr>
        <w:spacing w:after="60"/>
      </w:pPr>
    </w:p>
    <w:p>
      <w:pPr>
        <w:spacing w:after="120" w:line="300"/>
      </w:pPr>
      <w:r>
        <w:rPr>
          <w:rFonts w:ascii="Arial" w:cs="Arial" w:eastAsia="Arial" w:hAnsi="Arial"/>
          <w:sz w:val="21"/>
          <w:szCs w:val="21"/>
        </w:rPr>
        <w:t xml:space="preserve">基于上述背景，对萧美琴展开人物分析，至少具有三方面现实意义：其一，有助于研判民进党未来对外战略是否将进一步制度化与长期化；其二，有助于观察台湾政治菁英结构转变；其三，则有助于提前识别可能影响两岸关系走向的关键行为体，从而为政策评估与风险预判提供参考。</w:t>
      </w:r>
    </w:p>
    <w:p>
      <w:pPr>
        <w:spacing w:after="60"/>
      </w:pPr>
    </w:p>
    <w:p>
      <w:pPr>
        <w:spacing w:after="120" w:line="300"/>
      </w:pPr>
      <w:r>
        <w:rPr>
          <w:rFonts w:ascii="Arial" w:cs="Arial" w:eastAsia="Arial" w:hAnsi="Arial"/>
          <w:sz w:val="21"/>
          <w:szCs w:val="21"/>
        </w:rPr>
        <w:t xml:space="preserve">总体而言，萧美琴既是当前台湾政治结构变化的产物，也是可能进一步塑造该结构的重要参与者。随着其政治能见度持续提升，其未来角色无论是停留于功能性副手，还是迈向更高层级的权力位置，都将对台海局势产生不同程度的影响。因此，对其政治背景、权力网络、行为模式及战略取向进行系统梳理，不仅是深化对台研究的重要组成部分，也是提升前瞻性研判能力的必要路径。</w:t>
      </w:r>
    </w:p>
    <w:p>
      <w:pPr>
        <w:spacing w:after="60"/>
      </w:pP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一、基本情况与政治履历</w:t>
      </w:r>
      <w:r>
        <w:rPr>
          <w:rFonts w:ascii="Arial" w:cs="Arial" w:eastAsia="Arial" w:hAnsi="Arial"/>
          <w:sz w:val="21"/>
          <w:szCs w:val="21"/>
        </w:rPr>
        <w:t xml:space="preserve"/>
      </w:r>
    </w:p>
    <w:p>
      <w:pPr>
        <w:spacing w:after="60"/>
      </w:pPr>
    </w:p>
    <w:p>
      <w:pPr>
        <w:spacing w:after="120" w:line="300"/>
      </w:pPr>
      <w:r>
        <w:rPr>
          <w:rFonts w:ascii="Arial" w:cs="Arial" w:eastAsia="Arial" w:hAnsi="Arial"/>
          <w:sz w:val="21"/>
          <w:szCs w:val="21"/>
        </w:rPr>
        <w:t xml:space="preserve">+----------------------+----------------------+----------------------+</w:t>
      </w:r>
    </w:p>
    <w:p>
      <w:pPr>
        <w:spacing w:after="60"/>
      </w:pPr>
    </w:p>
    <w:p>
      <w:pPr>
        <w:spacing w:after="120" w:line="300"/>
      </w:pPr>
      <w:r>
        <w:rPr>
          <w:rFonts w:ascii="Arial" w:cs="Arial" w:eastAsia="Arial" w:hAnsi="Arial"/>
          <w:sz w:val="21"/>
          <w:szCs w:val="21"/>
        </w:rPr>
        <w:t xml:space="preserve">从个人背景来看，萧美琴1971年出生于日本神户，成长于台南。其家庭具有明显的跨文化特征，同时带有浓厚的宗教与本土政治色彩。其父亲萧清芬曾任台南神学院院长，在戒严时期，该校是台湾本土意识与政治庇护的重要据点，其父在"美丽岛事件"后保护师生及与当局周旋的经历，构成了她最早的政治启蒙。她的母亲邱碧玉（Peggy</w:t>
      </w:r>
    </w:p>
    <w:p>
      <w:pPr>
        <w:spacing w:after="120" w:line="300"/>
      </w:pPr>
      <w:r>
        <w:rPr>
          <w:rFonts w:ascii="Arial" w:cs="Arial" w:eastAsia="Arial" w:hAnsi="Arial"/>
          <w:sz w:val="21"/>
          <w:szCs w:val="21"/>
        </w:rPr>
        <w:t xml:space="preserve">Cooley）是美国音乐老师，家族背景可追溯至美国"五月花号"移民，这为萧美琴提供了天然的留美纽带与文化认同感。萧氏家族呈现出明显的"技术专家型"背景，而非传统的商业财阀。其父萧清芬一生致力于宗教教育与神学研究，其弟妹亦多在学术、艺术或专业技术领域发展，家族成员中并无从事大规模商业实体经营或介入特定产业垄断的记录。即便在萧美琴担任驻美代表期间，这种"非商背景"也成为了她对外游说时的政治资本，使其能以"国家安全"及"民主供应链"为名，推动台积电等半导体巨头赴美投资，而不易被外界质疑为家族私利驱动。这种从宗教信仰衍生出的"使命感"与西方"专业主义"的结合，使其在处理复杂的政商协同议题（如半导体外溢）时，展现出极强的政策包装能力与政治防御韧性。</w:t>
      </w:r>
    </w:p>
    <w:p>
      <w:pPr>
        <w:spacing w:after="60"/>
      </w:pPr>
    </w:p>
    <w:p>
      <w:pPr>
        <w:spacing w:after="120" w:line="300"/>
      </w:pPr>
      <w:r>
        <w:rPr>
          <w:rFonts w:ascii="Arial" w:cs="Arial" w:eastAsia="Arial" w:hAnsi="Arial"/>
          <w:sz w:val="21"/>
          <w:szCs w:val="21"/>
        </w:rPr>
        <w:t xml:space="preserve">![](media/image2.png){width="6.141666666666667in"</w:t>
      </w:r>
    </w:p>
    <w:p>
      <w:pPr>
        <w:spacing w:after="120" w:line="300"/>
      </w:pPr>
      <w:r>
        <w:rPr>
          <w:rFonts w:ascii="Arial" w:cs="Arial" w:eastAsia="Arial" w:hAnsi="Arial"/>
          <w:sz w:val="21"/>
          <w:szCs w:val="21"/>
        </w:rPr>
        <w:t xml:space="preserve">height="4.061805555555556in"}</w:t>
      </w:r>
    </w:p>
    <w:p>
      <w:pPr>
        <w:spacing w:after="60"/>
      </w:pPr>
    </w:p>
    <w:p>
      <w:pPr>
        <w:spacing w:after="120" w:line="300"/>
      </w:pPr>
      <w:r>
        <w:rPr>
          <w:rFonts w:ascii="Arial" w:cs="Arial" w:eastAsia="Arial" w:hAnsi="Arial"/>
          <w:sz w:val="21"/>
          <w:szCs w:val="21"/>
        </w:rPr>
        <w:t xml:space="preserve">在台湾求学期间，萧美琴就读于省立台南师专附小及后甲国中。这段"府城"成长经历赋予了她熟练的台语能力及所谓的"超台味"特征。在后甲国中时期，她不仅因混血外貌受到关注，更因优异成绩保送台南女中，但在随即而来的赴美潮中选择随家移居。这段青少年时期的"关系网"对其日后经营地方政治、稀释其"洋派"标签起到了关键作用。步入政坛早期，她在纽约求学期间结识了时任民进党国际事务部主任的陈文茜。陈文茜因看中其跨文化沟通能力，将其引荐进入民进党外交体系，使其在二十几岁的年纪便得以出任民进党国际事务部主任，并担任陈水扁的随身翻译与顾问，完成了从技术官僚向政治核心圈的跃升。</w:t>
      </w:r>
    </w:p>
    <w:p>
      <w:pPr>
        <w:spacing w:after="60"/>
      </w:pPr>
    </w:p>
    <w:p>
      <w:pPr>
        <w:spacing w:after="120" w:line="300"/>
      </w:pPr>
      <w:r>
        <w:rPr>
          <w:rFonts w:ascii="Arial" w:cs="Arial" w:eastAsia="Arial" w:hAnsi="Arial"/>
          <w:sz w:val="21"/>
          <w:szCs w:val="21"/>
        </w:rPr>
        <w:t xml:space="preserve">![](media/image3.png){width="5.116666666666666in"</w:t>
      </w:r>
    </w:p>
    <w:p>
      <w:pPr>
        <w:spacing w:after="120" w:line="300"/>
      </w:pPr>
      <w:r>
        <w:rPr>
          <w:rFonts w:ascii="Arial" w:cs="Arial" w:eastAsia="Arial" w:hAnsi="Arial"/>
          <w:sz w:val="21"/>
          <w:szCs w:val="21"/>
        </w:rPr>
        <w:t xml:space="preserve">height="2.8886832895888013in"}</w:t>
      </w:r>
    </w:p>
    <w:p>
      <w:pPr>
        <w:spacing w:after="60"/>
      </w:pPr>
    </w:p>
    <w:p>
      <w:pPr>
        <w:spacing w:after="120" w:line="300"/>
      </w:pPr>
      <w:r>
        <w:rPr>
          <w:rFonts w:ascii="Arial" w:cs="Arial" w:eastAsia="Arial" w:hAnsi="Arial"/>
          <w:sz w:val="21"/>
          <w:szCs w:val="21"/>
        </w:rPr>
        <w:t xml:space="preserve">在教育经历方面，萧美琴先后就读于美国欧柏林学院与哥伦比亚大学，主修政治学及国际关系相关领域。系统的西方政治学训练，使其在政策论述与对外沟通中呈现出较强的专业化特征，也使其能够在跨文化政治语境中进行较为有效的议题转换与叙事建构。从政治社会化路径观察，其并非典型的基层动员型政治人物，而更接近政策导向与理念导向并重的技术型政治精英。20世纪90年代中期，萧美琴即开始参与民进党涉外事务工作，逐步进入党内国际事务网络，这一阶段可视为其政治生涯的起点。</w:t>
      </w:r>
    </w:p>
    <w:p>
      <w:pPr>
        <w:spacing w:after="60"/>
      </w:pPr>
    </w:p>
    <w:p>
      <w:pPr>
        <w:spacing w:after="120" w:line="300"/>
      </w:pPr>
      <w:r>
        <w:rPr>
          <w:rFonts w:ascii="Arial" w:cs="Arial" w:eastAsia="Arial" w:hAnsi="Arial"/>
          <w:sz w:val="21"/>
          <w:szCs w:val="21"/>
        </w:rPr>
        <w:t xml:space="preserve">在政治生涯演进方面，萧美琴较早即与民进党核心政治人物建立联系，并在党内涉外体系中积累经验。她长期被视为与民进党执政团队关系密切的政治人物之一，其派系色彩虽不如部分传统派系成员鲜明，但总体被认为与党内主流路线保持高度一致。进入21世纪后，萧美琴多次担任立法机构民意代表，逐步提升政治能见度。在立法机构任内，她较为关注对外关系、经贸合作、人权议题以及安全事务等领域，整体政策取向呈现出较强的国际化导向。与部分以地方服务与选举动员见长的民意代表不同，她更强调价值叙事与制度合作，显示出明显的涉外事务型政治人物特征。</w:t>
      </w:r>
    </w:p>
    <w:p>
      <w:pPr>
        <w:spacing w:after="60"/>
      </w:pPr>
    </w:p>
    <w:p>
      <w:pPr>
        <w:spacing w:after="120" w:line="300"/>
      </w:pPr>
      <w:r>
        <w:rPr>
          <w:rFonts w:ascii="Arial" w:cs="Arial" w:eastAsia="Arial" w:hAnsi="Arial"/>
          <w:sz w:val="21"/>
          <w:szCs w:val="21"/>
        </w:rPr>
        <w:t xml:space="preserve">其政治生涯的重要转折点出现在担任台湾驻美代表时期。任内，萧美琴持续强化与美国行政与立法系统的沟通，积极推动所谓"价值伙伴关系"叙事，并在多个议题上配合民进党当局对外战略调整。外界普遍认为，她在提升美台互动层级、推动安全合作讨论以及扩大台湾所谓"国际参与空间"等方面发挥了较为积极的作用。更为重要的是，其对美沟通风格相对稳健，既避免过度情绪化表达，又能够在关键议题上保持政策连续性，这使其在美国政策圈获得一定程度的信任。由此可见，其权力资源并不仅来源于党内授权，也部分来自对外关系所形成的战略增值。</w:t>
      </w:r>
    </w:p>
    <w:p>
      <w:pPr>
        <w:spacing w:after="60"/>
      </w:pPr>
    </w:p>
    <w:p>
      <w:pPr>
        <w:spacing w:after="120" w:line="300"/>
      </w:pPr>
      <w:r>
        <w:rPr>
          <w:rFonts w:ascii="Arial" w:cs="Arial" w:eastAsia="Arial" w:hAnsi="Arial"/>
          <w:sz w:val="21"/>
          <w:szCs w:val="21"/>
        </w:rPr>
        <w:t xml:space="preserve">2024年，萧美琴当选台湾地区副领导人，标志着其政治地位进一步制度化。与传统意义上偏重礼仪或协调功能的副手不同，她被普遍视为在安全与对外事务领域具备实际影响力的政治人物。从角色变化看，其由过去的"对外事务执行者"逐渐转向兼具政策参与与战略协同功能的高层决策成员。在民进党持续强调对外联结与安全议题的重要背景下，具备丰富国际事务经验的副手，有助于增强执政团队在涉外政策上的稳定性与延续性。</w:t>
      </w:r>
    </w:p>
    <w:p>
      <w:pPr>
        <w:spacing w:after="60"/>
      </w:pPr>
    </w:p>
    <w:p>
      <w:pPr>
        <w:spacing w:after="120" w:line="300"/>
      </w:pPr>
      <w:r>
        <w:rPr>
          <w:rFonts w:ascii="Arial" w:cs="Arial" w:eastAsia="Arial" w:hAnsi="Arial"/>
          <w:sz w:val="21"/>
          <w:szCs w:val="21"/>
        </w:rPr>
        <w:t xml:space="preserve">总体而言，萧美琴的权力上升路径呈现出较为典型的"专业能力---涉外资源---制度化职位"递进逻辑。其并非依赖传统地方派系或强势选举动员能力进入权力核心，而是凭借对外事务专长与跨文化沟通优势逐步获得党内信任。此种路径在台湾政治人物中具有一定特殊性，也反映出当前台湾政治精英结构正在发生某种程度的转型。随着两岸关系与中美战略竞争的联动性不断增强，类似萧美琴这样兼具党内基础与对外资源的政治人物，其政策取向及行为模式，可能在未来相当一段时期内持续对台湾政治走向及区域互动格局产生影响。</w:t>
      </w:r>
    </w:p>
    <w:p>
      <w:pPr>
        <w:spacing w:after="60"/>
      </w:pP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二、萧美琴的派系属性与权力网络</w:t>
      </w:r>
      <w:r>
        <w:rPr>
          <w:rFonts w:ascii="Arial" w:cs="Arial" w:eastAsia="Arial" w:hAnsi="Arial"/>
          <w:sz w:val="21"/>
          <w:szCs w:val="21"/>
        </w:rPr>
        <w:t xml:space="preserve"/>
      </w:r>
    </w:p>
    <w:p>
      <w:pPr>
        <w:spacing w:after="60"/>
      </w:pPr>
    </w:p>
    <w:p>
      <w:pPr>
        <w:spacing w:after="120" w:line="300"/>
      </w:pPr>
      <w:r>
        <w:rPr>
          <w:rFonts w:ascii="Arial" w:cs="Arial" w:eastAsia="Arial" w:hAnsi="Arial"/>
          <w:sz w:val="21"/>
          <w:szCs w:val="21"/>
        </w:rPr>
        <w:t xml:space="preserve">![](media/image4.png){width="6.141666666666667in"</w:t>
      </w:r>
    </w:p>
    <w:p>
      <w:pPr>
        <w:spacing w:after="120" w:line="300"/>
      </w:pPr>
      <w:r>
        <w:rPr>
          <w:rFonts w:ascii="Arial" w:cs="Arial" w:eastAsia="Arial" w:hAnsi="Arial"/>
          <w:sz w:val="21"/>
          <w:szCs w:val="21"/>
        </w:rPr>
        <w:t xml:space="preserve">height="3.8583333333333334in"}</w:t>
      </w:r>
    </w:p>
    <w:p>
      <w:pPr>
        <w:spacing w:after="60"/>
      </w:pPr>
    </w:p>
    <w:p>
      <w:pPr>
        <w:spacing w:after="120" w:line="300"/>
      </w:pPr>
      <w:r>
        <w:rPr>
          <w:rFonts w:ascii="Arial" w:cs="Arial" w:eastAsia="Arial" w:hAnsi="Arial"/>
          <w:sz w:val="21"/>
          <w:szCs w:val="21"/>
        </w:rPr>
        <w:t xml:space="preserve">萧美琴在民进党内部的权力结构中，长期被视为兼具专业能力与对外资源的政治人物，其派系属性虽不高度外显，但政治依附关系与支持网络相对清晰。总体来看，她既非典型依托地方派系成长的政治人物，也不完全属于传统党务体系出身，而是通过涉外事务能力逐步进入权力核心。这一上升路径，使其在党内权力格局中呈现出一定的"功能型核心成员"特征。</w:t>
      </w:r>
    </w:p>
    <w:p>
      <w:pPr>
        <w:spacing w:after="60"/>
      </w:pPr>
    </w:p>
    <w:p>
      <w:pPr>
        <w:spacing w:after="120" w:line="300"/>
      </w:pPr>
      <w:r>
        <w:rPr>
          <w:rFonts w:ascii="Arial" w:cs="Arial" w:eastAsia="Arial" w:hAnsi="Arial"/>
          <w:sz w:val="21"/>
          <w:szCs w:val="21"/>
        </w:rPr>
        <w:t xml:space="preserve">从党内派系定位观察，萧美琴普遍被归入"英系"政治网络。她与蔡英文的政治关系可追溯至较早时期，在蔡英文推动民进党政策转型与强化国际路线的过程中，萧美琴发挥了重要辅助作用。尤其是在涉美事务上，蔡英文对其信任度较高，多次将其置于关键岗位，这种持续性的政治任用，表明双方关系并非单纯的阶段性合作，而更接近于建立在理念一致与能力认可基础上的长期信任。相较于部分依靠派系动员获取政治资源的政治人物，萧美琴的权力基础在相当程度上来源于核心领导层的直接授权，这也使其能够在党内竞争中保持相对稳定的位置。不过，从严格意义上看，萧美琴并不属于"英系"的组织型操盘人物，而更接近该政治网络中的专业技术官僚型成员。她较少直接介入党内派系博弈，也未形成以个人为中心的派系力量，这既降低了其在党内冲突中的可见度，也在一定程度上限制了其独立动员能力。因此，一旦党内权力结构出现显著调整，其政治空间仍可能受到影响。</w:t>
      </w:r>
    </w:p>
    <w:p>
      <w:pPr>
        <w:spacing w:after="60"/>
      </w:pPr>
    </w:p>
    <w:p>
      <w:pPr>
        <w:spacing w:after="120" w:line="300"/>
      </w:pPr>
      <w:r>
        <w:rPr>
          <w:rFonts w:ascii="Arial" w:cs="Arial" w:eastAsia="Arial" w:hAnsi="Arial"/>
          <w:sz w:val="21"/>
          <w:szCs w:val="21"/>
        </w:rPr>
        <w:t xml:space="preserve">在与其他主要派系的关系方面，萧美琴总体采取低冲突策略。她与新潮流系虽无明显组织重叠，但在若干政策议题上保持合作关系。新潮流系作为民进党内部组织化程度较高、动员能力较强的派系，更重视党务与选举布局，而萧美琴则偏重国际事务，两者在功能上具有一定互补性。与正国会等派系相比，她的互动更多体现为务实合作而非深度政治结盟。换言之，她在党内的派系关系呈现出"弱依附、广连接"的特征，这种结构有助于降低政治阻力，但也意味着其权力安全在较大程度上依赖执政核心的支持。</w:t>
      </w:r>
    </w:p>
    <w:p>
      <w:pPr>
        <w:spacing w:after="60"/>
      </w:pPr>
    </w:p>
    <w:p>
      <w:pPr>
        <w:spacing w:after="120" w:line="300"/>
      </w:pPr>
      <w:r>
        <w:rPr>
          <w:rFonts w:ascii="Arial" w:cs="Arial" w:eastAsia="Arial" w:hAnsi="Arial"/>
          <w:sz w:val="21"/>
          <w:szCs w:val="21"/>
        </w:rPr>
        <w:t xml:space="preserve">从可替代性角度分析，萧美琴在涉外事务领域仍具有一定稀缺性。民进党内部虽不乏具备国际视野的政治人物，但同时兼具英语沟通能力、美国政治网络与政策表达能力者并不多见。尤其是在对美关系成为台湾安全战略关键支柱的背景下，此类人才的战略价值显著上升。因此，短期内她在</w:t>
      </w:r>
      <w:r>
        <w:rPr>
          <w:rFonts w:ascii="Arial" w:cs="Arial" w:eastAsia="Arial" w:hAnsi="Arial"/>
          <w:b/>
          <w:bCs/>
          <w:sz w:val="21"/>
          <w:szCs w:val="21"/>
        </w:rPr>
        <w:t xml:space="preserve">"对美沟通关键节点"</w:t>
      </w:r>
      <w:r>
        <w:rPr>
          <w:rFonts w:ascii="Arial" w:cs="Arial" w:eastAsia="Arial" w:hAnsi="Arial"/>
          <w:sz w:val="21"/>
          <w:szCs w:val="21"/>
        </w:rPr>
        <w:t xml:space="preserve">这一角色上具有较低可替代性。然而，从长期看，随着民进党加大对涉外人才的培养，其独特优势可能被逐步稀释。</w:t>
      </w:r>
    </w:p>
    <w:p>
      <w:pPr>
        <w:spacing w:after="60"/>
      </w:pPr>
    </w:p>
    <w:p>
      <w:pPr>
        <w:spacing w:after="120" w:line="300"/>
      </w:pPr>
      <w:r>
        <w:rPr>
          <w:rFonts w:ascii="Arial" w:cs="Arial" w:eastAsia="Arial" w:hAnsi="Arial"/>
          <w:sz w:val="21"/>
          <w:szCs w:val="21"/>
        </w:rPr>
        <w:t xml:space="preserve">在政治盟友与支持群体方面，蔡英文无疑是其最重要的政治支持者。两人之间既存在政策理念上的契合，也形成了较为稳固的政治信任关系。某种程度上，萧美琴可被视为蔡英文"对外路线"的延伸执行者之一。不过，这种紧密联系也带来路径依赖风险：当"英系"影响力随权力更迭而下降时，其政治定位亦可能面临再调整。</w:t>
      </w:r>
    </w:p>
    <w:p>
      <w:pPr>
        <w:spacing w:after="60"/>
      </w:pPr>
    </w:p>
    <w:p>
      <w:pPr>
        <w:spacing w:after="120" w:line="300"/>
      </w:pPr>
      <w:r>
        <w:rPr>
          <w:rFonts w:ascii="Arial" w:cs="Arial" w:eastAsia="Arial" w:hAnsi="Arial"/>
          <w:sz w:val="21"/>
          <w:szCs w:val="21"/>
        </w:rPr>
        <w:t xml:space="preserve">与赖清德的互动则呈现出务实合作的特点。赖清德政治基础更偏向党内传统动员体系，其政治风格与萧美琴存在差异，但在当前执政框架下，双方仍需要维持政策协同。萧美琴的存在，在一定程度上有助于平衡执政团队在国际事务与安全议题上的专业能力，因此其角色具有功能性价值。需要注意的是，她既非赖清德政治班底的核心成员，也未表现出明显的竞争姿态，这使其短期内更可能扮演"协同型副手"，而非权力挑战者。</w:t>
      </w:r>
    </w:p>
    <w:p>
      <w:pPr>
        <w:spacing w:after="60"/>
      </w:pPr>
    </w:p>
    <w:p>
      <w:pPr>
        <w:spacing w:after="120" w:line="300"/>
      </w:pPr>
      <w:r>
        <w:rPr>
          <w:rFonts w:ascii="Arial" w:cs="Arial" w:eastAsia="Arial" w:hAnsi="Arial"/>
          <w:sz w:val="21"/>
          <w:szCs w:val="21"/>
        </w:rPr>
        <w:t xml:space="preserve">在党内青年群体与所谓"国际派"中，萧美琴具有一定象征意义。她的成长经历与专业背景契合民进党近年来试图塑造的"全球化政治精英"形象，对年轻支持者具有一定吸引力。同时，其相对理性克制的表达方式，也有助于缓和外界对民进党意识形态色彩过强的观感。因此，在政治形象层面，她兼具专业性与现代性，这种符号价值在选举政治中具有潜在作用。</w:t>
      </w:r>
    </w:p>
    <w:p>
      <w:pPr>
        <w:spacing w:after="60"/>
      </w:pPr>
    </w:p>
    <w:p>
      <w:pPr>
        <w:spacing w:after="120" w:line="300"/>
      </w:pPr>
      <w:r>
        <w:rPr>
          <w:rFonts w:ascii="Arial" w:cs="Arial" w:eastAsia="Arial" w:hAnsi="Arial"/>
          <w:sz w:val="21"/>
          <w:szCs w:val="21"/>
        </w:rPr>
        <w:t xml:space="preserve">就外部支持网络而言，萧美琴最突出的资源集中于美国政治体系。长期从事对美沟通，使其在国会幕僚系统、政策研究机构及部分智库中建立了较为稳定的人脉关系。虽然这种网络未必等同于直接政治支持，但在政策解释、议题塑造与舆论沟通方面具有现实效用。此外，她熟悉美国政策运作逻辑，能够以美方较易接受的话语体系进行政策表达，这显著提升了其对外游说能力。从结构上看，这类资源不仅增强了其个人政治价值，也在客观上提高了执政当局推进对美合作时的操作效率。</w:t>
      </w:r>
    </w:p>
    <w:p>
      <w:pPr>
        <w:spacing w:after="60"/>
      </w:pPr>
    </w:p>
    <w:p>
      <w:pPr>
        <w:spacing w:after="120" w:line="300"/>
      </w:pPr>
      <w:r>
        <w:rPr>
          <w:rFonts w:ascii="Arial" w:cs="Arial" w:eastAsia="Arial" w:hAnsi="Arial"/>
          <w:sz w:val="21"/>
          <w:szCs w:val="21"/>
        </w:rPr>
        <w:t xml:space="preserve">综合研判，萧美琴的权力来源呈现出"党内授权"与"外部资源"相互叠加的双重特征。党内高层的持续信任为其提供制度性平台，而对美关系所形成的战略增值，则进一步强化了其不可替代性。两者相互支撑，使其在当前权力结构中保持相对稳固的位置。至于未来政治发展潜力，萧美琴具备进入更高权力层级的若干条件，包括较高的政治能见度、稳定的精英形象以及跨派系可接受度。然而，其弱派系化特征也意味着，一旦缺乏核心领导人支持，其独立竞争能力仍有待观察。因此，更为现实的判断是：中短期内，她仍将主要作为执政团队中负责国际与安全事务的重要支点存在，而是否具备"接班型政治人物"的条件，则取决于其能否在未来建立更具自主性的政治基础。总体而言，萧美琴既是当前民进党权力结构的重要功能节点，也是值得持续跟踪的潜在上升型政治人物。</w:t>
      </w:r>
    </w:p>
    <w:p>
      <w:pPr>
        <w:spacing w:after="60"/>
      </w:pP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三、萧美琴的政治立场与意识形态特征</w:t>
      </w:r>
      <w:r>
        <w:rPr>
          <w:rFonts w:ascii="Arial" w:cs="Arial" w:eastAsia="Arial" w:hAnsi="Arial"/>
          <w:sz w:val="21"/>
          <w:szCs w:val="21"/>
        </w:rPr>
        <w:t xml:space="preserve"/>
      </w:r>
    </w:p>
    <w:p>
      <w:pPr>
        <w:spacing w:after="60"/>
      </w:pPr>
    </w:p>
    <w:p>
      <w:pPr>
        <w:spacing w:after="120" w:line="300"/>
      </w:pPr>
      <w:r>
        <w:rPr>
          <w:rFonts w:ascii="Arial" w:cs="Arial" w:eastAsia="Arial" w:hAnsi="Arial"/>
          <w:sz w:val="21"/>
          <w:szCs w:val="21"/>
        </w:rPr>
        <w:t xml:space="preserve">萧美琴在民进党内部虽不以激进表述著称，但在涉及"主权"、安全与"对外战略"等核心议题上，其立场具有较强的一致性与方向性，呈现出"表达审慎---政策坚定"的典型特征。在两岸立场方面，萧美琴长期与民进党主流路线保持高度一致。她较少直接使用具有强烈对抗意味的"法理台独"语言，但在政治实践中更接近所谓"渐进式台独"的政策逻辑。这一路径可追溯至1996年台海危机期间，时任民进党驻美代表处助理的萧美琴便确立了"两岸问题国际化"的战略基调，主张通过强化台湾主体性、扩大国际参与、深化与西方国家关系，在不正式改变法理结构的前提下持续推动"事实独立"的外部认知基础。这种路径强调"去中国化"的结构性推进，而非一次性制度突破，因而在国际社会更具操作空间，也更容易降低外部阻力。2022年佩洛西访台引发台海局势剧烈震荡，萧美琴因深度参与其中而被大陆方面列入"台独"顽固分子清单。这一标志性事件体现了她如何利用美方高层访台作为筹码，在不触动正式法理变更的前提下，持续拉高美台互动的政治位阶。</w:t>
      </w:r>
    </w:p>
    <w:p>
      <w:pPr>
        <w:spacing w:after="60"/>
      </w:pPr>
    </w:p>
    <w:p>
      <w:pPr>
        <w:spacing w:after="120" w:line="300"/>
      </w:pPr>
      <w:r>
        <w:rPr>
          <w:rFonts w:ascii="Arial" w:cs="Arial" w:eastAsia="Arial" w:hAnsi="Arial"/>
          <w:sz w:val="21"/>
          <w:szCs w:val="21"/>
        </w:rPr>
        <w:t xml:space="preserve">对于"中华民国框架"，萧美琴基本延续民进党近年来的策略性运用方式，即将其视为一种可供国际沟通的政治符号，而非需要强化的"国家认同"基础。换言之，"中华民国"更多被工具化为维持现状与争取国际支持的合法性资源，而不是政治认同的最终归归宿。这种态度既避免触发高烈度冲突，也为政策弹性留下空间。在九二共识问题上，萧美琴长期持否定立场，倾向于将其界定为"缺乏社会共识的政治主张"，并与"一中原则"进行绑定式批评。从其公开表述看，她更强调"台湾民主共识"与"民意授权"，试图以内部合法性对冲两岸政治基础问题。这种论述方式本质上是在重构两岸对话的前提条件，将政治基础由"历史性共识"转向"现实民意"，从而削弱九二共识的话语约束力。她在花莲基层深耕十年的经历，使其擅长将宏大的政治话语转化为"生存安全"的在地叙事，从而在岛内建立起抗拒两岸融合的心理防线。这种论述方式在2025年她接受美媒《Shawn</w:t>
      </w:r>
    </w:p>
    <w:p>
      <w:pPr>
        <w:spacing w:after="120" w:line="300"/>
      </w:pPr>
      <w:r>
        <w:rPr>
          <w:rFonts w:ascii="Arial" w:cs="Arial" w:eastAsia="Arial" w:hAnsi="Arial"/>
          <w:sz w:val="21"/>
          <w:szCs w:val="21"/>
        </w:rPr>
        <w:t xml:space="preserve">Ryan</w:t>
      </w:r>
    </w:p>
    <w:p>
      <w:pPr>
        <w:spacing w:after="120" w:line="300"/>
      </w:pPr>
      <w:r>
        <w:rPr>
          <w:rFonts w:ascii="Arial" w:cs="Arial" w:eastAsia="Arial" w:hAnsi="Arial"/>
          <w:sz w:val="21"/>
          <w:szCs w:val="21"/>
        </w:rPr>
        <w:t xml:space="preserve">Show》专访时得到延续，她提出台湾所做的一切都是为了"提高侵略代价"并"影响对岸决策"，试图将两岸关系的性质从历史法理转向现实的利益博弈。</w:t>
      </w:r>
    </w:p>
    <w:p>
      <w:pPr>
        <w:spacing w:after="60"/>
      </w:pPr>
    </w:p>
    <w:p>
      <w:pPr>
        <w:spacing w:after="120" w:line="300"/>
      </w:pPr>
      <w:r>
        <w:rPr>
          <w:rFonts w:ascii="Arial" w:cs="Arial" w:eastAsia="Arial" w:hAnsi="Arial"/>
          <w:sz w:val="21"/>
          <w:szCs w:val="21"/>
        </w:rPr>
        <w:t xml:space="preserve">![](media/image5.png){width="6.094600831146106in"</w:t>
      </w:r>
    </w:p>
    <w:p>
      <w:pPr>
        <w:spacing w:after="120" w:line="300"/>
      </w:pPr>
      <w:r>
        <w:rPr>
          <w:rFonts w:ascii="Arial" w:cs="Arial" w:eastAsia="Arial" w:hAnsi="Arial"/>
          <w:sz w:val="21"/>
          <w:szCs w:val="21"/>
        </w:rPr>
        <w:t xml:space="preserve">height="3.3025437445319334in"}</w:t>
      </w:r>
    </w:p>
    <w:p>
      <w:pPr>
        <w:spacing w:after="60"/>
      </w:pPr>
    </w:p>
    <w:p>
      <w:pPr>
        <w:spacing w:after="120" w:line="300"/>
      </w:pPr>
      <w:r>
        <w:rPr>
          <w:rFonts w:ascii="Arial" w:cs="Arial" w:eastAsia="Arial" w:hAnsi="Arial"/>
          <w:sz w:val="21"/>
          <w:szCs w:val="21"/>
        </w:rPr>
        <w:t xml:space="preserve">在对美关系定位上，萧美琴的政策取向尤为突出。长期驻美经历不仅塑造了其政策认知，也使其成为民进党内部最具对美沟通能力的政治人物之一。她所推动的并非单纯的"友美"，而是更接近"倚美强化安全"的战略路径。她自诩为"战猫"，强调在狭缝中通过灵活性实现生存，并将台美关系由传统的非官方合作逐步推向具有准同盟特征的结构性关系。萧美琴与美、英政坛的高层人脉交往极深。在华府期间，她将具有高度政治象征意义的官邸"双橡园"转化为极具个人特色的社交舞台，通过"凤梨酥外交"与"珍珠奶茶外交"深度经营私交。她的核心圈不仅包括美国民主党参议员达克沃丝（Tammy</w:t>
      </w:r>
    </w:p>
    <w:p>
      <w:pPr>
        <w:spacing w:after="120" w:line="300"/>
      </w:pPr>
      <w:r>
        <w:rPr>
          <w:rFonts w:ascii="Arial" w:cs="Arial" w:eastAsia="Arial" w:hAnsi="Arial"/>
          <w:sz w:val="21"/>
          <w:szCs w:val="21"/>
        </w:rPr>
        <w:t xml:space="preserve">Duckworth）------两人私交甚笃，达克沃丝在2021年台湾疫情期间亲自访台宣布捐赠疫苗，萧美琴正是该行动在华府的"幕后操盘手"；也包括共和党参议员苏利文（Dan</w:t>
      </w:r>
    </w:p>
    <w:p>
      <w:pPr>
        <w:spacing w:after="120" w:line="300"/>
      </w:pPr>
      <w:r>
        <w:rPr>
          <w:rFonts w:ascii="Arial" w:cs="Arial" w:eastAsia="Arial" w:hAnsi="Arial"/>
          <w:sz w:val="21"/>
          <w:szCs w:val="21"/>
        </w:rPr>
        <w:t xml:space="preserve">Sullivan），双方在战略沟通上保持高度默契。此外，萧美琴与前国务卿蓬佩奥（Mike</w:t>
      </w:r>
    </w:p>
    <w:p>
      <w:pPr>
        <w:spacing w:after="120" w:line="300"/>
      </w:pPr>
      <w:r>
        <w:rPr>
          <w:rFonts w:ascii="Arial" w:cs="Arial" w:eastAsia="Arial" w:hAnsi="Arial"/>
          <w:sz w:val="21"/>
          <w:szCs w:val="21"/>
        </w:rPr>
        <w:t xml:space="preserve">Pompeo）也建立了稳固的私人联系，2021年3月，她邀请卸任后的蓬佩奥在双橡园餐叙，这种"即使不在位也要维持高频互动"的社交策略，为她赢得了华府跨党派的信任。</w:t>
      </w:r>
    </w:p>
    <w:p>
      <w:pPr>
        <w:spacing w:after="60"/>
      </w:pPr>
    </w:p>
    <w:p>
      <w:pPr>
        <w:spacing w:after="120" w:line="300"/>
      </w:pPr>
      <w:r>
        <w:rPr>
          <w:rFonts w:ascii="Arial" w:cs="Arial" w:eastAsia="Arial" w:hAnsi="Arial"/>
          <w:sz w:val="21"/>
          <w:szCs w:val="21"/>
        </w:rPr>
        <w:t xml:space="preserve">这种私交的能量在关键时刻往往转化为实质性的政策突破。2023年，萧美琴被拍摄到步入众议院议长麦卡锡（Kevin</w:t>
      </w:r>
    </w:p>
    <w:p>
      <w:pPr>
        <w:spacing w:after="120" w:line="300"/>
      </w:pPr>
      <w:r>
        <w:rPr>
          <w:rFonts w:ascii="Arial" w:cs="Arial" w:eastAsia="Arial" w:hAnsi="Arial"/>
          <w:sz w:val="21"/>
          <w:szCs w:val="21"/>
        </w:rPr>
        <w:t xml:space="preserve">McCarthy）办公室进行闭门会晤，直接促成了随后蔡英文与麦卡锡在加州的"蔡麦会"。在拜登政府内部，她与白宫国家安全委员会印太事务协调员库尔特·坎贝尔（Kurt</w:t>
      </w:r>
    </w:p>
    <w:p>
      <w:pPr>
        <w:spacing w:after="120" w:line="300"/>
      </w:pPr>
      <w:r>
        <w:rPr>
          <w:rFonts w:ascii="Arial" w:cs="Arial" w:eastAsia="Arial" w:hAnsi="Arial"/>
          <w:sz w:val="21"/>
          <w:szCs w:val="21"/>
        </w:rPr>
        <w:t xml:space="preserve">Campbell）等核心智囊也保持着极其顺畅的沟通渠道，这使得她能精准捕捉华府的政策脉搏。更具象征意义的是，2021年她打破1979年以来的惯例，正式受邀出席拜登总统的就职典礼，这一举动虽然在岛内引发了关于"自拍观礼"的舆论争议，但在专业研判层面，这反映了美方通过这种"半公开的私人礼遇"，给予了她超越一般外交代表的政治信任。</w:t>
      </w:r>
    </w:p>
    <w:p>
      <w:pPr>
        <w:spacing w:after="60"/>
      </w:pPr>
    </w:p>
    <w:p>
      <w:pPr>
        <w:spacing w:after="120" w:line="300"/>
      </w:pPr>
      <w:r>
        <w:rPr>
          <w:rFonts w:ascii="Arial" w:cs="Arial" w:eastAsia="Arial" w:hAnsi="Arial"/>
          <w:sz w:val="21"/>
          <w:szCs w:val="21"/>
        </w:rPr>
        <w:t xml:space="preserve">![](media/image6.png){width="5.825694444444444in" height="2.875in"}</w:t>
      </w:r>
    </w:p>
    <w:p>
      <w:pPr>
        <w:spacing w:after="60"/>
      </w:pPr>
    </w:p>
    <w:p>
      <w:pPr>
        <w:spacing w:after="120" w:line="300"/>
      </w:pPr>
      <w:r>
        <w:rPr>
          <w:rFonts w:ascii="Arial" w:cs="Arial" w:eastAsia="Arial" w:hAnsi="Arial"/>
          <w:sz w:val="21"/>
          <w:szCs w:val="21"/>
        </w:rPr>
        <w:t xml:space="preserve">在欧洲方面，萧美琴的布局同样深具战略针对性，她极力将台湾嵌入欧洲的"战略自主"议程中。她与英国政坛的跨党派力量建立了紧密的协作关系，其中与英国影子商业及贸易大臣格里菲斯（Andrew</w:t>
      </w:r>
    </w:p>
    <w:p>
      <w:pPr>
        <w:spacing w:after="120" w:line="300"/>
      </w:pPr>
      <w:r>
        <w:rPr>
          <w:rFonts w:ascii="Arial" w:cs="Arial" w:eastAsia="Arial" w:hAnsi="Arial"/>
          <w:sz w:val="21"/>
          <w:szCs w:val="21"/>
        </w:rPr>
        <w:t xml:space="preserve">Griffith）的互动尤为显著。2025年9月，萧美琴在台北接见了由格里菲斯率领的英国保守党代表团，双方对话的核心不仅限于传统的经贸往来，更延伸至人工智能、数字贸易及空间技术等前沿领域。萧美琴在会谈中精准地将英台关系定义为"去风险化"背景下的关键伙伴，力促双方在2023年签署的《提升贸易伙伴关系协议》（ETP）基础上，实现半导体与能源供应链的实质性对接。除格里菲斯外，她与英国前安全事务大臣图根哈特（Tom</w:t>
      </w:r>
    </w:p>
    <w:p>
      <w:pPr>
        <w:spacing w:after="120" w:line="300"/>
      </w:pPr>
      <w:r>
        <w:rPr>
          <w:rFonts w:ascii="Arial" w:cs="Arial" w:eastAsia="Arial" w:hAnsi="Arial"/>
          <w:sz w:val="21"/>
          <w:szCs w:val="21"/>
        </w:rPr>
        <w:t xml:space="preserve">Tugendhat）等"鹰派"政要亦保持着高度的战略默契。2025年初，她在会见图根哈特时，特别强调了民主国家在技术出口管制与反制威权扩张方面的共同责任。这种人脉经营在国际多边舞台上展现了极强的爆发力：2025年11月，在"对中政策跨国议会联盟"（IPAC）共同主席、斯洛伐克籍欧洲议会议员蕾斯曼（Miriam</w:t>
      </w:r>
    </w:p>
    <w:p>
      <w:pPr>
        <w:spacing w:after="120" w:line="300"/>
      </w:pPr>
      <w:r>
        <w:rPr>
          <w:rFonts w:ascii="Arial" w:cs="Arial" w:eastAsia="Arial" w:hAnsi="Arial"/>
          <w:sz w:val="21"/>
          <w:szCs w:val="21"/>
        </w:rPr>
        <w:t xml:space="preserve">Lexmann）的全力斡旋与幕后推动下，萧美琴以现职身份在布鲁塞尔欧洲议会发表了历史性演说。她通过分享台湾遭受网络攻击及海底电缆被切断的案例，成功引起了正面临地缘政治不确定性的欧洲议员们的共情。这一系列的行动证明，萧美琴正利用其在英美欧建立的深厚私人信誉，绕过正式外交层级的阻碍，通过"议会外交"与"供应链外交"双管齐下，试图在欧洲构筑起一道针对大陆的经济与安全防御屏障。</w:t>
      </w:r>
    </w:p>
    <w:p>
      <w:pPr>
        <w:spacing w:after="60"/>
      </w:pPr>
    </w:p>
    <w:p>
      <w:pPr>
        <w:spacing w:after="120" w:line="300"/>
      </w:pPr>
      <w:r>
        <w:rPr>
          <w:rFonts w:ascii="Arial" w:cs="Arial" w:eastAsia="Arial" w:hAnsi="Arial"/>
          <w:sz w:val="21"/>
          <w:szCs w:val="21"/>
        </w:rPr>
        <w:t xml:space="preserve">![](media/image7.png){width="6.141666666666667in"</w:t>
      </w:r>
    </w:p>
    <w:p>
      <w:pPr>
        <w:spacing w:after="120" w:line="300"/>
      </w:pPr>
      <w:r>
        <w:rPr>
          <w:rFonts w:ascii="Arial" w:cs="Arial" w:eastAsia="Arial" w:hAnsi="Arial"/>
          <w:sz w:val="21"/>
          <w:szCs w:val="21"/>
        </w:rPr>
        <w:t xml:space="preserve">height="3.654861111111111in"}</w:t>
      </w:r>
    </w:p>
    <w:p>
      <w:pPr>
        <w:spacing w:after="60"/>
      </w:pPr>
    </w:p>
    <w:p>
      <w:pPr>
        <w:spacing w:after="120" w:line="300"/>
      </w:pPr>
      <w:r>
        <w:rPr>
          <w:rFonts w:ascii="Arial" w:cs="Arial" w:eastAsia="Arial" w:hAnsi="Arial"/>
          <w:sz w:val="21"/>
          <w:szCs w:val="21"/>
        </w:rPr>
        <w:t xml:space="preserve">其任内推动的《台美21世纪贸易倡议》以及促成美方修订《对台交往准则》，均是在不触动中美建交公报文字的前提下，通过"切香肠"式的手法实质性提升美台互动层级。2025年，萧美琴在接受媒体采访时证实，除了台积电外，整个半导体"生态系"包括供应商与设计商都将赴美投资。尽管这一举动在岛内引发了"台积电变美积电"的"卖台"质疑与"自毁长城"的批评，但在其逻辑中，这种产业链的深度交织是强化美方保护台湾动机的结构性手段。</w:t>
      </w:r>
    </w:p>
    <w:p>
      <w:pPr>
        <w:spacing w:after="60"/>
      </w:pPr>
    </w:p>
    <w:p>
      <w:pPr>
        <w:spacing w:after="120" w:line="300"/>
      </w:pPr>
      <w:r>
        <w:rPr>
          <w:rFonts w:ascii="Arial" w:cs="Arial" w:eastAsia="Arial" w:hAnsi="Arial"/>
          <w:sz w:val="21"/>
          <w:szCs w:val="21"/>
        </w:rPr>
        <w:t xml:space="preserve">在安全与防务观方面，萧美琴总体支持提升防务能力与强化"自我防卫"叙事，对军购政策、后备力量建设以及兵役制度调整均持正面态度。其政策逻辑强调"提升吓阻能力以避免战争"，但在客观效果上，也强化了岛内"安全困境"结构，使两岸军事互疑进一步上升。在"以武拒统"的叙事体系中，她虽非最激进的倡导者，却属于重要的政策支持力量，其角色更接近战略推动者而非口号型动员者。在2024年选战中，她作为赖清德的副手，本质上扮演了"美台互信抵押品"的角色，利用其技术官僚的底色稀释赖清德的激进标签，以维持美方对局势的可控感。2025年，她以副职身份视讯参与美国"特别竞争研究计划"（SCSP）的AI+科技博览会，呼吁国际伙伴在科技创新与防务安全上强化协作。这种"低可见度推进"既有助于减少外部政治争议，也体现出较强的战略执行能力。即便在出访捷克等非邦交国时，她也表现出极强的韧性。2025年6月捷克媒体披露，萧美琴访捷期间曾遭中国外交人员尾随并引发车辆碰撞风险，这一事件被其团队转化为"战猫"对抗"战狼"的国际话语，进一步收割了国际舆论的同情与支持。</w:t>
      </w:r>
    </w:p>
    <w:p>
      <w:pPr>
        <w:spacing w:after="60"/>
      </w:pPr>
    </w:p>
    <w:p>
      <w:pPr>
        <w:spacing w:after="120" w:line="300"/>
      </w:pPr>
      <w:r>
        <w:rPr>
          <w:rFonts w:ascii="Arial" w:cs="Arial" w:eastAsia="Arial" w:hAnsi="Arial"/>
          <w:sz w:val="21"/>
          <w:szCs w:val="21"/>
        </w:rPr>
        <w:t xml:space="preserve">综合研判，若以政治行为而非修辞风格作为主要判断依据，萧美琴更接近"现实主义操作型"政治人物，而非单纯的意识形态驱动者。她的政策选择通常建立在风险评估与国际环境判断之上，而不是情绪化动员。但需要注意的是，"现实主义"并不等同于"温和"。相反，其策略特征可能表现为"低调强硬"------在避免触碰高敏感政治红线的同时，持续推进具有结构性影响的政策目标。因此，从长期趋势看，萧美琴既不是传统意义上的激进派，也难以归入缓和派序列，而更可能代表民进党新一代对外与安全路线的技术官僚型方向：重视国际联结、强调制度嵌入、推进渐进变革。这一特征意味着，一旦其政治影响力进一步上升，其政策路径大概率将保持稳定性与延续性，而非出现明显转向。对于中国大陆而言，其"柔性蚕食"的策略相比于传统激进派，具有更强的持久性与更复杂的反制难度。</w:t>
      </w:r>
    </w:p>
    <w:p>
      <w:pPr>
        <w:spacing w:after="60"/>
      </w:pP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四、综合研判</w:t>
      </w:r>
      <w:r>
        <w:rPr>
          <w:rFonts w:ascii="Arial" w:cs="Arial" w:eastAsia="Arial" w:hAnsi="Arial"/>
          <w:sz w:val="21"/>
          <w:szCs w:val="21"/>
        </w:rPr>
        <w:t xml:space="preserve"/>
      </w:r>
    </w:p>
    <w:p>
      <w:pPr>
        <w:spacing w:after="60"/>
      </w:pPr>
    </w:p>
    <w:p>
      <w:pPr>
        <w:spacing w:after="120" w:line="300"/>
      </w:pPr>
      <w:r>
        <w:rPr>
          <w:rFonts w:ascii="Arial" w:cs="Arial" w:eastAsia="Arial" w:hAnsi="Arial"/>
          <w:sz w:val="21"/>
          <w:szCs w:val="21"/>
        </w:rPr>
        <w:t xml:space="preserve">从台湾政局结构演进及民进党权力代际更替的背景出发，萧美琴已由传统意义上的"涉外事务官员型政治人物"，逐步转化为兼具政策影响力与象征意义的核心政治精英。其政治轨迹既反映出民进党近年来对外战略重心的调整，也折射出岛内政治菁英结构由"动员型"向"专业型""国际化"转型的趋势。因此，对萧美琴的研判，不仅是对单一政治人物的观察，更具有透视民进党未来路线选择的重要参考价值。</w:t>
      </w:r>
    </w:p>
    <w:p>
      <w:pPr>
        <w:spacing w:after="60"/>
      </w:pP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（一）类型判断：国际事务导向的战略型政治人物</w:t>
      </w:r>
      <w:r>
        <w:rPr>
          <w:rFonts w:ascii="Arial" w:cs="Arial" w:eastAsia="Arial" w:hAnsi="Arial"/>
          <w:sz w:val="21"/>
          <w:szCs w:val="21"/>
        </w:rPr>
        <w:t xml:space="preserve"/>
      </w:r>
    </w:p>
    <w:p>
      <w:pPr>
        <w:spacing w:after="60"/>
      </w:pPr>
    </w:p>
    <w:p>
      <w:pPr>
        <w:spacing w:after="120" w:line="300"/>
      </w:pPr>
      <w:r>
        <w:rPr>
          <w:rFonts w:ascii="Arial" w:cs="Arial" w:eastAsia="Arial" w:hAnsi="Arial"/>
          <w:sz w:val="21"/>
          <w:szCs w:val="21"/>
        </w:rPr>
        <w:t xml:space="preserve">综合其成长背景、政治历练与政策取向，萧美琴可被界定为"对外能力突出、意识形态稳固、操作风格克制但战略方向清晰"的民进党国际事务型核心政治人物。与早期以社会运动起家的党内精英不同，她的政治资本并不主要来源于基层动员或派系经营，而更多建立在专业能力、跨文化沟通经验及外部资源整合能力之上。</w:t>
      </w:r>
    </w:p>
    <w:p>
      <w:pPr>
        <w:spacing w:after="60"/>
      </w:pPr>
    </w:p>
    <w:p>
      <w:pPr>
        <w:spacing w:after="120" w:line="300"/>
      </w:pPr>
      <w:r>
        <w:rPr>
          <w:rFonts w:ascii="Arial" w:cs="Arial" w:eastAsia="Arial" w:hAnsi="Arial"/>
          <w:sz w:val="21"/>
          <w:szCs w:val="21"/>
        </w:rPr>
        <w:t xml:space="preserve">从意识形态层面看，萧美琴虽较少采用激烈政治语言，但其在主权、安全与国际参与等问题上的立场具有高度稳定性，与民进党整体路线保持一致。这意味着其"温和"更多体现在表达方式而非政策目标上。相较于高对抗性政治人物，她更倾向于通过制度嵌入、议程设置与国际协作逐步推进政策目标，呈现出典型的"渐进推进型"战略思维。从政治风格看，她具有明显的技术官僚色彩，重视政策可操作性与外部可接受度，善于在复杂政治环境中寻找可行路径。这种特质使其在处理高度敏感议题时更具策略弹性，也更容易获得跨派系一定程度的功能性认可。某种意义上，她代表着民进党内部正在形成的一类新型政治人物：意识形态方向明确，但执行方式趋于专业化与理性化。从权力结构角度观察，萧美琴虽起步于"英系"支持，但并未被严格锁定在单一派系内部，而是逐渐形成"派系依托+功能不可替代"的复合型权力基础。尤其在对美沟通领域，其专业门槛较高、替代成本较大，使其在党内具备相对独特的战略价值。这种"能力型权力"通常比单纯派系支持更具持续性。</w:t>
      </w:r>
    </w:p>
    <w:p>
      <w:pPr>
        <w:spacing w:after="60"/>
      </w:pPr>
    </w:p>
    <w:p>
      <w:pPr>
        <w:spacing w:after="120" w:line="300"/>
      </w:pPr>
      <w:r>
        <w:rPr>
          <w:rFonts w:ascii="Arial" w:cs="Arial" w:eastAsia="Arial" w:hAnsi="Arial"/>
          <w:sz w:val="21"/>
          <w:szCs w:val="21"/>
        </w:rPr>
        <w:t xml:space="preserve">总体判断，萧美琴既非传统意识形态动员者，也非纯粹事务型官员，而更接近具有长期战略潜力的政策型政治人物。若民进党未来进一步强化对外路线，其政治地位仍存在上升空间，不排除在中长期权力格局中扮演更关键角色。</w:t>
      </w:r>
    </w:p>
    <w:p>
      <w:pPr>
        <w:spacing w:after="60"/>
      </w:pP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（二）风险等级判断：两岸关系的结构性变量</w:t>
      </w:r>
      <w:r>
        <w:rPr>
          <w:rFonts w:ascii="Arial" w:cs="Arial" w:eastAsia="Arial" w:hAnsi="Arial"/>
          <w:sz w:val="21"/>
          <w:szCs w:val="21"/>
        </w:rPr>
        <w:t xml:space="preserve"/>
      </w:r>
    </w:p>
    <w:p>
      <w:pPr>
        <w:spacing w:after="60"/>
      </w:pPr>
    </w:p>
    <w:p>
      <w:pPr>
        <w:spacing w:after="120" w:line="300"/>
      </w:pPr>
      <w:r>
        <w:rPr>
          <w:rFonts w:ascii="Arial" w:cs="Arial" w:eastAsia="Arial" w:hAnsi="Arial"/>
          <w:sz w:val="21"/>
          <w:szCs w:val="21"/>
        </w:rPr>
        <w:t xml:space="preserve">从两岸关系视角评估，萧美琴可被视为"中高风险变量"，但其风险属性更多体现为结构性而非突发性。首先，其政策取向总体支持通过强化对外联结来提升安全保障，这在客观上可能进一步压缩两岸政治互信空间。当对外安全依赖不断增强时，两岸关系中的战略猜疑容易同步上升，从而加剧安全困境的循环。其次，与部分高调推动政治对抗的岛内政治人物相比，萧美琴的政策推进方式更具隐蔽性与持续性。此类"低可见度推进"往往不易在短期内引发剧烈震荡，但可能在制度层面产生累积效应，例如安全合作机制深化、政治沟通常态化等。一旦相关结构成形，其逆转成本通常较高。再次，从叙事层面看，她倾向于将台湾安全置于"民主伙伴合作"的框架之下，这种话语更容易获得西方社会认同，也在一定程度上提升外部介入的正当性。长远来看，这可能使两岸问题的外部因素进一步上升。</w:t>
      </w:r>
    </w:p>
    <w:p>
      <w:pPr>
        <w:spacing w:after="60"/>
      </w:pPr>
    </w:p>
    <w:p>
      <w:pPr>
        <w:spacing w:after="120" w:line="300"/>
      </w:pPr>
      <w:r>
        <w:rPr>
          <w:rFonts w:ascii="Arial" w:cs="Arial" w:eastAsia="Arial" w:hAnsi="Arial"/>
          <w:sz w:val="21"/>
          <w:szCs w:val="21"/>
        </w:rPr>
        <w:t xml:space="preserve">不过，需要注意的是，萧美琴并不属于风险偏好型政治人物。其决策逻辑通常建立在可控风险基础之上，避免采取高度刺激性的政治动作。因此，其风险更可能表现为"持续抬升的温度"，而非突然升级的冲击。</w:t>
      </w:r>
    </w:p>
    <w:p>
      <w:pPr>
        <w:spacing w:after="60"/>
      </w:pP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（三）对美台关系影响：强化与制度化趋势的重要推动者</w:t>
      </w:r>
      <w:r>
        <w:rPr>
          <w:rFonts w:ascii="Arial" w:cs="Arial" w:eastAsia="Arial" w:hAnsi="Arial"/>
          <w:sz w:val="21"/>
          <w:szCs w:val="21"/>
        </w:rPr>
        <w:t xml:space="preserve"/>
      </w:r>
    </w:p>
    <w:p>
      <w:pPr>
        <w:spacing w:after="60"/>
      </w:pPr>
    </w:p>
    <w:p>
      <w:pPr>
        <w:spacing w:after="120" w:line="300"/>
      </w:pPr>
      <w:r>
        <w:rPr>
          <w:rFonts w:ascii="Arial" w:cs="Arial" w:eastAsia="Arial" w:hAnsi="Arial"/>
          <w:sz w:val="21"/>
          <w:szCs w:val="21"/>
        </w:rPr>
        <w:t xml:space="preserve">在美台关系维度，萧美琴可被视为明显的"强化变量"。其长期深耕美国政治网络，对国会运作、政策社群及智库体系均具有较强熟悉度，使其能够在非正式外交空间中发挥较高效率。更为重要的是，她所推动的并非单次政策突破，而是关系结构的制度化------包括高层互动常态化、安全议题前置化以及政策协调机制深化等。这种制度化一旦形成，往往具有路径依赖特征，将在较长时期内塑造台美互动模式。同时，她善于运用价值叙事，将安全合作嵌入"民主合作""供应链安全"等更广泛议题之中，从而降低政策阻力并扩大支持基础。这种议题整合能力，使其在推动关系升级时具有较强的策略纵深。</w:t>
      </w:r>
    </w:p>
    <w:p>
      <w:pPr>
        <w:spacing w:after="60"/>
      </w:pPr>
    </w:p>
    <w:p>
      <w:pPr>
        <w:spacing w:after="120" w:line="300"/>
      </w:pPr>
      <w:r>
        <w:rPr>
          <w:rFonts w:ascii="Arial" w:cs="Arial" w:eastAsia="Arial" w:hAnsi="Arial"/>
          <w:sz w:val="21"/>
          <w:szCs w:val="21"/>
        </w:rPr>
        <w:t xml:space="preserve">可以预见，若其继续在安全或涉外领域发挥更大作用，美台关系可能进一步向"实质合作增强、政治象征提升"的方向发展。</w:t>
      </w:r>
    </w:p>
    <w:p>
      <w:pPr>
        <w:spacing w:after="60"/>
      </w:pP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（四）个人发展前景：潜在接班梯队中的功能型人选</w:t>
      </w:r>
      <w:r>
        <w:rPr>
          <w:rFonts w:ascii="Arial" w:cs="Arial" w:eastAsia="Arial" w:hAnsi="Arial"/>
          <w:sz w:val="21"/>
          <w:szCs w:val="21"/>
        </w:rPr>
        <w:t xml:space="preserve"/>
      </w:r>
    </w:p>
    <w:p>
      <w:pPr>
        <w:spacing w:after="60"/>
      </w:pPr>
    </w:p>
    <w:p>
      <w:pPr>
        <w:spacing w:after="120" w:line="300"/>
      </w:pPr>
      <w:r>
        <w:rPr>
          <w:rFonts w:ascii="Arial" w:cs="Arial" w:eastAsia="Arial" w:hAnsi="Arial"/>
          <w:sz w:val="21"/>
          <w:szCs w:val="21"/>
        </w:rPr>
        <w:t xml:space="preserve">关于其未来政治空间，目前更适合将萧美琴定位为"潜在接班梯队中的功能型人选"，而非短期内的权力竞争者。其优势在于国际事务能力突出、形象相对稳健，但相较于岛内强势政治人物，其群众动员能力与地方政治基础仍相对有限。然而，在台湾政治结构逐步"安全化""国际化"的趋势下，具备对外战略能力的政治人物重要性可能持续上升。一旦安全议题在选举政治中的权重进一步增加，其比较优势或将更加凸显。</w:t>
      </w:r>
    </w:p>
    <w:p>
      <w:pPr>
        <w:spacing w:after="60"/>
      </w:pPr>
    </w:p>
    <w:p>
      <w:pPr>
        <w:spacing w:after="120" w:line="300"/>
      </w:pPr>
      <w:r>
        <w:rPr>
          <w:rFonts w:ascii="Arial" w:cs="Arial" w:eastAsia="Arial" w:hAnsi="Arial"/>
          <w:sz w:val="21"/>
          <w:szCs w:val="21"/>
        </w:rPr>
        <w:t xml:space="preserve"/>
      </w:r>
      <w:r>
        <w:rPr>
          <w:rFonts w:ascii="Arial" w:cs="Arial" w:eastAsia="Arial" w:hAnsi="Arial"/>
          <w:b/>
          <w:bCs/>
          <w:sz w:val="21"/>
          <w:szCs w:val="21"/>
        </w:rPr>
        <w:t xml:space="preserve">（五）结论</w:t>
      </w:r>
      <w:r>
        <w:rPr>
          <w:rFonts w:ascii="Arial" w:cs="Arial" w:eastAsia="Arial" w:hAnsi="Arial"/>
          <w:sz w:val="21"/>
          <w:szCs w:val="21"/>
        </w:rPr>
        <w:t xml:space="preserve"/>
      </w:r>
    </w:p>
    <w:p>
      <w:pPr>
        <w:spacing w:after="60"/>
      </w:pPr>
    </w:p>
    <w:p>
      <w:pPr>
        <w:spacing w:after="120" w:line="300"/>
      </w:pPr>
      <w:r>
        <w:rPr>
          <w:rFonts w:ascii="Arial" w:cs="Arial" w:eastAsia="Arial" w:hAnsi="Arial"/>
          <w:sz w:val="21"/>
          <w:szCs w:val="21"/>
        </w:rPr>
        <w:t xml:space="preserve">基于上述研判，建议重点关注以下动向：一是持续跟踪其对美沟通角色是否出现升级，尤其需观察其是否由政策执行者转向议程塑造者。若其开始在安全战略层面拥有更直接的话语权，意味着其政治影响力进入新的阶段。二是关注其在党内权力结构中的位置变化，特别是与现有领导核心的互动模式。如果其从"专业依附型"转向"独立影响型"，则表明其权力基础正在扩展。三是观察其安全政策表述是否趋于前置化或体系化。这将有助于判断其是否正在形成更完整的战略观，而非局限于对外沟通领域。四是注意其公共形象塑造方向。若其逐步强化"安全领导者"或"国际事务专家"的政治标签，可能意味着其正为更高层级政治角色积累正当性资源。</w:t>
      </w:r>
    </w:p>
    <w:p>
      <w:pPr>
        <w:spacing w:after="60"/>
      </w:pPr>
    </w:p>
    <w:p>
      <w:pPr>
        <w:spacing w:after="120" w:line="300"/>
      </w:pPr>
      <w:r>
        <w:rPr>
          <w:rFonts w:ascii="Arial" w:cs="Arial" w:eastAsia="Arial" w:hAnsi="Arial"/>
          <w:sz w:val="21"/>
          <w:szCs w:val="21"/>
        </w:rPr>
        <w:t xml:space="preserve">总体而言，萧美琴属于战略方向稳定、执行能力较强且外部联系深厚的民进党核心政治人物。其政策路径大概率延续"低调推进、结构塑造"的特征，对两岸关系的影响更多体现为长期变量而非短期冲击。对相关动向保持持续、系统性观察，具有现实必要性。</w:t>
      </w:r>
    </w:p>
    <w:p>
      <w:pPr>
        <w:spacing w:after="60"/>
      </w:pPr>
    </w:p>
    <w:p>
      <w:pPr>
        <w:spacing w:after="120" w:line="300"/>
      </w:pPr>
      <w:r>
        <w:rPr>
          <w:rFonts w:ascii="Arial" w:cs="Arial" w:eastAsia="Arial" w:hAnsi="Arial"/>
          <w:sz w:val="21"/>
          <w:szCs w:val="21"/>
        </w:rPr>
        <w:t xml:space="preserve">编制单位：厦大平潭研究院台情研究中心</w:t>
      </w:r>
    </w:p>
    <w:p>
      <w:pPr>
        <w:spacing w:after="60"/>
      </w:pPr>
    </w:p>
    <w:p>
      <w:pPr>
        <w:spacing w:after="120" w:line="300"/>
      </w:pPr>
      <w:r>
        <w:rPr>
          <w:rFonts w:ascii="Arial" w:cs="Arial" w:eastAsia="Arial" w:hAnsi="Arial"/>
          <w:sz w:val="21"/>
          <w:szCs w:val="21"/>
        </w:rPr>
        <w:t xml:space="preserve">编写人：林启晟、周春林</w:t>
      </w:r>
    </w:p>
    <w:p>
      <w:pPr>
        <w:spacing w:after="60"/>
      </w:pPr>
    </w:p>
    <w:p>
      <w:pPr>
        <w:spacing w:after="120" w:line="300"/>
      </w:pPr>
      <w:r>
        <w:rPr>
          <w:rFonts w:ascii="Arial" w:cs="Arial" w:eastAsia="Arial" w:hAnsi="Arial"/>
          <w:sz w:val="21"/>
          <w:szCs w:val="21"/>
        </w:rPr>
        <w:t xml:space="preserve">审核人：陈章辉</w:t>
      </w:r>
    </w:p>
    <w:p>
      <w:pPr>
        <w:spacing w:after="60"/>
      </w:pPr>
    </w:p>
    <w:p>
      <w:pPr>
        <w:spacing w:after="120" w:line="300"/>
      </w:pPr>
      <w:r>
        <w:rPr>
          <w:rFonts w:ascii="Arial" w:cs="Arial" w:eastAsia="Arial" w:hAnsi="Arial"/>
          <w:sz w:val="21"/>
          <w:szCs w:val="21"/>
        </w:rPr>
        <w:t xml:space="preserve">联系人: 欧小琴 13550969666</w:t>
      </w:r>
    </w:p>
    <w:p>
      <w:pPr>
        <w:spacing w:after="60"/>
      </w:pPr>
    </w:p>
    <w:p>
      <w:pPr>
        <w:spacing w:after="60"/>
      </w:pPr>
    </w:p>
    <w:p>
      <w:pPr>
        <w:pStyle w:val="Heading2"/>
        <w:spacing w:after="160" w:before="280"/>
      </w:pPr>
      <w:r>
        <w:rPr>
          <w:rFonts w:ascii="Arial" w:cs="Arial" w:eastAsia="Arial" w:hAnsi="Arial"/>
          <w:b/>
          <w:bCs/>
          <w:sz w:val="26"/>
          <w:szCs w:val="26"/>
        </w:rPr>
        <w:t xml:space="preserve">报告编制说明</w:t>
      </w:r>
    </w:p>
    <w:p>
      <w:pPr>
        <w:spacing w:after="120" w:line="300"/>
      </w:pPr>
      <w:r>
        <w:rPr>
          <w:rFonts w:ascii="Arial" w:cs="Arial" w:eastAsia="Arial" w:hAnsi="Arial"/>
          <w:sz w:val="21"/>
          <w:szCs w:val="21"/>
        </w:rPr>
        <w:t xml:space="preserve">本附录保留了厦大平潭研究院台情研究中心的原始报告全文。这份报告由林启晨、周春林编写，陈章辉审核，代表了台湾政治研究的专业水准。其战略研判风格、人物关系情报与深度分析，为本v1.3报告的多框架整合提供了重要的补充视角。</w:t>
      </w:r>
    </w:p>
    <w:p>
      <w:pPr>
        <w:spacing w:after="120" w:line="300"/>
      </w:pPr>
      <w:r>
        <w:rPr>
          <w:rFonts w:ascii="Arial" w:cs="Arial" w:eastAsia="Arial" w:hAnsi="Arial"/>
          <w:sz w:val="21"/>
          <w:szCs w:val="21"/>
        </w:rPr>
        <w:t xml:space="preserve">将原始来源完整保留在附录中，符合学术溯源的要求，也便于读者理解本报告全景整合的含义。</w:t>
      </w:r>
    </w:p>
    <w:p>
      <w:pPr>
        <w:spacing w:after="100"/>
      </w:pPr>
      <w:r>
        <w:rPr>
          <w:rFonts w:ascii="Arial" w:cs="Arial" w:eastAsia="Arial" w:hAnsi="Arial"/>
          <w:b/>
          <w:bCs/>
          <w:color w:val="006600"/>
          <w:sz w:val="18"/>
          <w:szCs w:val="18"/>
        </w:rPr>
        <w:t xml:space="preserve">[A] </w:t>
      </w:r>
      <w:r>
        <w:rPr>
          <w:rFonts w:ascii="Arial" w:cs="Arial" w:eastAsia="Arial" w:hAnsi="Arial"/>
          <w:i/>
          <w:iCs/>
          <w:color w:val="666666"/>
          <w:sz w:val="18"/>
          <w:szCs w:val="18"/>
        </w:rPr>
        <w:t xml:space="preserve">原始来源保留</w:t>
      </w:r>
    </w:p>
    <w:p>
      <w:r>
        <w:br w:type="page"/>
      </w:r>
    </w:p>
    <w:p>
      <w:pPr>
        <w:pStyle w:val="Heading1"/>
        <w:spacing w:after="200" w:before="360"/>
      </w:pPr>
      <w:r>
        <w:rPr>
          <w:rFonts w:ascii="Arial" w:cs="Arial" w:eastAsia="Arial" w:hAnsi="Arial"/>
          <w:b/>
          <w:bCs/>
          <w:sz w:val="32"/>
          <w:szCs w:val="32"/>
        </w:rPr>
        <w:t xml:space="preserve">文档元数据与版本信息</w:t>
      </w:r>
    </w:p>
    <w:p>
      <w:pPr>
        <w:pStyle w:val="Heading2"/>
        <w:spacing w:after="160" w:before="280"/>
      </w:pPr>
      <w:r>
        <w:rPr>
          <w:rFonts w:ascii="Arial" w:cs="Arial" w:eastAsia="Arial" w:hAnsi="Arial"/>
          <w:b/>
          <w:bCs/>
          <w:sz w:val="26"/>
          <w:szCs w:val="26"/>
        </w:rPr>
        <w:t xml:space="preserve">报告基本信息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840"/>
      </w:tblGrid>
      <w:tr>
        <w:tc>
          <w:tcPr>
            <w:tcW w:type="dxa" w:w="2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项目</w:t>
            </w:r>
          </w:p>
        </w:tc>
        <w:tc>
          <w:tcPr>
            <w:tcW w:type="dxa" w:w="684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内容</w:t>
            </w:r>
          </w:p>
        </w:tc>
      </w:tr>
      <w:tr>
        <w:tc>
          <w:tcPr>
            <w:tcW w:type="dxa" w:w="2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报告标题</w:t>
            </w:r>
          </w:p>
        </w:tc>
        <w:tc>
          <w:tcPr>
            <w:tcW w:type="dxa" w:w="684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萧美琴政治人物分析报告 v1.3 全景整合版</w:t>
            </w:r>
          </w:p>
        </w:tc>
      </w:tr>
      <w:tr>
        <w:tc>
          <w:tcPr>
            <w:tcW w:type="dxa" w:w="2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分析对象</w:t>
            </w:r>
          </w:p>
        </w:tc>
        <w:tc>
          <w:tcPr>
            <w:tcW w:type="dxa" w:w="684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萧美琴（Hsiao Bi-khim）- 台湾地区第16任副领导人</w:t>
            </w:r>
          </w:p>
        </w:tc>
      </w:tr>
      <w:tr>
        <w:tc>
          <w:tcPr>
            <w:tcW w:type="dxa" w:w="2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版本号</w:t>
            </w:r>
          </w:p>
        </w:tc>
        <w:tc>
          <w:tcPr>
            <w:tcW w:type="dxa" w:w="684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v1.3（全景整合版）</w:t>
            </w:r>
          </w:p>
        </w:tc>
      </w:tr>
      <w:tr>
        <w:tc>
          <w:tcPr>
            <w:tcW w:type="dxa" w:w="2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分析框架</w:t>
            </w:r>
          </w:p>
        </w:tc>
        <w:tc>
          <w:tcPr>
            <w:tcW w:type="dxa" w:w="684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OSINT v5.0 + MBTI认知功能 + 五框架交叉验证</w:t>
            </w:r>
          </w:p>
        </w:tc>
      </w:tr>
      <w:tr>
        <w:tc>
          <w:tcPr>
            <w:tcW w:type="dxa" w:w="2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报告日期</w:t>
            </w:r>
          </w:p>
        </w:tc>
        <w:tc>
          <w:tcPr>
            <w:tcW w:type="dxa" w:w="684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2026年3月30日</w:t>
            </w:r>
          </w:p>
        </w:tc>
      </w:tr>
      <w:tr>
        <w:tc>
          <w:tcPr>
            <w:tcW w:type="dxa" w:w="2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证据截止日期</w:t>
            </w:r>
          </w:p>
        </w:tc>
        <w:tc>
          <w:tcPr>
            <w:tcW w:type="dxa" w:w="684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2026年3月</w:t>
            </w:r>
          </w:p>
        </w:tc>
      </w:tr>
      <w:tr>
        <w:tc>
          <w:tcPr>
            <w:tcW w:type="dxa" w:w="24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文档密级</w:t>
            </w:r>
          </w:p>
        </w:tc>
        <w:tc>
          <w:tcPr>
            <w:tcW w:type="dxa" w:w="684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信息分享（公开版本）</w:t>
            </w:r>
          </w:p>
        </w:tc>
      </w:tr>
    </w:tbl>
    <w:p>
      <w:pPr>
        <w:spacing w:after="60"/>
      </w:pPr>
    </w:p>
    <w:p>
      <w:pPr>
        <w:pStyle w:val="Heading2"/>
        <w:spacing w:after="160" w:before="280"/>
      </w:pPr>
      <w:r>
        <w:rPr>
          <w:rFonts w:ascii="Arial" w:cs="Arial" w:eastAsia="Arial" w:hAnsi="Arial"/>
          <w:b/>
          <w:bCs/>
          <w:sz w:val="26"/>
          <w:szCs w:val="26"/>
        </w:rPr>
        <w:t xml:space="preserve">版本演进说明</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200"/>
        <w:gridCol w:w="2240"/>
      </w:tblGrid>
      <w:tr>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版本</w:t>
            </w:r>
          </w:p>
        </w:tc>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发布日期</w:t>
            </w:r>
          </w:p>
        </w:tc>
        <w:tc>
          <w:tcPr>
            <w:tcW w:type="dxa" w:w="4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核心内容</w:t>
            </w:r>
          </w:p>
        </w:tc>
        <w:tc>
          <w:tcPr>
            <w:tcW w:type="dxa" w:w="224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新增模块</w:t>
            </w:r>
          </w:p>
        </w:tc>
      </w:tr>
      <w:tr>
        <w:tc>
          <w:tcPr>
            <w:tcW w:type="dxa" w:w="1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v1.1</w:t>
            </w:r>
          </w:p>
        </w:tc>
        <w:tc>
          <w:tcPr>
            <w:tcW w:type="dxa" w:w="16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2026年3月初</w:t>
            </w:r>
          </w:p>
        </w:tc>
        <w:tc>
          <w:tcPr>
            <w:tcW w:type="dxa" w:w="4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OSINT v2.0框架；Part 1-6基础分析</w:t>
            </w:r>
          </w:p>
        </w:tc>
        <w:tc>
          <w:tcPr>
            <w:tcW w:type="dxa" w:w="224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现实主义操作型判定</w:t>
            </w:r>
          </w:p>
        </w:tc>
      </w:tr>
      <w:tr>
        <w:tc>
          <w:tcPr>
            <w:tcW w:type="dxa" w:w="1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v1.2</w:t>
            </w:r>
          </w:p>
        </w:tc>
        <w:tc>
          <w:tcPr>
            <w:tcW w:type="dxa" w:w="16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2026年3月中</w:t>
            </w:r>
          </w:p>
        </w:tc>
        <w:tc>
          <w:tcPr>
            <w:tcW w:type="dxa" w:w="4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OSINT v4.0框架+MBTI增强；Part 7-9分析</w:t>
            </w:r>
          </w:p>
        </w:tc>
        <w:tc>
          <w:tcPr>
            <w:tcW w:type="dxa" w:w="224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MBTI认知功能分析；五框架交叉验证</w:t>
            </w:r>
          </w:p>
        </w:tc>
      </w:tr>
      <w:tr>
        <w:tc>
          <w:tcPr>
            <w:tcW w:type="dxa" w:w="1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v1.3</w:t>
            </w:r>
          </w:p>
        </w:tc>
        <w:tc>
          <w:tcPr>
            <w:tcW w:type="dxa" w:w="16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2026年3月30日</w:t>
            </w:r>
          </w:p>
        </w:tc>
        <w:tc>
          <w:tcPr>
            <w:tcW w:type="dxa" w:w="420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全景整合版；整合v1.1+v1.2+厦大报告</w:t>
            </w:r>
          </w:p>
        </w:tc>
        <w:tc>
          <w:tcPr>
            <w:tcW w:type="dxa" w:w="2240"/>
            <w:tcBorders>
              <w:top w:val="single" w:color="BBBBBB" w:sz="1"/>
              <w:left w:val="single" w:color="BBBBBB" w:sz="1"/>
              <w:bottom w:val="single" w:color="BBBBBB" w:sz="1"/>
              <w:right w:val="single" w:color="BBBBBB" w:sz="1"/>
            </w:tcBorders>
            <w:tcMar>
              <w:top w:type="dxa" w:w="40"/>
              <w:left w:type="dxa" w:w="100"/>
              <w:bottom w:type="dxa" w:w="40"/>
              <w:right w:type="dxa" w:w="100"/>
            </w:tcMar>
          </w:tcPr>
          <w:p>
            <w:r>
              <w:rPr>
                <w:rFonts w:ascii="Arial" w:cs="Arial" w:eastAsia="Arial" w:hAnsi="Arial"/>
                <w:sz w:val="19"/>
                <w:szCs w:val="19"/>
              </w:rPr>
              <w:t xml:space="preserve">Part 10关键事件时间线；Part 11多情景推演</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2026-03-30T07:35:46.626Z</dcterms:created>
  <dcterms:modified xsi:type="dcterms:W3CDTF">2026-03-30T07:35:46.626Z</dcterms:modified>
</cp:coreProperties>
</file>

<file path=docProps/custom.xml><?xml version="1.0" encoding="utf-8"?>
<Properties xmlns="http://schemas.openxmlformats.org/officeDocument/2006/custom-properties" xmlns:vt="http://schemas.openxmlformats.org/officeDocument/2006/docPropsVTypes"/>
</file>