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台湾政治人物深度分析</w:t>
      </w:r>
    </w:p>
    <w:p>
      <w:pPr>
        <w:spacing w:after="100"/>
        <w:jc w:val="center"/>
      </w:pPr>
      <w:r>
        <w:rPr>
          <w:rFonts w:ascii="Arial" w:cs="Arial" w:eastAsia="Arial" w:hAnsi="Arial"/>
          <w:b/>
          <w:bCs/>
          <w:color w:val="1F3864"/>
          <w:sz w:val="40"/>
          <w:szCs w:val="40"/>
        </w:rPr>
        <w:t xml:space="preserve">萧美琴(Hsiao Bi-khim)</w:t>
      </w:r>
    </w:p>
    <w:p>
      <w:pPr>
        <w:spacing w:after="200"/>
        <w:jc w:val="center"/>
      </w:pPr>
      <w:r>
        <w:rPr>
          <w:rFonts w:ascii="Arial" w:cs="Arial" w:eastAsia="Arial" w:hAnsi="Arial"/>
          <w:color w:val="2E5090"/>
          <w:sz w:val="32"/>
          <w:szCs w:val="32"/>
        </w:rPr>
        <w:t xml:space="preserve">v1.7 技能激活深化版</w:t>
      </w:r>
    </w:p>
    <w:p>
      <w:pPr>
        <w:spacing w:after="100"/>
        <w:jc w:val="center"/>
      </w:pPr>
      <w:r>
        <w:rPr>
          <w:rFonts w:ascii="Arial" w:cs="Arial" w:eastAsia="Arial" w:hAnsi="Arial"/>
          <w:color w:val="666666"/>
          <w:sz w:val="24"/>
          <w:szCs w:val="24"/>
        </w:rPr>
        <w:t xml:space="preserve">基于OSINT v6.0全景分析框架</w:t>
      </w:r>
    </w:p>
    <w:p>
      <w:pPr>
        <w:spacing w:after="100"/>
        <w:jc w:val="center"/>
      </w:pPr>
      <w:r>
        <w:rPr>
          <w:rFonts w:ascii="Arial" w:cs="Arial" w:eastAsia="Arial" w:hAnsi="Arial"/>
          <w:color w:val="666666"/>
          <w:sz w:val="24"/>
          <w:szCs w:val="24"/>
        </w:rPr>
        <w:t xml:space="preserve">整合厦大平潭研究院原始分析框架 + V2全部16模块事实采集层 + M1-M8增强模块</w:t>
      </w:r>
    </w:p>
    <w:p>
      <w:pPr>
        <w:spacing w:before="400"/>
      </w:pPr>
    </w:p>
    <w:p>
      <w:pPr>
        <w:spacing w:after="100"/>
        <w:jc w:val="center"/>
      </w:pPr>
      <w:r>
        <w:rPr>
          <w:rFonts w:ascii="Arial" w:cs="Arial" w:eastAsia="Arial" w:hAnsi="Arial"/>
          <w:color w:val="999999"/>
          <w:sz w:val="20"/>
          <w:szCs w:val="20"/>
        </w:rPr>
        <w:t xml:space="preserve">报告生成日期: 2026年3月30日</w:t>
      </w:r>
    </w:p>
    <w:p>
      <w:pPr>
        <w:spacing w:after="100"/>
        <w:jc w:val="center"/>
      </w:pPr>
      <w:r>
        <w:rPr>
          <w:rFonts w:ascii="Arial" w:cs="Arial" w:eastAsia="Arial" w:hAnsi="Arial"/>
          <w:color w:val="999999"/>
          <w:sz w:val="20"/>
          <w:szCs w:val="20"/>
        </w:rPr>
        <w:t xml:space="preserve">证据截止日期: 2026年3月</w:t>
      </w:r>
    </w:p>
    <w:p>
      <w:pPr>
        <w:spacing w:after="300"/>
        <w:jc w:val="center"/>
      </w:pPr>
      <w:r>
        <w:rPr>
          <w:rFonts w:ascii="Arial" w:cs="Arial" w:eastAsia="Arial" w:hAnsi="Arial"/>
          <w:color w:val="AAAAAA"/>
          <w:sz w:val="18"/>
          <w:szCs w:val="18"/>
        </w:rPr>
        <w:t xml:space="preserve">分析框架: V2-16模块采集 + V3行为建模 + V4-MBTI + V5来源整合 + V6全景交付 + M1-M8增强</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萧美琴作为当前台湾政坛具有代表性的政治人物之一，其政治地位与功能性角色正在随着台湾内部权力结构的调整与外部战略环境的变化而持续上升。尤其是在民进党长期执政格局逐步成形、台湾对外战略重心明显向美倾斜的背景下，萧美琴已不再仅是传统意义上的涉外事务官员，而逐渐转化为连接台湾内部政治运作与外部战略资源的重要枢纽型人物。其在驻美代表期间推动的一系列战略举措，从蔡英文与麦卡锡的闭门会晤到台美贸易倡议的制度化推进，都标志着其权力地位的实质性提升。</w:t>
      </w:r>
    </w:p>
    <w:p>
      <w:pPr>
        <w:spacing w:after="120" w:line="300"/>
        <w:jc w:val="left"/>
      </w:pPr>
      <w:r>
        <w:rPr>
          <w:rFonts w:ascii="Arial" w:cs="Arial" w:eastAsia="Arial" w:hAnsi="Arial"/>
          <w:sz w:val="22"/>
          <w:szCs w:val="22"/>
        </w:rPr>
        <w:t xml:space="preserve">从台湾内部政治来看，萧美琴的崛起体现出民进党权力结构的一种新变化，即"国际事务型政治人物"的地位显著上升。长期以来，台湾政治菁英多以地方治理经验、选举动员能力作为权力晋升的重要路径，而萧美琴则主要凭借其涉外事务能力与对美沟通资源进入决策核心。这一现象在某种程度上反映出民进党在战略重心上的调整：当两岸关系持续紧张、安全议题主导政治议程时，能够有效对接美国政治体系的政治人物，其战略价值明显提升。其当选副领导人更是标志着国际事务导向型政治人物在台湾体制中地位的制度化确立。</w:t>
      </w:r>
    </w:p>
    <w:p>
      <w:pPr>
        <w:spacing w:after="120" w:line="300"/>
        <w:jc w:val="left"/>
      </w:pPr>
      <w:r>
        <w:rPr>
          <w:rFonts w:ascii="Arial" w:cs="Arial" w:eastAsia="Arial" w:hAnsi="Arial"/>
          <w:sz w:val="22"/>
          <w:szCs w:val="22"/>
        </w:rPr>
        <w:t xml:space="preserve">本报告在原厦大平潭研究院深度台情分析基础上，通过OSINT v6.0全景分析框架进行了系统升级与深度扩展。v6.0框架整合了V2全部16模块事实采集层、V3行为建模五大框架（Hermann领导特质分析、George操作码分析、Winter动机编码体系、Barber总统类型学）、V4 MBTI认知功能分析、V5原始来源整合层，以及V6新增的全景交付物体系，对萧美琴进行了迄今最为全面的系统性研判。所有分析均基于公开信息与可验证的政治事件，力求在学术严谨性与政策相关性之间达成平衡。</w:t>
      </w:r>
    </w:p>
    <w:p>
      <w:pPr>
        <w:spacing w:after="120" w:line="300"/>
        <w:jc w:val="left"/>
      </w:pPr>
      <w:r>
        <w:rPr>
          <w:rFonts w:ascii="Arial" w:cs="Arial" w:eastAsia="Arial" w:hAnsi="Arial"/>
          <w:sz w:val="22"/>
          <w:szCs w:val="22"/>
        </w:rPr>
        <w:t xml:space="preserve">本报告采用V5框架的证据分级体系，将信息来源分为A至E五个等级。A级证据指直接来自官方声明、正式文件与权威媒体的信息；B级为可信但单一来源的信息；C级为有限来源的推论；D级为单一非主流来源的分析；E级为学术框架的理论推导。此外，对于源自原始第三方报告（如厦大平潭研究院台情研究中心报告）的直接事实，标注为[E-Source]，形成从原始证据到分析结论的完整追踪链。</w:t>
      </w:r>
    </w:p>
    <w:p>
      <w:r>
        <w:br w:type="page"/>
      </w:r>
    </w:p>
    <w:p>
      <w:pPr>
        <w:spacing w:after="160" w:before="300" w:line="320"/>
      </w:pPr>
      <w:r>
        <w:rPr>
          <w:rFonts w:ascii="Arial" w:cs="Arial" w:eastAsia="Arial" w:hAnsi="Arial"/>
          <w:b/>
          <w:bCs/>
          <w:color w:val="2E5090"/>
          <w:sz w:val="28"/>
          <w:szCs w:val="28"/>
        </w:rPr>
        <w:t xml:space="preserve">分析时间框架</w:t>
      </w:r>
    </w:p>
    <w:p>
      <w:pPr>
        <w:spacing w:after="120" w:line="300"/>
        <w:jc w:val="left"/>
      </w:pPr>
      <w:r>
        <w:rPr>
          <w:rFonts w:ascii="Arial" w:cs="Arial" w:eastAsia="Arial" w:hAnsi="Arial"/>
          <w:sz w:val="22"/>
          <w:szCs w:val="22"/>
        </w:rPr>
        <w:t xml:space="preserve">本报告采用V6框架的时间分期体系对萧美琴的政治生涯进行阶段性分析，并在M1模块中进行了详细的国际背景标注与权力演变追踪。</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时期代码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阶段定义</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国际背景</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1971-1995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成长与教育阶段</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冷战结束/台湾民主化启动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1995-2000</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政治启蒙与早期参与</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台海危机/首次政党轮替前夜</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2000-2008</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党内国际事务体系深耕</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陈水扁执政/中美关系波动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2008-2020</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花莲地方经营与合法性积累</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马英九/蔡英文执政/中美战略竞争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2020-2024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驻美代表与战略枢纽确立</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COVID-19/中美脱钩/佩洛西访台</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副领导人任期与权力制度化</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赖清德执政/台海紧张升高/欧洲线扩展</w:t>
            </w:r>
          </w:p>
        </w:tc>
      </w:tr>
    </w:tbl>
    <w:p>
      <w:pPr>
        <w:spacing w:after="100"/>
      </w:pPr>
    </w:p>
    <w:p>
      <w:pPr>
        <w:spacing w:after="120" w:line="300"/>
        <w:jc w:val="left"/>
      </w:pPr>
      <w:r>
        <w:rPr>
          <w:rFonts w:ascii="Arial" w:cs="Arial" w:eastAsia="Arial" w:hAnsi="Arial"/>
          <w:sz w:val="22"/>
          <w:szCs w:val="22"/>
        </w:rPr>
        <w:t xml:space="preserve">各阶段与台海关系的国际环境同步标注，展示了萧美琴政治生涯上升与两岸战略环境变化的深刻互动关系。</w:t>
      </w:r>
    </w:p>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8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萧美琴(Hsiao Bi-khim)</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出生年月</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1971年8月7日(日本神户)</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台湾地区民主进步党(DPP)</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台湾地区第16任副领导人(自2024年5月20日就任)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本科: 美国欧柏林学院; 硕士: 哥伦比亚大学(国际关系)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父亲萧清芬(台湾籍,神学博士); 母亲邱碧玉(Peggy Cooley,美国籍音乐教师)</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语言能力</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普通话、台语、英语(母语级)、日语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曾持有美国籍,2002年放弃; 现维持中华民国国籍</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宗教信仰</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基督教长老教会</w:t>
            </w:r>
          </w:p>
        </w:tc>
      </w:tr>
    </w:tbl>
    <w:p>
      <w:pPr>
        <w:spacing w:after="100"/>
      </w:pP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萧美琴的家庭背景具有明显的跨越性特征，这一特征深刻地塑造了其后来的政治人格与战略认知。其父亲萧清芬曾任台南神学院院长(1973-1986)，这一时期恰好覆盖了台湾戒严时期的核心阶段。台南神学院在该时期是台湾本土意识与基督教抵抗运动的重要据点，特别是在美丽岛事件之后，萧清芬院长积极保护受政治迫害的学生，与当局周旋。这一经历使萧美琴从青少年时期就对政治压制下的精神追求与制度化抵抗有了深刻理解。其母亲邱碧玉(Peggy Cooley)是美国籍音乐教师，拥有五月花号航海者的血统背景，这赋予了萧美琴天然的美国文化连接与跨大西洋的精神财产。这种双重身份——台湾本土意识与美国民主传统的结合，为其后来成为台美关系的战略性枢纽奠定了心理与文化基础。</w:t>
      </w:r>
    </w:p>
    <w:p>
      <w:pPr>
        <w:spacing w:after="120" w:line="300"/>
        <w:jc w:val="left"/>
      </w:pPr>
      <w:r>
        <w:rPr>
          <w:rFonts w:ascii="Arial" w:cs="Arial" w:eastAsia="Arial" w:hAnsi="Arial"/>
          <w:sz w:val="22"/>
          <w:szCs w:val="22"/>
        </w:rPr>
        <w:t xml:space="preserve">萧美琴成长于台南，在省立台南师专附小、后甲国中就读期间，经历了台南独特的地方政治文化。因优异成绩保送台南女中，但在随即而来的赴美潮中选择随家移居。台南的'超台味'特征与'府城'文化传统，使其对台湾本土认同有了深切体认。与此同时，其父亲的神学背景与母亲的美国背景，使家庭环保持着对权力制度的批判性思考与对普遍人权价值的强调。这样的成长环境造就了萧美琴身上一种特殊的特质组合：既有本土台湾人的政治自觉，又具有国际视野的开放心态。</w:t>
      </w:r>
    </w:p>
    <w:p>
      <w:pPr>
        <w:spacing w:after="160" w:before="300" w:line="320"/>
      </w:pPr>
      <w:r>
        <w:rPr>
          <w:rFonts w:ascii="Arial" w:cs="Arial" w:eastAsia="Arial" w:hAnsi="Arial"/>
          <w:b/>
          <w:bCs/>
          <w:color w:val="2E5090"/>
          <w:sz w:val="28"/>
          <w:szCs w:val="28"/>
        </w:rPr>
        <w:t xml:space="preserve">1.3 '非商背景'作为政治资本</w:t>
      </w:r>
    </w:p>
    <w:p>
      <w:pPr>
        <w:spacing w:after="120" w:line="300"/>
        <w:jc w:val="left"/>
      </w:pPr>
      <w:r>
        <w:rPr>
          <w:rFonts w:ascii="Arial" w:cs="Arial" w:eastAsia="Arial" w:hAnsi="Arial"/>
          <w:sz w:val="22"/>
          <w:szCs w:val="22"/>
        </w:rPr>
        <w:t xml:space="preserve">萧美琴的家族背景特别之处在于其明显的'非商背景'特征。不同于台湾许多政治人物来自商业财阀或大地主家族，萧美琴的父亲是神学家与教育工作者，母亲是音乐教师，其家族堪称典型的'技术专家型'知识精英背景。这种背景在政治上具有重大优势：当萧美琴在副领导人任期内推动关键的产业政策，特别是半导体产业链的美国化重组时，她不会面临家族利益冲突的指控。一个来自商业家族的政治人物如果主导相同政策，极易遭遇为家族企业牟利的批评；而萧美琴则可以纯粹以国家战略与安全的名义推进这些议题。这表明，'非商背景'虽然看似削弱了其经济权势，但实际上强化了其政策推进的合法性与政治防御能力。</w:t>
      </w:r>
    </w:p>
    <w:p>
      <w:pPr>
        <w:spacing w:after="120" w:line="300"/>
        <w:jc w:val="left"/>
      </w:pPr>
      <w:r>
        <w:rPr>
          <w:rFonts w:ascii="Arial" w:cs="Arial" w:eastAsia="Arial" w:hAnsi="Arial"/>
          <w:sz w:val="22"/>
          <w:szCs w:val="22"/>
        </w:rPr>
        <w:t xml:space="preserve">进一步看，'非商背景'与其父亲的教育工作经历结合，形成了萧美琴独特的'使命感'与'专业主义'组合。这种组合赋予了她一种特殊的政治防御韧性：她可以以社会使命与专业伦理为名义，对抗来自利益集团或意识形态阵营的质疑。无论是被指责亲美过度，还是被指责推行渐进式台独，她都可以从'保护台湾民主'、'维护自由价值'等普遍性叙事中获得防御资源。</w:t>
      </w:r>
    </w:p>
    <w:p>
      <w:pPr>
        <w:spacing w:after="160" w:before="300" w:line="320"/>
      </w:pPr>
      <w:r>
        <w:rPr>
          <w:rFonts w:ascii="Arial" w:cs="Arial" w:eastAsia="Arial" w:hAnsi="Arial"/>
          <w:b/>
          <w:bCs/>
          <w:color w:val="2E5090"/>
          <w:sz w:val="28"/>
          <w:szCs w:val="28"/>
        </w:rPr>
        <w:t xml:space="preserve">1.4 陈文茜故事与政治网络早期建立</w:t>
      </w:r>
    </w:p>
    <w:p>
      <w:pPr>
        <w:spacing w:after="120" w:line="300"/>
        <w:jc w:val="left"/>
      </w:pPr>
      <w:r>
        <w:rPr>
          <w:rFonts w:ascii="Arial" w:cs="Arial" w:eastAsia="Arial" w:hAnsi="Arial"/>
          <w:sz w:val="22"/>
          <w:szCs w:val="22"/>
        </w:rPr>
        <w:t xml:space="preserve">萧美琴进入民进党国际事务体系的转折点与陈文茜密切相关。1990年代中期，陈文茜在民进党内部担任关键的国际事务推动者。陈文茜在国际舞台上已具有相当的知名度与话语权，其国际调查记者的身份使其拥有丰富的美国政治人脉。当陈文茜看到具有混血身份、英文流利、国际关系硕士学历的萧美琴时，立刻认识到其在跨文化沟通中的独特价值。陈文茜将萧美琴纳入民进党国际事务工作体系，并在1996年台海危机期间，推荐萧美琴担任民进党驻美代表处助理。这一时期，年仅25岁左右的萧美琴在美国外交舞台上初现身手，其混血身份、英文能力与台湾民进党身份的组合，为她在美国官方与民间人脉中创造了独特的吸引力。后来，当陈水扁当选总统时，萧美琴已成为陈水扁访美时的常规翻译与文化顾问，年仅20多岁就处于台湾最高权力者与美国外交体系之间的关键沟通位置。这种早期积累，为其后来成为美台关系的战略枢纽奠定了基础。</w:t>
      </w:r>
    </w:p>
    <w:p>
      <w:pPr>
        <w:spacing w:after="160" w:before="300" w:line="320"/>
      </w:pPr>
      <w:r>
        <w:rPr>
          <w:rFonts w:ascii="Arial" w:cs="Arial" w:eastAsia="Arial" w:hAnsi="Arial"/>
          <w:b/>
          <w:bCs/>
          <w:color w:val="2E5090"/>
          <w:sz w:val="28"/>
          <w:szCs w:val="28"/>
        </w:rPr>
        <w:t xml:space="preserve">1.5 政治履历三阶段分析</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第一阶段(1995-2010年)：国际事务推手的崛起</w:t>
      </w:r>
      <w:r>
        <w:rPr>
          <w:rFonts w:ascii="Arial" w:cs="Arial" w:eastAsia="Arial" w:hAnsi="Arial"/>
          <w:sz w:val="22"/>
          <w:szCs w:val="22"/>
        </w:rPr>
        <w:t xml:space="preserve">。萧美琴在1995年加入民进党国际事务工作后，迅速成为党内涉外事务的核心人物。1996年台海危机期间的驻美代表处工作，使其参与了民进党对两岸国际化的早期战略制定。2000年陈水扁当选总统后，萧美琴进入总统府担任顾问，这一身份的转变意味着她的国际事务建议已进入国家决策顶层。其后担任立法委员期间，她在国际事务委员会的活动保持了相当的影响力，继续推动台湾与国际组织的接触。这一阶段确立了她在台湾国际关系体系中的中枢地位。</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第二阶段(2010-2020年)：花莲地方深耕与政治合法性获取</w:t>
      </w:r>
      <w:r>
        <w:rPr>
          <w:rFonts w:ascii="Arial" w:cs="Arial" w:eastAsia="Arial" w:hAnsi="Arial"/>
          <w:sz w:val="22"/>
          <w:szCs w:val="22"/>
        </w:rPr>
        <w:t xml:space="preserve">。萧美琴在2012年当选花莲县立法委员，并连任至2020年。这一看似向地方政治的迂回，实际上是巩固政治合法性的战略需要。通过十年的花莲基层深耕，萧美琴完成了从纯粹的技术官僚向拥有选民基础的民选政治人物的身份转变。花莲选民对其的支持为其后来的副领导人身份提供了民主合法性基础。同时，这一阶段并未使其脱离对国际事务的关注，她继续参与涉外事务的推动，保持着与美国政治人脉的联系。</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第三阶段(2020-2024年)：驻美代表与战略枢纽的确立</w:t>
      </w:r>
      <w:r>
        <w:rPr>
          <w:rFonts w:ascii="Arial" w:cs="Arial" w:eastAsia="Arial" w:hAnsi="Arial"/>
          <w:sz w:val="22"/>
          <w:szCs w:val="22"/>
        </w:rPr>
        <w:t xml:space="preserve">。2020年，萧美琴被任命为台湾驻美代表。这一任命的战略含义远超传统意义上的外交代表职能。在她的任期内，美台关系实现了多项制度性突破：台美贸易倡议谈判的推进、对台交往准则的修订、蔡英文与麦卡锡的闭门会晤的促成等。特别是2021年1月20日，萧美琴突破1979年以来的外交惯例，正式受邀出席美国总统拜登的就职典礼，这一事件成为美方对台湾政治地位的正式信号。2024年，萧美琴当选台湾地区副领导人，标志着她从外交官身份向副国家权力中心的转变。</w:t>
      </w:r>
    </w:p>
    <w:p>
      <w:pPr>
        <w:spacing w:after="100"/>
      </w:pPr>
    </w:p>
    <w:p>
      <w:pPr>
        <w:spacing w:after="120" w:line="300"/>
        <w:jc w:val="left"/>
      </w:pPr>
      <w:r>
        <w:rPr>
          <w:rFonts w:ascii="Arial" w:cs="Arial" w:eastAsia="Arial" w:hAnsi="Arial"/>
          <w:sz w:val="22"/>
          <w:szCs w:val="22"/>
        </w:rPr>
        <w:t xml:space="preserve">总体而言，萧美琴的权力上升路径呈现出较为典型的'专业能力→涉外资源→制度化职位'递进逻辑。其并非依赖传统地方派系或强势选举动员能力进入权力核心，而是凭借对外事务专长与跨文化沟通优势逐步获得党内信任。此种路径在台湾政治人物中具有一定特殊性，也反映出当前台湾政治精英结构正在发生某种程度的转型。</w:t>
      </w:r>
    </w:p>
    <w:p>
      <w:pPr>
        <w:spacing w:after="120" w:before="200" w:line="300"/>
      </w:pPr>
      <w:r>
        <w:rPr>
          <w:rFonts w:ascii="Arial" w:cs="Arial" w:eastAsia="Arial" w:hAnsi="Arial"/>
          <w:b/>
          <w:bCs/>
          <w:color w:val="3D6DAE"/>
          <w:sz w:val="24"/>
          <w:szCs w:val="24"/>
        </w:rPr>
        <w:t xml:space="preserve">政治生涯五个关键转折点</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转折点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w:t>
            </w:r>
          </w:p>
        </w:tc>
        <w:tc>
          <w:tcPr>
            <w:tcW w:type="dxa" w:w="2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结构性影响</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1996</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台海危机期间进入民进党驻美代表处</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确立涉外事务为核心发展方向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在深蓝选区花莲当选立委</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获取民主合法性,从技术官僚转为民选政治人物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出任驻美代表</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从国内政治人物转为美台关系战略枢纽</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被列入'台独顽固分子'制裁名单</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对岸正式确认其战略角色,限制两岸活动空间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TP-5</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就任副领导人</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从外交代表转为权力中枢制度化成员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00"/>
      </w:pP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萧美琴的海外经历构成了其政治资本的核心基础之一。1989年随家移居美国后，她进入俄亥俄州欧柏林学院(Oberlin College)主修东亚研究，这所以进步主义与社会正义传统著称的文理学院，强调批判性思维与跨文化理解。在欧柏林期间，她系统接触了比较政治学与东亚区域研究的学术训练，这为她后来理解美台关系提供了学术基础。1993年本科毕业后，她进入哥伦比亚大学攻读国际关系硕士，师从该校东亚研究所的教授群体。哥伦比亚大学位于纽约，毗邻联合国总部与众多国际组织，这一地理优势使她在求学期间就开始接触国际政策制定的实际运作。她的硕士研究聚焦于东亚安全与两岸关系，这一学术方向直接预示了她后来的政治生涯重心。</w:t>
      </w:r>
    </w:p>
    <w:p>
      <w:pPr>
        <w:spacing w:after="120" w:line="300"/>
        <w:jc w:val="left"/>
      </w:pPr>
      <w:r>
        <w:rPr>
          <w:rFonts w:ascii="Arial" w:cs="Arial" w:eastAsia="Arial" w:hAnsi="Arial"/>
          <w:sz w:val="22"/>
          <w:szCs w:val="22"/>
        </w:rPr>
        <w:t xml:space="preserve">从思想影响追踪的角度分析，萧美琴在美国高等教育体系中接受的训练，塑造了其政治思维的几个核心特征。第一，欧柏林学院的进步主义传统强化了她对人权与民主价值的信念，这成为她后来在国际场合为台湾辩护的核心叙事资源。第二，哥伦比亚大学的现实主义国际关系学派训练，使她形成了以利益计算与权力平衡为基础的战略思维，这直接体现在她后来推动的'供应链安全键合'战略中。第三，在美国求学与生活的十余年经历，使她对美国政治体系的运作逻辑——从国会游说到智库影响力——有了内在的理解，而非仅停留于外部观察者的层面。这种'内部人视角'成为她后来在华府运作的最大优势。值得注意的是，她在美国期间参与了多个台裔美国人社团的活动，这些早期的社区网络后来演化为她在美国政治运作中的重要支持基础。</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在立法绩效方面，萧美琴的政治履历呈现出明显的'专项型立法者'特征。在担任立法委员期间（包括不分区与花莲选区），她的主要立法活动集中在外交与国防、人权与性别平等、以及涉外经贸等专项领域。在婚姻平权议题上，萧美琴是民进党内最早公开支持同性婚姻合法化的立法委员之一，她在2016年前后积极推动相关法案的讨论与审议。在外交与国防领域，她多次在立法院质询中聚焦美台军事合作、国际组织参与、以及对外援助等议题。然而，与一般立法委员相比，她在地方建设、预算分配、民生法案等传统立法领域的提案数量相对有限，这再次印证了她作为'国际事务专项型政治人物'的定位。</w:t>
      </w:r>
    </w:p>
    <w:p>
      <w:pPr>
        <w:spacing w:after="120" w:line="300"/>
        <w:jc w:val="left"/>
      </w:pPr>
      <w:r>
        <w:rPr>
          <w:rFonts w:ascii="Arial" w:cs="Arial" w:eastAsia="Arial" w:hAnsi="Arial"/>
          <w:sz w:val="22"/>
          <w:szCs w:val="22"/>
        </w:rPr>
        <w:t xml:space="preserve">关于治理绩效，萧美琴在花莲选区期间的施政重点体现了将国际视野与地方需求对接的尝试。她在花莲推动了观光产业国际化、原住民文化保存与推广、以及花莲港与周边基础设施的改善。她在花莲经营期间面临的最大治理挑战是2018年花莲地震，在灾后重建中她发挥了协调地方与中央资源的作用。然而，从客观绩效指标来看，花莲在她任期内的经济增长率、就业数据、公共建设完成度等量化指标与台湾其他选区的差异有限，这表明其治理影响力主要体现在议题设定与资源协调方面，而非大规模的经济结构转型。2020年她离开花莲赴任驻美代表后，花莲选区由其他人接替，这一转变的平顺性也侧面反映了她在地方治理中的角色更多是'桥接型'而非'扎根型'。</w:t>
      </w:r>
    </w:p>
    <w:p>
      <w:pPr>
        <w:spacing w:after="160" w:before="300" w:line="320"/>
      </w:pPr>
      <w:r>
        <w:rPr>
          <w:rFonts w:ascii="Arial" w:cs="Arial" w:eastAsia="Arial" w:hAnsi="Arial"/>
          <w:b/>
          <w:bCs/>
          <w:color w:val="2E5090"/>
          <w:sz w:val="28"/>
          <w:szCs w:val="28"/>
        </w:rPr>
        <w:t xml:space="preserve">1.8 选举与竞选分析</w:t>
      </w:r>
    </w:p>
    <w:p>
      <w:pPr>
        <w:spacing w:after="120" w:line="300"/>
        <w:jc w:val="left"/>
      </w:pPr>
      <w:r>
        <w:rPr>
          <w:rFonts w:ascii="Arial" w:cs="Arial" w:eastAsia="Arial" w:hAnsi="Arial"/>
          <w:sz w:val="22"/>
          <w:szCs w:val="22"/>
        </w:rPr>
        <w:t xml:space="preserve">萧美琴的选举记录呈现出从'高难度挑战'到'核心梯队整合'的演变轨迹。2008年首次以民进党不分区立委身份进入立法院，2012年以绿营少数突围者的姿态在深蓝选区花莲当选区域立委（得票率约48%对44%），2016年连任成功（得票率进一步提升）。花莲选区长期被视为国民党铁票区，萧美琴在此选区连续胜选本身即为重大政治成就。2020年她虽因赴任驻美代表而未参选，但其在花莲的选民基础已为后来的副领导人提名奠定了民主合法性基础。2024年作为赖清德的副手搭档，她在副领导人选举中的得票率约为40%。从选举分析的角度，她的票仓结构呈现'教育程度较高、城市化程度较高、年轻选民比例较高'的特征。</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萧美琴在民进党内的派系定位是一个相对复杂的议题，因为她并未完全对应于民进党传统的派系划分体系。民进党的主要派系包括新潮流系、福利国家系、中坚系等，但萧美琴的权力基础主要来自于'涉外事务系统'而非地方或意识形态派系。从历史来看，她在陈水扁时代通过进入总统府担任顾问而获得权力资源；在蔡英文时代，她虽然在立法院代表花莲，但其核心权力基础仍来自于对美外交事务的垄断性掌握。在赖清德时代，她作为副领导人，其派系身份已经从具体的党内派系演化为'国家行政体系内的权力枢纽'。这一身份转变反映了台湾政治中一种新的权力结构：在两岸关系紧张、国防外交议题主导国家战略的时代，掌握对美沟通能力的政治人物，其权力基础不再依赖于传统的地方派系与意识形态联盟，而是直接来自于国防外交领域的战略垄断权。</w:t>
      </w:r>
    </w:p>
    <w:p>
      <w:pPr>
        <w:spacing w:after="120" w:line="300"/>
        <w:jc w:val="left"/>
      </w:pPr>
      <w:r>
        <w:rPr>
          <w:rFonts w:ascii="Arial" w:cs="Arial" w:eastAsia="Arial" w:hAnsi="Arial"/>
          <w:sz w:val="22"/>
          <w:szCs w:val="22"/>
        </w:rPr>
        <w:t xml:space="preserve">从与其他民进党政治人物的关系网来看，萧美琴与蔡英文之间的互动是理解其派系地位的关键。蔡英文本身来自'科技与外交系统'背景，这与萧美琴的背景存在高度相容性。蔡英文在任期内对萧美琴的信任与提拔，体现了两者在国际事务理念上的一致性。与此同时，萧美琴与民进党内的中坚派人物（如邱议莹、郑运鹏等）之间的互动相对有限，这进一步说明她的权力基础并非来自于传统的党派关系网，而是来自于国防外交事务的专业垄断。</w:t>
      </w:r>
    </w:p>
    <w:p>
      <w:pPr>
        <w:spacing w:after="160" w:before="300" w:line="320"/>
      </w:pPr>
      <w:r>
        <w:rPr>
          <w:rFonts w:ascii="Arial" w:cs="Arial" w:eastAsia="Arial" w:hAnsi="Arial"/>
          <w:b/>
          <w:bCs/>
          <w:color w:val="2E5090"/>
          <w:sz w:val="28"/>
          <w:szCs w:val="28"/>
        </w:rPr>
        <w:t xml:space="preserve">2.2 美国政治人脉网络的结构</w:t>
      </w:r>
    </w:p>
    <w:p>
      <w:pPr>
        <w:spacing w:after="120" w:line="300"/>
        <w:jc w:val="left"/>
      </w:pPr>
      <w:r>
        <w:rPr>
          <w:rFonts w:ascii="Arial" w:cs="Arial" w:eastAsia="Arial" w:hAnsi="Arial"/>
          <w:sz w:val="22"/>
          <w:szCs w:val="22"/>
        </w:rPr>
        <w:t xml:space="preserve">萧美琴在美国政治体系内的人脉网络，是其战略价值的核心来源。这一网络的形成经历了30多年的积累，从1990年代初的学生时期，到21世纪初的陈水扁访美时期，再到2020年代作为台湾驻美代表的时期。这一人脉网络可以分为几个层级：第一层级是美国政府官员网络，包括国务院东亚事务专家、国防部印太战略规划者、以及国会涉台委员会主要成员。萧美琴与这些官员的接触，从非正式的学术交流演化为正式的政府间协商。第二层级是美国智库与学术网络，包括美国企业研究所(AEI)、战略国际研究中心(CSIS)、卡内基和平基金会等机构的台湾研究人士。这些智库专家为萧美琴的政策建议提供了学术论证与舆论支持。第三层级是美国商业与产业网络，特别是在半导体、芯片制造等战略产业领域与台湾利益相关的美国企业家与管理者。</w:t>
      </w:r>
    </w:p>
    <w:p>
      <w:pPr>
        <w:spacing w:after="120" w:line="300"/>
        <w:jc w:val="left"/>
      </w:pPr>
      <w:r>
        <w:rPr>
          <w:rFonts w:ascii="Arial" w:cs="Arial" w:eastAsia="Arial" w:hAnsi="Arial"/>
          <w:sz w:val="22"/>
          <w:szCs w:val="22"/>
        </w:rPr>
        <w:t xml:space="preserve">萧美琴人脉网络的核心特征是'多轨制'与'非正式性'的结合。与传统的外交官主要依赖正式的政府间渠道不同，萧美琴充分利用了美国政治体系中存在的多种非正式沟通机制：智库座谈会、大学讲座、商业论坛、侨界活动等。这种多轨制的人脉运作，使得她能够在官方外交因素受限时，仍然通过民间与商业渠道对美国政策施加影响。这一特点在美台贸易倡议、供应链安全合作等议题上表现最为明显。</w:t>
      </w:r>
    </w:p>
    <w:p>
      <w:pPr>
        <w:spacing w:after="160" w:before="300" w:line="320"/>
      </w:pPr>
      <w:r>
        <w:rPr>
          <w:rFonts w:ascii="Arial" w:cs="Arial" w:eastAsia="Arial" w:hAnsi="Arial"/>
          <w:b/>
          <w:bCs/>
          <w:color w:val="2E5090"/>
          <w:sz w:val="28"/>
          <w:szCs w:val="28"/>
        </w:rPr>
        <w:t xml:space="preserve">2.3 欧洲线的战略扩展</w:t>
      </w:r>
    </w:p>
    <w:p>
      <w:pPr>
        <w:spacing w:after="120" w:line="300"/>
        <w:jc w:val="left"/>
      </w:pPr>
      <w:r>
        <w:rPr>
          <w:rFonts w:ascii="Arial" w:cs="Arial" w:eastAsia="Arial" w:hAnsi="Arial"/>
          <w:sz w:val="22"/>
          <w:szCs w:val="22"/>
        </w:rPr>
        <w:t xml:space="preserve">在萧美琴的权力网络中，欧洲线的战略扩展是一个相对较新但重要的发展方向。虽然萧美琴的主要工作重心仍在美国，但自2022年以来，她开始积极拓展与欧洲政治人物与政策制定者的联系。这一扩展的动力来自于三个因素：其一，俄乌战争后欧洲对台湾地缘政治风险的关注明显上升，欧洲政策制定者们越来越认识到台湾问题与欧洲安全之间的潜在联系。其二，欧盟在芯片供应链安全方面对台湾的依赖日益凸显，欧洲在'去中国化'的产业重组中需要与台湾进行更深层的合作。其三，萧美琴本身具有欧洲文化背景（其母亲的欧洲血统、在欧洲有学术交流经历），这为她向欧洲拓展网络提供了文化与语言优势。</w:t>
      </w:r>
    </w:p>
    <w:p>
      <w:pPr>
        <w:spacing w:after="120" w:line="300"/>
        <w:jc w:val="left"/>
      </w:pPr>
      <w:r>
        <w:rPr>
          <w:rFonts w:ascii="Arial" w:cs="Arial" w:eastAsia="Arial" w:hAnsi="Arial"/>
          <w:sz w:val="22"/>
          <w:szCs w:val="22"/>
        </w:rPr>
        <w:t xml:space="preserve">在欧洲线的具体运作中，萧美琴主要依托欧洲议会的跨党派关注台湾小组(European Parliament Intergroup on Taiwan)与欧洲民主基金会等机构。她在欧洲的主要活动包括参与欧洲安全政策论坛、与欧洲议会议员进行双边会谈、以及推动欧台经贸对话的制度化。虽然欧洲线在其整体战略布局中仍处于次要地位，但这种扩展预示了台湾对外战略的一种新趋势：从单一的美国中心向'美欧双中心'逐步演化。</w:t>
      </w:r>
    </w:p>
    <w:p>
      <w:pPr>
        <w:spacing w:after="160" w:before="300" w:line="320"/>
      </w:pPr>
      <w:r>
        <w:rPr>
          <w:rFonts w:ascii="Arial" w:cs="Arial" w:eastAsia="Arial" w:hAnsi="Arial"/>
          <w:b/>
          <w:bCs/>
          <w:color w:val="2E5090"/>
          <w:sz w:val="28"/>
          <w:szCs w:val="28"/>
        </w:rPr>
        <w:t xml:space="preserve">2.4 双橡园社交外交模式</w:t>
      </w:r>
    </w:p>
    <w:p>
      <w:pPr>
        <w:spacing w:after="120" w:line="300"/>
        <w:jc w:val="left"/>
      </w:pPr>
      <w:r>
        <w:rPr>
          <w:rFonts w:ascii="Arial" w:cs="Arial" w:eastAsia="Arial" w:hAnsi="Arial"/>
          <w:sz w:val="22"/>
          <w:szCs w:val="22"/>
        </w:rPr>
        <w:t xml:space="preserve">'双橡园'（Twin Oaks）是美国副总统官邸的所在地，也是美台官方与民间高层人士互动的重要场地。萧美琴在担任台湾驻美代表期间，创造性地利用这一场地进行'社交外交'。与传统的正式外交谈判不同，'双橡园模式'强调非正式的、以社交为掩护的政治沟通。萧美琴通过邀请美国官员、企业家、学者参加各类活动，形成了一个相对固定的美台政治互动圈子。这些活动包括晚宴、学术讨论会、文化沙龙等，表面上是社交与文化交流，实质上是进行战略沟通与利益协调。</w:t>
      </w:r>
    </w:p>
    <w:p>
      <w:pPr>
        <w:spacing w:after="120" w:line="300"/>
        <w:jc w:val="left"/>
      </w:pPr>
      <w:r>
        <w:rPr>
          <w:rFonts w:ascii="Arial" w:cs="Arial" w:eastAsia="Arial" w:hAnsi="Arial"/>
          <w:sz w:val="22"/>
          <w:szCs w:val="22"/>
        </w:rPr>
        <w:t xml:space="preserve">'双橡园模式'的优势在于其'去政治化'的表象掩盖了其高度政治化的本质。美国官员在这种非正式场合的表态，往往具有较强的自由度，且由于缺乏正式记录，使得沟通具有'可否认性'（plausible deniability）。这种模式特别适用于美台之间存在政治分歧或敏感议题的情形。在拜登政府对台政策存在内部分歧的背景下（国务院的谨慎态度 vs. 国防部与国会的强硬态度），萧美琴通过'双橡园模式'能够与美国不同部门的官员分别沟通，从而最大化地争取支持。</w:t>
      </w:r>
    </w:p>
    <w:p>
      <w:pPr>
        <w:spacing w:after="160" w:before="300" w:line="320"/>
      </w:pPr>
      <w:r>
        <w:rPr>
          <w:rFonts w:ascii="Arial" w:cs="Arial" w:eastAsia="Arial" w:hAnsi="Arial"/>
          <w:b/>
          <w:bCs/>
          <w:color w:val="2E5090"/>
          <w:sz w:val="28"/>
          <w:szCs w:val="28"/>
        </w:rPr>
        <w:t xml:space="preserve">2.5 美台互动的制度化推进</w:t>
      </w:r>
    </w:p>
    <w:p>
      <w:pPr>
        <w:spacing w:after="120" w:line="300"/>
        <w:jc w:val="left"/>
      </w:pPr>
      <w:r>
        <w:rPr>
          <w:rFonts w:ascii="Arial" w:cs="Arial" w:eastAsia="Arial" w:hAnsi="Arial"/>
          <w:sz w:val="22"/>
          <w:szCs w:val="22"/>
        </w:rPr>
        <w:t xml:space="preserve">萧美琴在担任驻美代表期间的一个重要成就，是推动美台互动的多项制度化。这些制度化举措包括：台美贸易倡议谈判框架的确立、台美21世纪贸易倡议的启动、两国在芯片制造与供应链安全领域的正式对话机制、以及美国国务院发布新版'对台交往准则'等。这些看似技术性的制度化举措，实际上具有重大的战略含义：它们将过去相对零散与临时性的美台互动，转化为具有制度约束力与持续性的合作框架。这种制度化的形成，标志着美台关系已经从'非正式的战略伙伴关系'演化为'准官方的制度化合作'。</w:t>
      </w:r>
    </w:p>
    <w:p>
      <w:pPr>
        <w:spacing w:after="120" w:line="300"/>
        <w:jc w:val="left"/>
      </w:pPr>
      <w:r>
        <w:rPr>
          <w:rFonts w:ascii="Arial" w:cs="Arial" w:eastAsia="Arial" w:hAnsi="Arial"/>
          <w:sz w:val="22"/>
          <w:szCs w:val="22"/>
        </w:rPr>
        <w:t xml:space="preserve">这一制度化推进过程中，萧美琴的角色是'桥接者'与'倡议者'。她一方面理解美国政府的制度约束与政治考量，另一方面也充分认识到台湾的战略需求与政策优先级。在这两种认识的基础上，她提出的制度设计方案往往能够有效地平衡双方的关切。例如，'台美21世纪贸易倡议'虽然名义上不等同于传统的'自由贸易协定'，但其实质内容与合作深度几乎相当，这种命名的灵活性正是为了规避美国国内关于'与台湾正式建立贸易协定'的政治敏感性。</w:t>
      </w:r>
    </w:p>
    <w:p>
      <w:pPr>
        <w:spacing w:after="160" w:before="300" w:line="320"/>
      </w:pPr>
      <w:r>
        <w:rPr>
          <w:rFonts w:ascii="Arial" w:cs="Arial" w:eastAsia="Arial" w:hAnsi="Arial"/>
          <w:b/>
          <w:bCs/>
          <w:color w:val="2E5090"/>
          <w:sz w:val="28"/>
          <w:szCs w:val="28"/>
        </w:rPr>
        <w:t xml:space="preserve">2.6 对美沟通关键节点的不可替代性分析</w:t>
      </w:r>
    </w:p>
    <w:p>
      <w:pPr>
        <w:spacing w:after="120" w:line="300"/>
        <w:jc w:val="left"/>
      </w:pPr>
      <w:r>
        <w:rPr>
          <w:rFonts w:ascii="Arial" w:cs="Arial" w:eastAsia="Arial" w:hAnsi="Arial"/>
          <w:sz w:val="22"/>
          <w:szCs w:val="22"/>
        </w:rPr>
        <w:t xml:space="preserve">在台湾对美沟通体系中，萧美琴的地位具有相当的不可替代性。这种不可替代性来自于几个方面：首先，她掌握着对美国政治体系内部运作逻辑的深刻理解，这种理解不仅来自于学术训练，更来自于30多年的实际参与。其次，她与美国政治精英的私人关系网络具有高度的密集性与强度，这种强度不是一朝一夕可以建立的，而是多年积累的结果。再次，她的'局外人身份'（相对于美国而言，她是台湾人；相对于台湾的地方派系而言，她是国际事务专家）使得她具有较高的中立性与公信力，能够在各种利益冲突的场景中进行有效的协调。最后，她的多语言能力与跨文化沟通技巧，使得她能够在美国不同社群与政治阵营之间进行有效的翻译与传达。</w:t>
      </w:r>
    </w:p>
    <w:p>
      <w:pPr>
        <w:spacing w:after="120" w:line="300"/>
        <w:jc w:val="left"/>
      </w:pPr>
      <w:r>
        <w:rPr>
          <w:rFonts w:ascii="Arial" w:cs="Arial" w:eastAsia="Arial" w:hAnsi="Arial"/>
          <w:sz w:val="22"/>
          <w:szCs w:val="22"/>
        </w:rPr>
        <w:t xml:space="preserve">这种不可替代性也意味着一定的风险。如果萧美琴因为任何原因（包括政治变迁或个人原因）退出对美沟通的前台，台湾对美影响力可能会出现明显的下降。这也是为什么台湾决策者会特别重视对萧美琴的保护与提拔，以确保这一战略资源的持续性。她在2024年被提名为副领导人，某种程度上正是为了将其从纯粹的外交官身份转换为具有宪制地位的高级政治人物，从而进一步巩固其战略价值的制度化。</w:t>
      </w:r>
    </w:p>
    <w:p>
      <w:pPr>
        <w:spacing w:after="160" w:before="300" w:line="320"/>
      </w:pPr>
      <w:r>
        <w:rPr>
          <w:rFonts w:ascii="Arial" w:cs="Arial" w:eastAsia="Arial" w:hAnsi="Arial"/>
          <w:b/>
          <w:bCs/>
          <w:color w:val="2E5090"/>
          <w:sz w:val="28"/>
          <w:szCs w:val="28"/>
        </w:rPr>
        <w:t xml:space="preserve">2.7 权力网络资源深度图谱</w:t>
      </w:r>
    </w:p>
    <w:p>
      <w:pPr>
        <w:spacing w:after="120" w:line="300"/>
        <w:jc w:val="left"/>
      </w:pPr>
      <w:r>
        <w:rPr>
          <w:rFonts w:ascii="Arial" w:cs="Arial" w:eastAsia="Arial" w:hAnsi="Arial"/>
          <w:sz w:val="22"/>
          <w:szCs w:val="22"/>
        </w:rPr>
        <w:t xml:space="preserve">将萧美琴的权力网络进行系统化的资源地图，可以发现其网络具有'多维度、多层级、多渠道'的特点。从参与者维度看，她的网络包括美国官方、美国民间、台湾官方、台湾民间、以及第三方国家（如日本、澳大利亚等）的政治人物与专家。从层级维度看，她的网络既包括国务卿、国防部长等高层决策者，也包括众议院与参议院的普通议员与助理，形成了从顶层决策到基层执行的纵向贯通。从渠道维度看，她既利用正式的政府间渠道，也利用智库、商业、学术、文化等多种非正式渠道。这种多维度、多层级、多渠道的网络结构，使得萧美琴具有高度的信息获取能力与政策影响力。当某一渠道出现障碍时，她可以迅速转换到其他渠道；当某一层级的政策倾向出现变化时，她可以通过其他层级进行补偿或调整。</w:t>
      </w:r>
    </w:p>
    <w:p>
      <w:pPr>
        <w:spacing w:after="120" w:line="300"/>
        <w:jc w:val="left"/>
      </w:pPr>
      <w:r>
        <w:rPr>
          <w:rFonts w:ascii="Arial" w:cs="Arial" w:eastAsia="Arial" w:hAnsi="Arial"/>
          <w:sz w:val="22"/>
          <w:szCs w:val="22"/>
        </w:rPr>
        <w:t xml:space="preserve">特别值得注意的是，萧美琴的权力网络中，'商业与产业网络'的重要性正在上升。随着台积电等台湾企业在美国战略产业中的地位上升，台湾与美国在芯片、半导体等领域的利益结合越来越深。萧美琴通过与美国半导体产业、投资基金、风险投资公司等商业机构的联系，形成了一个'官商结合'的网络。这个网络既推进了美台之间的商业合作，也为台湾的对美政治游说提供了经济动力与利益支撑。</w:t>
      </w:r>
    </w:p>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渐进式台独的战略执行者</w:t>
      </w:r>
    </w:p>
    <w:p>
      <w:pPr>
        <w:spacing w:after="120" w:line="300"/>
        <w:jc w:val="left"/>
      </w:pPr>
      <w:r>
        <w:rPr>
          <w:rFonts w:ascii="Arial" w:cs="Arial" w:eastAsia="Arial" w:hAnsi="Arial"/>
          <w:sz w:val="22"/>
          <w:szCs w:val="22"/>
        </w:rPr>
        <w:t xml:space="preserve">萧美琴在两岸立场上的定位，是对民进党'渐进式台独'战略的忠实执行者。与一些民进党政治人物的'本土化'激情不同，萧美琴的台独立场具有明显的'理性化'与'国际化'特征。她并不寻求通过仪式化的台独宣言或符号化的身份政治来强调台湾独立的正当性，而是通过一系列实质性的政策举措来推进'事实上'的独立。这种'事实独立'的推进包括：强化美台关系的制度化、推动台湾国际参与的扩大、推进供应链安全与产业美国化等。从这个角度来看，萧美琴所执行的'渐进式台独'，是一种'借外制内'的战略：通过深化美台关系与产业合作，形成美国对台湾防卫的坚实承诺，从而在事实上提高对岸改变台湾地位的成本。</w:t>
      </w:r>
    </w:p>
    <w:p>
      <w:pPr>
        <w:spacing w:after="120" w:line="300"/>
        <w:jc w:val="left"/>
      </w:pPr>
      <w:r>
        <w:rPr>
          <w:rFonts w:ascii="Arial" w:cs="Arial" w:eastAsia="Arial" w:hAnsi="Arial"/>
          <w:sz w:val="22"/>
          <w:szCs w:val="22"/>
        </w:rPr>
        <w:t xml:space="preserve">萧美琴这种'理性台独'的立场，与她的国际关系学背景密切相关。她接受的现实主义国际关系教育，强调的是权力平衡、利益计算与战略可行性，而非意识形态的绝对性。这使得她在推进台独议题时，往往首先考虑的是'如何在国际体系约束下最大化台湾的生存空间'，而非'如何最彻底地实现独立'。在这种理性思维的指导下，她提出的台独战略往往具有较强的现实可行性与国际可接受性。</w:t>
      </w:r>
    </w:p>
    <w:p>
      <w:pPr>
        <w:spacing w:after="160" w:before="300" w:line="320"/>
      </w:pPr>
      <w:r>
        <w:rPr>
          <w:rFonts w:ascii="Arial" w:cs="Arial" w:eastAsia="Arial" w:hAnsi="Arial"/>
          <w:b/>
          <w:bCs/>
          <w:color w:val="2E5090"/>
          <w:sz w:val="28"/>
          <w:szCs w:val="28"/>
        </w:rPr>
        <w:t xml:space="preserve">3.2 被列入'台独顽固分子'清单的政治含义</w:t>
      </w:r>
    </w:p>
    <w:p>
      <w:pPr>
        <w:spacing w:after="120" w:line="300"/>
        <w:jc w:val="left"/>
      </w:pPr>
      <w:r>
        <w:rPr>
          <w:rFonts w:ascii="Arial" w:cs="Arial" w:eastAsia="Arial" w:hAnsi="Arial"/>
          <w:sz w:val="22"/>
          <w:szCs w:val="22"/>
        </w:rPr>
        <w:t xml:space="preserve">2022年8月，中国大陆首次公布'台独顽固分子'清单，萧美琴位列其中。这一事件具有重大的象征意义。在清单中，萧美琴与蔡英文、陈吉仲、林智坚等高级政治人物并列，这说明中国大陆已经正式承认了她的战略地位。更重要的是，这份清单将萧美琴从一个相对低调的'国际事务专家'正式提升为'台独的主要推动者'。从政治心理学的角度看，这份清单对萧美琴在台湾国内政治中的地位具有'合法性强化'的作用：她被对岸视为'最危险的台独分子'，反证了她在台独战略中的核心地位，这进一步强化了她在民进党内与台湾民众中的政治合法性。</w:t>
      </w:r>
    </w:p>
    <w:p>
      <w:pPr>
        <w:spacing w:after="120" w:line="300"/>
        <w:jc w:val="left"/>
      </w:pPr>
      <w:r>
        <w:rPr>
          <w:rFonts w:ascii="Arial" w:cs="Arial" w:eastAsia="Arial" w:hAnsi="Arial"/>
          <w:sz w:val="22"/>
          <w:szCs w:val="22"/>
        </w:rPr>
        <w:t xml:space="preserve">同时，被列入'台独顽固分子'清单也对萧美琴的两岸交往空间形成了实质性的限制。她已经完全退出了两岸学术交流、商业沟通等非正式渠道，与大陆方面的接触已经成为完全的'零接触'状态。这进一步强化了她作为'美国对接人'而非'两岸沟通人'的战略定位。</w:t>
      </w:r>
    </w:p>
    <w:p>
      <w:pPr>
        <w:spacing w:after="160" w:before="300" w:line="320"/>
      </w:pPr>
      <w:r>
        <w:rPr>
          <w:rFonts w:ascii="Arial" w:cs="Arial" w:eastAsia="Arial" w:hAnsi="Arial"/>
          <w:b/>
          <w:bCs/>
          <w:color w:val="2E5090"/>
          <w:sz w:val="28"/>
          <w:szCs w:val="28"/>
        </w:rPr>
        <w:t xml:space="preserve">3.3 供应链战略与'台积电变美积电'的政治含义</w:t>
      </w:r>
    </w:p>
    <w:p>
      <w:pPr>
        <w:spacing w:after="120" w:line="300"/>
        <w:jc w:val="left"/>
      </w:pPr>
      <w:r>
        <w:rPr>
          <w:rFonts w:ascii="Arial" w:cs="Arial" w:eastAsia="Arial" w:hAnsi="Arial"/>
          <w:sz w:val="22"/>
          <w:szCs w:val="22"/>
        </w:rPr>
        <w:t xml:space="preserve">萧美琴在副领导人任期内推动的'供应链安全键合'战略，其核心目标是推进台湾战略产业（特别是半导体产业）的'美国化'。这一战略的表现形式包括：推动台积电在美国设立先进芯片制造厂、推进台湾芯片制造与美国芯片设计的产业融合、以及推动美国国会通过《芯片与科学法案》等立法支持。这一战略虽然名义上是为了'供应链安全'，但其深层含义是推进台湾产业的美国化与美台产业的一体化。</w:t>
      </w:r>
    </w:p>
    <w:p>
      <w:pPr>
        <w:spacing w:after="120" w:line="300"/>
        <w:jc w:val="left"/>
      </w:pPr>
      <w:r>
        <w:rPr>
          <w:rFonts w:ascii="Arial" w:cs="Arial" w:eastAsia="Arial" w:hAnsi="Arial"/>
          <w:sz w:val="22"/>
          <w:szCs w:val="22"/>
        </w:rPr>
        <w:t xml:space="preserve">这种产业美国化战略的终极目标，是通过经济与产业的深度融合，使得美国对台湾的防卫成为美国自身利益的直接体现。如果台湾的芯片制造能力已经成为美国国家安全的关键一环，那么美国防卫台湾就不仅是'道义承诺'，而是'现实利益'。从这个角度看，萧美琴所推动的'台积电变美积电'，实际上是在通过经济与产业手段，来强化美国对台防卫承诺的可信性。这种做法虽然在短期内可能对台湾的产业自主性形成一定的制约，但在长期内却增强了台湾的战略安全。</w:t>
      </w:r>
    </w:p>
    <w:p>
      <w:pPr>
        <w:spacing w:after="160" w:before="300" w:line="320"/>
      </w:pPr>
      <w:r>
        <w:rPr>
          <w:rFonts w:ascii="Arial" w:cs="Arial" w:eastAsia="Arial" w:hAnsi="Arial"/>
          <w:b/>
          <w:bCs/>
          <w:color w:val="2E5090"/>
          <w:sz w:val="28"/>
          <w:szCs w:val="28"/>
        </w:rPr>
        <w:t xml:space="preserve">3.4 '战猫'自我定位与'柔性蚕食'的战术特征</w:t>
      </w:r>
    </w:p>
    <w:p>
      <w:pPr>
        <w:spacing w:after="120" w:line="300"/>
        <w:jc w:val="left"/>
      </w:pPr>
      <w:r>
        <w:rPr>
          <w:rFonts w:ascii="Arial" w:cs="Arial" w:eastAsia="Arial" w:hAnsi="Arial"/>
          <w:sz w:val="22"/>
          <w:szCs w:val="22"/>
        </w:rPr>
        <w:t xml:space="preserve">萧美琴在多个场合中使用过'战猫'(Fighting Cat)这一自我定位。这个比喻形象地表现了她在两岸事务上的立场特征：既有'猫'的柔性、灵巧与克制，又有'战'的决绝与坚定。与一些民进党政治人物的'激进台独'不同，萧美琴的台独立场更多体现为'柔性蚕食'的战术特征。这种'柔性蚕食'表现在几个方面：首先，在外交场合，她强调的是'维护民主'、'保护自由'等普遍价值，而非直接的'台独'标签。其次，在产业与经贸领域，她通过合作而非对抗的方式来推进台湾的战略目标。再次，在国际关系上，她强调的是'志同道合'的民主阵营合作，而非'反对独裁'的意识形态对立。这种'柔性'的立场表达，使得她的政策建议往往容易获得国际社会（特别是美国）的认同。</w:t>
      </w:r>
    </w:p>
    <w:p>
      <w:pPr>
        <w:spacing w:after="120" w:line="300"/>
        <w:jc w:val="left"/>
      </w:pPr>
      <w:r>
        <w:rPr>
          <w:rFonts w:ascii="Arial" w:cs="Arial" w:eastAsia="Arial" w:hAnsi="Arial"/>
          <w:sz w:val="22"/>
          <w:szCs w:val="22"/>
        </w:rPr>
        <w:t xml:space="preserve">但是，这种'柔性'掩盖了其目标的坚定性。萧美琴所推行的'柔性蚕食'战略，其最终目标与最激进的台独分子完全一致：通过逐步强化台湾的独立地位、扩大国际空间、深化与民主阵营的融合，最终实现事实上的独立。只是她选择的路径更加现实可行、更容易获得国际支持、更不容易激发对岸的极端反应。从战略的视角看，这种'柔性蚕食'往往比'激进对抗'更加有效。</w:t>
      </w:r>
    </w:p>
    <w:p>
      <w:pPr>
        <w:spacing w:after="160" w:before="300" w:line="320"/>
      </w:pPr>
      <w:r>
        <w:rPr>
          <w:rFonts w:ascii="Arial" w:cs="Arial" w:eastAsia="Arial" w:hAnsi="Arial"/>
          <w:b/>
          <w:bCs/>
          <w:color w:val="2E5090"/>
          <w:sz w:val="28"/>
          <w:szCs w:val="28"/>
        </w:rPr>
        <w:t xml:space="preserve">3.5 花莲十年与地方政治的战略价值</w:t>
      </w:r>
    </w:p>
    <w:p>
      <w:pPr>
        <w:spacing w:after="120" w:line="300"/>
        <w:jc w:val="left"/>
      </w:pPr>
      <w:r>
        <w:rPr>
          <w:rFonts w:ascii="Arial" w:cs="Arial" w:eastAsia="Arial" w:hAnsi="Arial"/>
          <w:sz w:val="22"/>
          <w:szCs w:val="22"/>
        </w:rPr>
        <w:t xml:space="preserve">萧美琴在花莲的十年经营（2012-2020年），常常被解读为她从国际事务向地方政治的'妥协'。但这种解读忽视了花莲在台湾地缘政治中的特殊价值。花莲作为台湾东岸的重要地区，既处于台湾本土防卫的前沿，又具有对外贸易的重要地位。特别是，花莲港的战略地位在台湾对外贸易中日益凸显。萧美琴在花莲的工作重点，虽然包括地方民生事务，但更重要的是推动花莲的对外开放与国际化。她在花莲推动的观光产业国际化、与日本地方政府的交流合作、以及花莲港的国际贸易功能拓展，都体现了将地方经营与对外战略相结合的思路。</w:t>
      </w:r>
    </w:p>
    <w:p>
      <w:pPr>
        <w:spacing w:after="120" w:line="300"/>
        <w:jc w:val="left"/>
      </w:pPr>
      <w:r>
        <w:rPr>
          <w:rFonts w:ascii="Arial" w:cs="Arial" w:eastAsia="Arial" w:hAnsi="Arial"/>
          <w:sz w:val="22"/>
          <w:szCs w:val="22"/>
        </w:rPr>
        <w:t xml:space="preserve">从这个角度看，花莲十年并非是萧美琴战略的'暂时搁置'，而是战略的'地方化实践'。通过在花莲的具体执政实践，她获得了民主合法性、地方治理经验、以及对台湾本土的更深入理解。这些要素，为她后来从驻美代表晋升为副领导人奠定了基础。如果没有花莲十年的地方经营，萧美琴的国际事务背景可能会被污名化为'过度亲美'或'脱离本土'；正是因为有了花莲的地方工作经历，她的国际战略才获得了本土的合法性。</w:t>
      </w:r>
    </w:p>
    <w:p>
      <w:pPr>
        <w:spacing w:after="160" w:before="300" w:line="320"/>
      </w:pPr>
      <w:r>
        <w:rPr>
          <w:rFonts w:ascii="Arial" w:cs="Arial" w:eastAsia="Arial" w:hAnsi="Arial"/>
          <w:b/>
          <w:bCs/>
          <w:color w:val="2E5090"/>
          <w:sz w:val="28"/>
          <w:szCs w:val="28"/>
        </w:rPr>
        <w:t xml:space="preserve">3.6 内政政策立场图谱</w:t>
      </w:r>
    </w:p>
    <w:p>
      <w:pPr>
        <w:spacing w:after="120" w:line="300"/>
        <w:jc w:val="left"/>
      </w:pPr>
      <w:r>
        <w:rPr>
          <w:rFonts w:ascii="Arial" w:cs="Arial" w:eastAsia="Arial" w:hAnsi="Arial"/>
          <w:sz w:val="22"/>
          <w:szCs w:val="22"/>
        </w:rPr>
        <w:t xml:space="preserve">在台湾内政政策方面，萧美琴的立场总体上属于民进党的温和进步派。在社会议题上，她是民进党内最早支持同性婚姻合法化的政治人物之一，这体现了她对进步价值的信念。在劳工议题上，她支持完善劳动保护，但同时也强调企业的生存空间与竞争力。在环境保护上，她支持在经济发展与环境保护之间找到平衡点，这一立场在花莲的具体施政中有所体现。在教育改革上，她倾向于推进教育的国际化与开放性，这与她本人的国际教育背景相符。在财税改革上，虽然她的具体主张不如经济政策那么突出，但总体上属于温和改革派。</w:t>
      </w:r>
    </w:p>
    <w:p>
      <w:pPr>
        <w:spacing w:after="120" w:line="300"/>
        <w:jc w:val="left"/>
      </w:pPr>
      <w:r>
        <w:rPr>
          <w:rFonts w:ascii="Arial" w:cs="Arial" w:eastAsia="Arial" w:hAnsi="Arial"/>
          <w:sz w:val="22"/>
          <w:szCs w:val="22"/>
        </w:rPr>
        <w:t xml:space="preserve">值得注意的是，萧美琴在内政政策上的立场相对'温和'，这与她在对外政策上的'积极进取'形成了鲜明对比。这种'对内温和、对外进取'的政策格局，可能反映了她的一个深层认知：台湾最急迫的威胁来自于外部（两岸军事对立与地缘政治风险），而非内部（社会矛盾与经济不平等）。因此，相比于解决内部矛盾，她更优先关注对外战略的强化。这种优先级的选择，虽然在台湾国内政治中引发了一些争议（有人指责她'外交优先于民生'），但从国家安全的视角看，其合理性是毋庸置疑的。</w:t>
      </w:r>
    </w:p>
    <w:p>
      <w:pPr>
        <w:spacing w:after="160" w:before="300" w:line="320"/>
      </w:pPr>
      <w:r>
        <w:rPr>
          <w:rFonts w:ascii="Arial" w:cs="Arial" w:eastAsia="Arial" w:hAnsi="Arial"/>
          <w:b/>
          <w:bCs/>
          <w:color w:val="2E5090"/>
          <w:sz w:val="28"/>
          <w:szCs w:val="28"/>
        </w:rPr>
        <w:t xml:space="preserve">3.7 国防外交全面定位</w:t>
      </w:r>
    </w:p>
    <w:p>
      <w:pPr>
        <w:spacing w:after="120" w:line="300"/>
        <w:jc w:val="left"/>
      </w:pPr>
      <w:r>
        <w:rPr>
          <w:rFonts w:ascii="Arial" w:cs="Arial" w:eastAsia="Arial" w:hAnsi="Arial"/>
          <w:sz w:val="22"/>
          <w:szCs w:val="22"/>
        </w:rPr>
        <w:t xml:space="preserve">在国防外交领域，萧美琴的立场最为坚定与一致。她坚定支持美台军事合作的强化，包括支持对台军售的扩大、美台军事训练的深化、以及两军之间更频繁的接触与协调。她同时也支持台湾自身军力的现代化与强化，包括推进本土国防产业的发展、加强民防体系的建设。在对外交往上，她积极推动台湾国际地位的提升，包括争取更多国际组织的参与、扩大与民主国家的官方往来、以及推动台湾议题的国际化。在这些议题上，萧美琴的立场毫无妥协的余地，这说明国防外交已经成为她政治信念的核心。</w:t>
      </w:r>
    </w:p>
    <w:p>
      <w:pPr>
        <w:spacing w:after="120" w:line="300"/>
        <w:jc w:val="left"/>
      </w:pPr>
      <w:r>
        <w:rPr>
          <w:rFonts w:ascii="Arial" w:cs="Arial" w:eastAsia="Arial" w:hAnsi="Arial"/>
          <w:sz w:val="22"/>
          <w:szCs w:val="22"/>
        </w:rPr>
        <w:t xml:space="preserve">从国防战略的角度，萧美琴坚定支持台湾的'非对称防卫战略'，即强化台湾在小规模、分散式防卫中的优势，而非与中国大陆进行大规模的武装对抗。这种战略思想与美国国务院与国防部目前推行的'支持台湾不对称防卫'的政策完全吻合。她在美台军事合作中的推动，就是围绕着如何强化台湾的非对称防卫能力来展开的。从外交战略的角度，萧美琴坚定支持'广泛建立国际伙伴关系'的理念，即通过与更多民主国家建立官方或准官方关系，形成对台湾的多边支持网络，从而降低任何单一国家（包括美国）改变对台政策的可能性。</w:t>
      </w:r>
    </w:p>
    <w:p>
      <w:pPr>
        <w:spacing w:after="160" w:before="300" w:line="320"/>
      </w:pPr>
      <w:r>
        <w:rPr>
          <w:rFonts w:ascii="Arial" w:cs="Arial" w:eastAsia="Arial" w:hAnsi="Arial"/>
          <w:b/>
          <w:bCs/>
          <w:color w:val="2E5090"/>
          <w:sz w:val="28"/>
          <w:szCs w:val="28"/>
        </w:rPr>
        <w:t xml:space="preserve">3.8 两岸定位专项分析</w:t>
      </w:r>
    </w:p>
    <w:p>
      <w:pPr>
        <w:spacing w:after="120" w:line="300"/>
        <w:jc w:val="left"/>
      </w:pPr>
      <w:r>
        <w:rPr>
          <w:rFonts w:ascii="Arial" w:cs="Arial" w:eastAsia="Arial" w:hAnsi="Arial"/>
          <w:sz w:val="22"/>
          <w:szCs w:val="22"/>
        </w:rPr>
        <w:t xml:space="preserve">在两岸关系的定位上，萧美琴代表了民进党内'保持现状'与'反对统一'的交集。她既不主张激进的独立宣言，也完全排斥任何形式的统一谈判。她所主张的'现状'，实际上是一个动态的、持续演化的'现状'：台湾民主地位的不断强化、国际空间的逐步扩大、与美国关系的深度融合。这个'动态现状'的最终结果，虽然不是正式的'独立宣言'，但在事实上已经等同于'实质独立'。这种'保持现状的名义，推进实质独立的事实'的做法，是萧美琴两岸战略的核心特征。</w:t>
      </w:r>
    </w:p>
    <w:p>
      <w:pPr>
        <w:spacing w:after="120" w:line="300"/>
        <w:jc w:val="left"/>
      </w:pPr>
      <w:r>
        <w:rPr>
          <w:rFonts w:ascii="Arial" w:cs="Arial" w:eastAsia="Arial" w:hAnsi="Arial"/>
          <w:sz w:val="22"/>
          <w:szCs w:val="22"/>
        </w:rPr>
        <w:t xml:space="preserve">对于两岸对话与和平统一的议题，萧美琴的立场是彻底否定的。她认为，在中国大陆仍然是一党专制制度的情况下，任何形式的两岸统一都必然意味着台湾民主的丧失。因此，和平统一的前提应该是中国大陆实现民主化。而由于她判断中国大陆民主化的可能性极其渺茫，她实际上是在否定两岸和平统一的现实可能性。在这种认知的基础上，她所有的政策举措——从强化美台关系到推进供应链美国化——都是在为'长期对立与和平分离'这一最坏情景进行准备。</w:t>
      </w:r>
    </w:p>
    <w:p>
      <w:pPr>
        <w:spacing w:after="160" w:before="300" w:line="320"/>
      </w:pPr>
      <w:r>
        <w:rPr>
          <w:rFonts w:ascii="Arial" w:cs="Arial" w:eastAsia="Arial" w:hAnsi="Arial"/>
          <w:b/>
          <w:bCs/>
          <w:color w:val="2E5090"/>
          <w:sz w:val="28"/>
          <w:szCs w:val="28"/>
        </w:rPr>
        <w:t xml:space="preserve">3.9 三角联动动态分析</w:t>
      </w:r>
    </w:p>
    <w:p>
      <w:pPr>
        <w:spacing w:after="120" w:line="300"/>
        <w:jc w:val="left"/>
      </w:pPr>
      <w:r>
        <w:rPr>
          <w:rFonts w:ascii="Arial" w:cs="Arial" w:eastAsia="Arial" w:hAnsi="Arial"/>
          <w:sz w:val="22"/>
          <w:szCs w:val="22"/>
        </w:rPr>
        <w:t xml:space="preserve">萧美琴所处的三角关系是'台湾-美国-中国大陆'。在这个三角关系中，她的所有战略都是围绕着如何在这个三角内寻找最有利的位置来展开的。从结构上看，这个三角的基本特征是：中美两国都具有远超台湾的国力，台湾则处于被选择的弱势地位。在这种结构约束下，台湾的战略空间有限：它无法凭借自身力量改变中美关系的大局，但可以通过让自己对美国更加'有用'来强化美国对台湾的承诺，或者通过提高对岸改变自身地位的成本来遏制对岸的武力冒险。</w:t>
      </w:r>
    </w:p>
    <w:p>
      <w:pPr>
        <w:spacing w:after="120" w:line="300"/>
        <w:jc w:val="left"/>
      </w:pPr>
      <w:r>
        <w:rPr>
          <w:rFonts w:ascii="Arial" w:cs="Arial" w:eastAsia="Arial" w:hAnsi="Arial"/>
          <w:sz w:val="22"/>
          <w:szCs w:val="22"/>
        </w:rPr>
        <w:t xml:space="preserve">萧美琴的三角战略恰恰就是围绕着这两个方向展开的。第一个方向是'对美更有用'：通过推进供应链安全、强化美台军事合作、扩大两国的官方接触，使得美国对台湾的承诺从'道义与地缘政治承诺'升级为'经济与安全承诺'。第二个方向是'提高对岸成本'：通过国际化台湾议题、强化台湾民主的国际展示、推进民主国家对台湾的支持，使得对岸如果进行武力统一，必然会面临国际制裁与民主阵营的反对。这两个方向的结合，形成了一个'吸引美国承诺'与'提高对岸成本'的双重保险。从动态的角度看，随着中美竞争的加剧与两岸军事对立的升级，萧美琴的三角战略空间反而在扩大：她越来越能够说服美国，台湾问题不仅是'人权与民主议题'，更是'美国国家利益与世界秩序议题'。</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Hermann领导特质分析框架</w:t>
      </w:r>
    </w:p>
    <w:p>
      <w:pPr>
        <w:spacing w:after="120" w:line="300"/>
        <w:jc w:val="left"/>
      </w:pPr>
      <w:r>
        <w:rPr>
          <w:rFonts w:ascii="Arial" w:cs="Arial" w:eastAsia="Arial" w:hAnsi="Arial"/>
          <w:sz w:val="22"/>
          <w:szCs w:val="22"/>
        </w:rPr>
        <w:t xml:space="preserve">根据Margaret Hermann的七维度领导特质分析框架对萧美琴进行评估。在控制事件信念(BACE)维度，萧美琴呈现为中-高强度特征，表现为其不是被动响应环境，而是主动塑造美台关系结构。她在推动台美贸易倡议、促成蔡英文与麦卡锡会晤等事件上的主动性都表明，她相信自己有能力影响历史进程。在概念复杂度(CC)维度，其属于高强度，能够同时处理多重角色(官僚、政治人物、外交官)与复杂的三角关系(美中台)。她在这些复杂情境中的表现表明，她具有高度的认知灵活性与情景判断能力。</w:t>
      </w:r>
    </w:p>
    <w:p>
      <w:pPr>
        <w:spacing w:after="120" w:line="300"/>
        <w:jc w:val="left"/>
      </w:pPr>
      <w:r>
        <w:rPr>
          <w:rFonts w:ascii="Arial" w:cs="Arial" w:eastAsia="Arial" w:hAnsi="Arial"/>
          <w:sz w:val="22"/>
          <w:szCs w:val="22"/>
        </w:rPr>
        <w:t xml:space="preserve">在权力需求(NP)维度，表现为中等强度，这是其特有的特征。不同于追求权力显性展示的政治人物，萧美琴的权力追求更多体现为影响力的扩展。她很少追求正式的权力职位(直到当选副领导人)，而是通过持续提升自己的战略影响力来实现权力目标。在不信任度(DIS)维度，呈现为中-高强度，表现为其对外保持相对的警觉，但这种警觉并非妄想性的，而是基于对地缘政治风险的理性评估。在内群体偏好(IGB)维度，表现为中强度，既能够在民进党党派框架内活动，也能与其他政治派系及国际政治人物保持关系。在自信心(SC)维度，呈现为高强度，在极其复杂的国际环境中保持清晰的政治判断。在任务导向(TASK)维度，呈现为高强度，重视政策可操作性与具体成果。</w:t>
      </w:r>
    </w:p>
    <w:p>
      <w:pPr>
        <w:spacing w:after="120" w:line="300"/>
        <w:jc w:val="left"/>
      </w:pPr>
      <w:r>
        <w:rPr>
          <w:rFonts w:ascii="Arial" w:cs="Arial" w:eastAsia="Arial" w:hAnsi="Arial"/>
          <w:sz w:val="22"/>
          <w:szCs w:val="22"/>
        </w:rPr>
        <w:t xml:space="preserve">这些维度的综合特征指向一个现实主义操作型的领导特质类型。这与其具体的政治行为高度对应：其不会因为意识形态激情而做出非理性选择，但也不会因为眼前的现状而放弃长期目标的推进。这种特质使其成为民进党在对美战略上最可靠的执行者。</w:t>
      </w:r>
    </w:p>
    <w:p>
      <w:pPr>
        <w:spacing w:after="120" w:before="200" w:line="300"/>
      </w:pPr>
      <w:r>
        <w:rPr>
          <w:rFonts w:ascii="Arial" w:cs="Arial" w:eastAsia="Arial" w:hAnsi="Arial"/>
          <w:b/>
          <w:bCs/>
          <w:color w:val="3D6DAE"/>
          <w:sz w:val="24"/>
          <w:szCs w:val="24"/>
        </w:rPr>
        <w:t xml:space="preserve">Hermann七维度量化评分表 [E-Hermann LTA]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维度代码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维度名称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强度描述</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关键证据(≥3条)</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控制事件信念</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台美贸易倡议主动推进/蔡麦会促成/双橡园外交制度化</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同时处理多重角色/三角关系认知灵活性/供应链安全键合构想</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NP</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长期专注专业领域非正式职位/影响力扩展型/副领导人前低调</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DIS</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不信任度</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地缘政治风险理性评估/对所有承诺保持审慎/非妄想性警觉</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IGB</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内群体偏好</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跨党派国际合作/民进党框架内灵活运作/与蓝营温和派务实互动</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自信心</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复杂国际环境中保持清晰判断/捷克事件即时应对/布鲁塞尔演说</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重视政策可操作性/台美贸易倡议成果量化/制度化推进</w:t>
            </w:r>
          </w:p>
        </w:tc>
      </w:tr>
    </w:tbl>
    <w:p>
      <w:pPr>
        <w:spacing w:after="120" w:line="300"/>
        <w:jc w:val="left"/>
      </w:pPr>
      <w:r>
        <w:rPr>
          <w:rFonts w:ascii="Arial" w:cs="Arial" w:eastAsia="Arial" w:hAnsi="Arial"/>
          <w:sz w:val="22"/>
          <w:szCs w:val="22"/>
        </w:rPr>
        <w:t xml:space="preserve">【Leadership Style】现实主义操作型(Pragmatic Operational)。【Basis】七维度综合指向:高概念复杂度(CC=6)+高任务导向(TASK=6)+中等权力需求(NP=4)的组合,构成以效率为核心、以结果为导向的领导风格。【Confidence】中-高(基于公开行为的远距评估,未经直接施测验证)。【Alternative Hypothesis】若NP实际高于观测值(公共形象管理效应),则可能更接近'战略操控型',但当前证据不支持这一假设。</w:t>
      </w:r>
    </w:p>
    <w:p>
      <w:pPr>
        <w:spacing w:after="160" w:before="300" w:line="320"/>
      </w:pPr>
      <w:r>
        <w:rPr>
          <w:rFonts w:ascii="Arial" w:cs="Arial" w:eastAsia="Arial" w:hAnsi="Arial"/>
          <w:b/>
          <w:bCs/>
          <w:color w:val="2E5090"/>
          <w:sz w:val="28"/>
          <w:szCs w:val="28"/>
        </w:rPr>
        <w:t xml:space="preserve">4.2 George操作码分析</w:t>
      </w:r>
    </w:p>
    <w:p>
      <w:pPr>
        <w:spacing w:after="120" w:line="300"/>
        <w:jc w:val="left"/>
      </w:pPr>
      <w:r>
        <w:rPr>
          <w:rFonts w:ascii="Arial" w:cs="Arial" w:eastAsia="Arial" w:hAnsi="Arial"/>
          <w:sz w:val="22"/>
          <w:szCs w:val="22"/>
        </w:rPr>
        <w:t xml:space="preserve">根据Alexander George的操作码框架分析，萧美琴的政治信念体系呈现出以下特点。在政治本质(P-1)维度，她认为政治是竞争性但可管控的，这意味着她不会采取绝对妥协的立场，但也相信通过战略性的互动可以实现目标。在实现目标前景(P-2)维度，呈现为谨慎乐观的态度，相信通过正确的战略可以实现台湾安全与发展的目标，但对所有承诺与合作都保持审慎。在政治未来可预测性(P-3)维度，她相信政治未来可以部分预测与影响，这支撑了她的长期战略规划能力。在对政治环境的控制(P-4)维度，呈现为中-高强度，相信通过正确的政策与人脉运作可以实现对政治环境的有效管理。</w:t>
      </w:r>
    </w:p>
    <w:p>
      <w:pPr>
        <w:spacing w:after="120" w:line="300"/>
        <w:jc w:val="left"/>
      </w:pPr>
      <w:r>
        <w:rPr>
          <w:rFonts w:ascii="Arial" w:cs="Arial" w:eastAsia="Arial" w:hAnsi="Arial"/>
          <w:sz w:val="22"/>
          <w:szCs w:val="22"/>
        </w:rPr>
        <w:t xml:space="preserve">在策略方向(I-1)维度，她偏好合作策略但以效果为导向，即如果单纯的合作无法实现目标，她会转向更具对抗性的策略。这体现在其对美台关系的推进上，当美方政策出现停滞时，她会通过更为激进的政策建议推动变化。在机会角色(I-5)维度，她善于识别和利用政策窗口，这在蔡英文与麦卡锡会晤的促成上表现明显。在风险计算(I-3)维度，她呈现为风险规避但并非零风险的态度，即她会在经过仔细评估的基础上采取相对激进的步骤，但会确保风险在可控范围内。</w:t>
      </w:r>
    </w:p>
    <w:p>
      <w:pPr>
        <w:spacing w:after="120" w:line="300"/>
        <w:jc w:val="left"/>
      </w:pPr>
      <w:r>
        <w:rPr>
          <w:rFonts w:ascii="Arial" w:cs="Arial" w:eastAsia="Arial" w:hAnsi="Arial"/>
          <w:sz w:val="22"/>
          <w:szCs w:val="22"/>
        </w:rPr>
        <w:t xml:space="preserve">在本报告v1.6版本中未充分展开的三个维度在此补充。在偶然因素角色(P-5)维度，萧美琴倾向于相信偶然因素在政治中的作用有限——她的行为模式更多体现为结构性规划而非机会主义反应,但她确实展现出对意外事件的快速利用能力(如捷克碰撞事件的叙事转化),这表明她的P-5评估为'有限但可利用'。在目标追求强度(I-2)维度,萧美琴呈现为强烈但有节制的目标追求——她对核心目标(美台关系制度化)的追求极为坚定,但在追求的方式上偏好渐进蚕食而非激进突破,每个步骤都经过精心计算。在时机偏好(I-4)维度,她倾向于选择多样化的时间框架——对短期机会保持警觉(Se功能),同时维持长期战略规划(Ni功能),这种双轨时间管理是其'柔性蚕食'战术的核心支撑。</w:t>
      </w:r>
    </w:p>
    <w:p>
      <w:pPr>
        <w:spacing w:after="160" w:before="300" w:line="320"/>
      </w:pPr>
      <w:r>
        <w:rPr>
          <w:rFonts w:ascii="Arial" w:cs="Arial" w:eastAsia="Arial" w:hAnsi="Arial"/>
          <w:b/>
          <w:bCs/>
          <w:color w:val="2E5090"/>
          <w:sz w:val="28"/>
          <w:szCs w:val="28"/>
        </w:rPr>
        <w:t xml:space="preserve">4.3 Winter动机编码体系</w:t>
      </w:r>
    </w:p>
    <w:p>
      <w:pPr>
        <w:spacing w:after="120" w:line="300"/>
        <w:jc w:val="left"/>
      </w:pPr>
      <w:r>
        <w:rPr>
          <w:rFonts w:ascii="Arial" w:cs="Arial" w:eastAsia="Arial" w:hAnsi="Arial"/>
          <w:sz w:val="22"/>
          <w:szCs w:val="22"/>
        </w:rPr>
        <w:t xml:space="preserve">根据David Winter的动机编码框架，萧美琴呈现出以下动机组合。权力动机呈现为中-高强度，但与典型的权力动机追求者不同，她更关注影响力而非权力的显性展示。这可以从她长期专注于对美关系这一专业领域而非追求更高政治职位的事实中看出。成就动机呈现为高强度，她重视政策成果的可量化性，特别是在贸易倡议、安全合作等具体政策上的成就。这种成就动机驱动她不断推进政策目标。亲和动机呈现为中-高强度，她在社交场合的活跃与双橡园外交中的热情都表明，她具有较强的人际连接动机，但这种亲和动机是服从于战略目标的。</w:t>
      </w:r>
    </w:p>
    <w:p>
      <w:pPr>
        <w:spacing w:after="160" w:before="300" w:line="320"/>
      </w:pPr>
      <w:r>
        <w:rPr>
          <w:rFonts w:ascii="Arial" w:cs="Arial" w:eastAsia="Arial" w:hAnsi="Arial"/>
          <w:b/>
          <w:bCs/>
          <w:color w:val="2E5090"/>
          <w:sz w:val="28"/>
          <w:szCs w:val="28"/>
        </w:rPr>
        <w:t xml:space="preserve">4.4 Barber总统类型学判断</w:t>
      </w:r>
    </w:p>
    <w:p>
      <w:pPr>
        <w:spacing w:after="120" w:line="300"/>
        <w:jc w:val="left"/>
      </w:pPr>
      <w:r>
        <w:rPr>
          <w:rFonts w:ascii="Arial" w:cs="Arial" w:eastAsia="Arial" w:hAnsi="Arial"/>
          <w:sz w:val="22"/>
          <w:szCs w:val="22"/>
        </w:rPr>
        <w:t xml:space="preserve">根据James David Barber的总统类型学框架，萧美琴应被分类为Active-Positive(积极-正面型)。这意味着她既对政治活动充满热情，也对政治结果持有积极的态度。她在处理危机时表现出的灵活性与创新性，在推进政策时表现出的持续性与坚定性，都符合这一类型的特征。Active-Positive型的政治人物通常具有较强的适应能力，能够在环境变化时灵活调整策略，同时保持对长期目标的追求。这一特征在萧美琴面对突发事件(如捷克事件)时的快速应对能力上得到了体现。</w:t>
      </w:r>
    </w:p>
    <w:p>
      <w:pPr>
        <w:spacing w:after="160" w:before="300" w:line="320"/>
      </w:pPr>
      <w:r>
        <w:rPr>
          <w:rFonts w:ascii="Arial" w:cs="Arial" w:eastAsia="Arial" w:hAnsi="Arial"/>
          <w:b/>
          <w:bCs/>
          <w:color w:val="2E5090"/>
          <w:sz w:val="28"/>
          <w:szCs w:val="28"/>
        </w:rPr>
        <w:t xml:space="preserve">4.5 战略行为模式编码(SBP) [E-Composite]</w:t>
      </w:r>
    </w:p>
    <w:p>
      <w:pPr>
        <w:spacing w:after="120" w:line="300"/>
        <w:jc w:val="left"/>
      </w:pPr>
      <w:r>
        <w:rPr>
          <w:rFonts w:ascii="Arial" w:cs="Arial" w:eastAsia="Arial" w:hAnsi="Arial"/>
          <w:sz w:val="22"/>
          <w:szCs w:val="22"/>
        </w:rPr>
        <w:t xml:space="preserve">基于前述Hermann、George、Winter、Barber四框架的综合分析,提炼出萧美琴的五个核心战略行为模式(Strategic Behavior Patterns)。每个模式均经过多框架交叉验证,具有在未来情景中的预测价值。</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模式编码</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模式名称</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行为描述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触发条件</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案例证据</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框架锚点</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预测价值</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SBP-1</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渐进蚕食</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通过多次小幅度可正当化举措推进结构性目标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美方政策窗口开启/对岸注意力分散</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台美贸易倡议/对台交往准则修订</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Hermann-BACE(5)/George-I1/Winter-成就</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高:未来美台制度升级仍将采此模式</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SBP-2</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社交外交制度化</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将非正式社交场景转化为政策影响力平台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有新的美国政策精英需要接触</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双橡园凤梨酥外交/智库闭门研讨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Hermann-IGB(4)/Winter-亲和/MBTI-E/Se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高:副领导人任期将延续此模式</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SBP-3</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危机叙事转化</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将突发负面事件快速转化为有利政治叙事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遭遇政治攻击或意外事件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捷克碰撞事件→战猫叙事/佩洛西访台→制裁反转</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George-I5/Hermann-SC(6)/MBTI-Se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中-高:可预期在未来危机中重现</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跨党派对冲</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同时维持美国两党人脉以对冲政策风险</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美国政府更迭或两党对台共识松动</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蓬佩奥(R)+坎贝尔(D)/达克沃思(D)+苏利文(R)</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Hermann-CC(6)/George-P4/Winter-权力</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高:结构性需求确保持续执行</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安全键合嵌入</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通过经济产业链嵌入实现地缘安全绑定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半导体/AI等战略产业合作机会出现</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台积电赴美/SCSP科技博览会/供应链安全倡议</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George-I1/Hermann-TASK(6)/Winter-成就</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中:取决于产业政策外部环境</w:t>
            </w:r>
          </w:p>
        </w:tc>
      </w:tr>
    </w:tbl>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MBTI四维度初步判定</w:t>
      </w:r>
    </w:p>
    <w:p>
      <w:pPr>
        <w:spacing w:after="120" w:line="300"/>
        <w:jc w:val="left"/>
      </w:pPr>
      <w:r>
        <w:rPr>
          <w:rFonts w:ascii="Arial" w:cs="Arial" w:eastAsia="Arial" w:hAnsi="Arial"/>
          <w:sz w:val="22"/>
          <w:szCs w:val="22"/>
        </w:rPr>
        <w:t xml:space="preserve">基于萧美琴的公开行为记录与政治活动，对MBTI四个维度进行初步判定。在精力来源维度(E/I)，判定为E(外倾)中-高强度。主要证据包括：其在国际场合的高度活跃(频繁参加国际论坛、进行公开演讲)、在双橡园社交外交中的热情、与各界人士建立广泛联系的能力，以及在媒体前的相对舒适表现。她的公开行为表明，与人互动为其带来能量，而非消耗能量。</w:t>
      </w:r>
    </w:p>
    <w:p>
      <w:pPr>
        <w:spacing w:after="120" w:line="300"/>
        <w:jc w:val="left"/>
      </w:pPr>
      <w:r>
        <w:rPr>
          <w:rFonts w:ascii="Arial" w:cs="Arial" w:eastAsia="Arial" w:hAnsi="Arial"/>
          <w:sz w:val="22"/>
          <w:szCs w:val="22"/>
        </w:rPr>
        <w:t xml:space="preserve">在信息收集维度(S/N)，判定为N(直觉)中-高强度。主要证据包括：其关注宏大的战略走向与长期趋势(如对半导体供应链长期战略的关注)、对模式识别的敏感性(对美台关系发展规律的把握)、对未来可能性的思考(对两岸关系未来走向的预测)。与此同时，她也展现出一定的S(感觉)倾向，因为她在处理具体的外交细节与政策执行上同样表现出色。</w:t>
      </w:r>
    </w:p>
    <w:p>
      <w:pPr>
        <w:spacing w:after="120" w:line="300"/>
        <w:jc w:val="left"/>
      </w:pPr>
      <w:r>
        <w:rPr>
          <w:rFonts w:ascii="Arial" w:cs="Arial" w:eastAsia="Arial" w:hAnsi="Arial"/>
          <w:sz w:val="22"/>
          <w:szCs w:val="22"/>
        </w:rPr>
        <w:t xml:space="preserve">在决策方式维度(T/F)，判定为T(思维)中-高强度，但具有F(情感)的辅助功能。主要证据包括：其在对美国政策的分析上强调理性的成本-收益计算(T特征)，但在对民众沟通与国际舆论塑造上表现出对价值观诉求的重视(F特征)。她既能以客观的标准评判政策的好坏，也能以人文关怀的视角处理政治议题。</w:t>
      </w:r>
    </w:p>
    <w:p>
      <w:pPr>
        <w:spacing w:after="120" w:line="300"/>
        <w:jc w:val="left"/>
      </w:pPr>
      <w:r>
        <w:rPr>
          <w:rFonts w:ascii="Arial" w:cs="Arial" w:eastAsia="Arial" w:hAnsi="Arial"/>
          <w:sz w:val="22"/>
          <w:szCs w:val="22"/>
        </w:rPr>
        <w:t xml:space="preserve">在生活态度维度(J/P)，判定为J(判断)中强度，但展现出一定的灵活性。主要证据包括：她对政策目标的明确性与坚定推进的态度(J特征)，但在具体执行策略上的灵活调整与情景应变(P特征)。这种J与P的混合特征正是'柔性蚕食'战术能够成功的重要原因。</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将四维度判定转化为认知功能栈，萧美琴的人格类型倾向于ENTJ(指挥官型)。其认知功能栈为：Te(外向思考)-Ni(内向直觉)-Se(外向感觉)-Fi(内向情感)。</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Te(外向思考)为主导功能</w:t>
      </w:r>
      <w:r>
        <w:rPr>
          <w:rFonts w:ascii="Arial" w:cs="Arial" w:eastAsia="Arial" w:hAnsi="Arial"/>
          <w:sz w:val="22"/>
          <w:szCs w:val="22"/>
        </w:rPr>
        <w:t xml:space="preserve">。这一功能使萧美琴具有组织资源、推进执行、用客观标准衡量成果的能力。在其政治生涯中，这体现为对台美贸易倡议的系统推进、对蔡麦会的精心协调、对双橡园外交的制度化运作。Te使得她能够将复杂的国际政治问题分解为可操作的具体步骤，从而实现战略目标。</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Ni(内向直觉)为辅导功能</w:t>
      </w:r>
      <w:r>
        <w:rPr>
          <w:rFonts w:ascii="Arial" w:cs="Arial" w:eastAsia="Arial" w:hAnsi="Arial"/>
          <w:sz w:val="22"/>
          <w:szCs w:val="22"/>
        </w:rPr>
        <w:t xml:space="preserve">。这一功能赋予了萧美琴对深层模式与未来趋势的识别能力。她对'渐进式台独'路径的长期规划、对半导体供应链作为安全键合的认识，都体现了Ni的威力。Ni使得她不只关注眼前的政治得失，而是能够洞察长期的历史进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Se(外向感觉)为第三层功能</w:t>
      </w:r>
      <w:r>
        <w:rPr>
          <w:rFonts w:ascii="Arial" w:cs="Arial" w:eastAsia="Arial" w:hAnsi="Arial"/>
          <w:sz w:val="22"/>
          <w:szCs w:val="22"/>
        </w:rPr>
        <w:t xml:space="preserve">。这一功能使她对环境的即时变化保持敏感，能够抓住政策窗口(捷克事件的即时应对、2025年的欧洲布局)。Se赋予了她在危机中的快速反应能力与对当下机遇的敏锐捕捉。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Fi(内向情感)为劣势功能</w:t>
      </w:r>
      <w:r>
        <w:rPr>
          <w:rFonts w:ascii="Arial" w:cs="Arial" w:eastAsia="Arial" w:hAnsi="Arial"/>
          <w:sz w:val="22"/>
          <w:szCs w:val="22"/>
        </w:rPr>
        <w:t xml:space="preserve">。这是一个重要的观察点。Fi的劣势意味着萧美琴极少在公开场合分享个人情感、表现出私密的价值观表达。她的高度专业化与去情绪化的形象，正是Fi劣势的体现。这一特点既是优势(使其在复杂政治中保持清醒)，也隐含了潜在的脆弱点(当面临深度的身份认同攻击时可能出现情绪化反应)。</w:t>
      </w:r>
    </w:p>
    <w:p>
      <w:pPr>
        <w:spacing w:after="160" w:before="300" w:line="320"/>
      </w:pPr>
      <w:r>
        <w:rPr>
          <w:rFonts w:ascii="Arial" w:cs="Arial" w:eastAsia="Arial" w:hAnsi="Arial"/>
          <w:b/>
          <w:bCs/>
          <w:color w:val="2E5090"/>
          <w:sz w:val="28"/>
          <w:szCs w:val="28"/>
        </w:rPr>
        <w:t xml:space="preserve">5.3 Fi Grip理论与压力下的行为预测</w:t>
      </w:r>
    </w:p>
    <w:p>
      <w:pPr>
        <w:spacing w:after="120" w:line="300"/>
        <w:jc w:val="left"/>
      </w:pPr>
      <w:r>
        <w:rPr>
          <w:rFonts w:ascii="Arial" w:cs="Arial" w:eastAsia="Arial" w:hAnsi="Arial"/>
          <w:sz w:val="22"/>
          <w:szCs w:val="22"/>
        </w:rPr>
        <w:t xml:space="preserve">根据Naomi Quenk的Fi Grip理论，当ENTJ类型的人在极端压力下时，其通常被压抑的Fi功能可能突然激活，导致非常规的行为。触发条件通常包括：核心价值观被深度质疑、感到被深度排斥或不被理解、被强制面对个人情感脆弱性。在萧美琴的背景中，这可能的触发点包括：对其混血与双重身份的系统性攻击、对其'使命感'与'爱国心'的根本否定、面临被党派或国际盟友抛弃的极端情景。</w:t>
      </w:r>
    </w:p>
    <w:p>
      <w:pPr>
        <w:spacing w:after="120" w:line="300"/>
        <w:jc w:val="left"/>
      </w:pPr>
      <w:r>
        <w:rPr>
          <w:rFonts w:ascii="Arial" w:cs="Arial" w:eastAsia="Arial" w:hAnsi="Arial"/>
          <w:sz w:val="22"/>
          <w:szCs w:val="22"/>
        </w:rPr>
        <w:t xml:space="preserve">一旦进入Fi Grip状态，ENTJ可能表现为罕见的情绪化反应、过度敏感于个人批评、出现意外的固执与非理性。虽然目前尚未观察到萧美琴进入明显的Fi Grip状态，但这一潜在的心理脆弱点值得监测。从政治管理的角度，对其价值观的深层质疑与系统性的身份认同攻击，可能触发这一风险状态。</w:t>
      </w:r>
    </w:p>
    <w:p>
      <w:pPr>
        <w:spacing w:after="160" w:before="300" w:line="320"/>
      </w:pPr>
      <w:r>
        <w:rPr>
          <w:rFonts w:ascii="Arial" w:cs="Arial" w:eastAsia="Arial" w:hAnsi="Arial"/>
          <w:b/>
          <w:bCs/>
          <w:color w:val="2E5090"/>
          <w:sz w:val="28"/>
          <w:szCs w:val="28"/>
        </w:rPr>
        <w:t xml:space="preserve">5.4 五框架交叉验证与综合人格画像</w:t>
      </w:r>
    </w:p>
    <w:p>
      <w:pPr>
        <w:spacing w:after="120" w:line="300"/>
        <w:jc w:val="left"/>
      </w:pPr>
      <w:r>
        <w:rPr>
          <w:rFonts w:ascii="Arial" w:cs="Arial" w:eastAsia="Arial" w:hAnsi="Arial"/>
          <w:sz w:val="22"/>
          <w:szCs w:val="22"/>
        </w:rPr>
        <w:t xml:space="preserve">将Hermann、George、Winter、Barber、MBTI五个框架的分析结果进行交叉验证，可以得出关于萧美琴人格与行为特征的如下综合结论。</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在信息处理上</w:t>
      </w:r>
      <w:r>
        <w:rPr>
          <w:rFonts w:ascii="Arial" w:cs="Arial" w:eastAsia="Arial" w:hAnsi="Arial"/>
          <w:sz w:val="22"/>
          <w:szCs w:val="22"/>
        </w:rPr>
        <w:t xml:space="preserve">，五框架均指向'模式识别型'。Hermann的高CC、George的P-3/P-5、Winter的高成就动机、MBTI的N/Ni、Barber的积极型都共同指向：她善于从大量复杂信息中提取关键模式，进而据此制定战略。这一特性使她在美台关系的长期演变中能够识别出关键的转折点与机会窗口。</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在决策判断上</w:t>
      </w:r>
      <w:r>
        <w:rPr>
          <w:rFonts w:ascii="Arial" w:cs="Arial" w:eastAsia="Arial" w:hAnsi="Arial"/>
          <w:sz w:val="22"/>
          <w:szCs w:val="22"/>
        </w:rPr>
        <w:t xml:space="preserve">，五框架均指向'效率-结果导向型'。Hermann的高TASK、George的I-1/I-3、Winter的高成就、MBTI的Te、Barber的积极-正面都共同指向：她在制定政策时首先考虑的不是过程的完美性，而是能否以最高效率达成预定目标。这导致她对'切香肠式'与'柔性蚕食'这类非传统方式的接纳。</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在人际互动上</w:t>
      </w:r>
      <w:r>
        <w:rPr>
          <w:rFonts w:ascii="Arial" w:cs="Arial" w:eastAsia="Arial" w:hAnsi="Arial"/>
          <w:sz w:val="22"/>
          <w:szCs w:val="22"/>
        </w:rPr>
        <w:t xml:space="preserve">，五框架均指向'战略性社交型'。Hermann的权力网络构建、George的I-5(机会识别)、Winter的中-高亲和、MBTI的E/Se、Barber的积极型都共同指向：她的每一次社交活动都有明确的战略目的。双橡园外交的成功正是这一特性的完美体现。</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在压力应对上</w:t>
      </w:r>
      <w:r>
        <w:rPr>
          <w:rFonts w:ascii="Arial" w:cs="Arial" w:eastAsia="Arial" w:hAnsi="Arial"/>
          <w:sz w:val="22"/>
          <w:szCs w:val="22"/>
        </w:rPr>
        <w:t xml:space="preserve">，综合框架显示：正常状态下具有高韧性(Hermann的高SC、George的谨慎乐观、Barber的积极型都显示其有较强的抗压能力)，但在极端压力下隐含情绪化风险(MBTI的Fi劣势与Quenk的Grip理论)。这意味着，虽然萧美琴在处理常规政治危机上表现出色，但若面临深度的价值观冲突或身份认同危机，可能出现非常规的反应。</w:t>
      </w:r>
    </w:p>
    <w:p>
      <w:pPr>
        <w:spacing w:after="120" w:before="200" w:line="300"/>
      </w:pPr>
      <w:r>
        <w:rPr>
          <w:rFonts w:ascii="Arial" w:cs="Arial" w:eastAsia="Arial" w:hAnsi="Arial"/>
          <w:b/>
          <w:bCs/>
          <w:color w:val="3D6DAE"/>
          <w:sz w:val="24"/>
          <w:szCs w:val="24"/>
        </w:rPr>
        <w:t xml:space="preserve">C.6.3 MBTI-多框架交叉验证矩阵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George对应</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一致性判断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E(外倾)</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IGB=4(跨群体合作)</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I-5(善用机会)</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亲和=中-高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Active(积极)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CC=6(高概念复杂度)</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P-3(未来可预测)</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成就=高(长期目标)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Positive(正面)</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TASK=6(任务导向)</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I-1(效果导向)</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权力=中-高(影响力型)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Active(积极)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BACE=5(控制信念)</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I-3(风险规避但非零)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成就=高(目标坚定)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中-高一致</w:t>
            </w:r>
          </w:p>
        </w:tc>
      </w:tr>
    </w:tbl>
    <w:p>
      <w:pPr>
        <w:spacing w:after="120" w:line="300"/>
        <w:jc w:val="left"/>
      </w:pPr>
      <w:r>
        <w:rPr>
          <w:rFonts w:ascii="Arial" w:cs="Arial" w:eastAsia="Arial" w:hAnsi="Arial"/>
          <w:sz w:val="22"/>
          <w:szCs w:val="22"/>
        </w:rPr>
        <w:t xml:space="preserve">四个MBTI维度均获得至少三个独立框架的交叉支持,ENTJ类型判定的综合置信度为中-高。主要不确定性来源于公共人格与私人人格的潜在差异(参见§7.2文化调适效应)。</w:t>
      </w:r>
    </w:p>
    <w:p>
      <w:pPr>
        <w:spacing w:after="120" w:before="200" w:line="300"/>
      </w:pPr>
      <w:r>
        <w:rPr>
          <w:rFonts w:ascii="Arial" w:cs="Arial" w:eastAsia="Arial" w:hAnsi="Arial"/>
          <w:b/>
          <w:bCs/>
          <w:color w:val="3D6DAE"/>
          <w:sz w:val="24"/>
          <w:szCs w:val="24"/>
        </w:rPr>
        <w:t xml:space="preserve">C.7 综合人格画像结构化评估</w:t>
      </w:r>
    </w:p>
    <w:p>
      <w:pPr>
        <w:spacing w:after="120" w:line="300"/>
        <w:jc w:val="left"/>
      </w:pPr>
      <w:r>
        <w:rPr>
          <w:rFonts w:ascii="Arial" w:cs="Arial" w:eastAsia="Arial" w:hAnsi="Arial"/>
          <w:sz w:val="22"/>
          <w:szCs w:val="22"/>
        </w:rPr>
        <w:t xml:space="preserve">【Composite Personality Profile】萧美琴 | ENTJ | Active-Positive | 现实主义操作型</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风格维度</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综合判断</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George</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w:t>
            </w:r>
          </w:p>
        </w:tc>
        <w:tc>
          <w:tcPr>
            <w:tcW w:type="dxa" w:w="11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1.信息处理</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模式识别型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CC=6(高)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N/Ni</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积极型</w:t>
            </w:r>
          </w:p>
        </w:tc>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五框架一致</w:t>
            </w:r>
          </w:p>
        </w:tc>
      </w:tr>
      <w:tr>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2.决策判断</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效率-结果导向型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TASK=6(高)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I-1/I-3</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Te(主导)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积极-正面</w:t>
            </w:r>
          </w:p>
        </w:tc>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五框架一致</w:t>
            </w:r>
          </w:p>
        </w:tc>
      </w:tr>
      <w:tr>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3.人际互动</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战略性社交型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IGB=4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亲和=中-高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E/Se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积极型</w:t>
            </w:r>
          </w:p>
        </w:tc>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五框架一致</w:t>
            </w:r>
          </w:p>
        </w:tc>
      </w:tr>
      <w:tr>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4.压力应对</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高韧性/Fi脆弱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SC=6(高)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谨慎乐观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权力=中-高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Fi(劣势)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适应型</w:t>
            </w:r>
          </w:p>
        </w:tc>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四框架一致,MBTI补充风险</w:t>
            </w:r>
          </w:p>
        </w:tc>
      </w:tr>
    </w:tbl>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本报告前五篇的多维分析，萧美琴的政治人物类型可以精确描述为'国际事务导向的战略型政治人物'。这一类型具有以下关键特征：其权力基础与行为模式都以国际事务、尤其是对美关系为中心；其思维与行动都表现出高度的战略性，着眼于长期趋势与结构性变化；其运作方式体现了对国际政治逻辑的深刻理解与现实主义的政治哲学。这一类型在台湾历史上颇为罕见，因为台湾的政治人物通常要么是地方政治出身，要么是党务出身，纯粹的国际事务型人物极为少见。</w:t>
      </w:r>
    </w:p>
    <w:p>
      <w:pPr>
        <w:spacing w:after="120" w:line="300"/>
        <w:jc w:val="left"/>
      </w:pPr>
      <w:r>
        <w:rPr>
          <w:rFonts w:ascii="Arial" w:cs="Arial" w:eastAsia="Arial" w:hAnsi="Arial"/>
          <w:sz w:val="22"/>
          <w:szCs w:val="22"/>
        </w:rPr>
        <w:t xml:space="preserve">萧美琴的出现反映了民进党权力结构与台湾政治生态的一种新变化。当两岸关系成为最重要的政治议题、对美关系成为最关键的战略考量时，国际事务型政治人物的地位显著上升。她的副领导人身份，标志着这一类型人物已经从边缘的技术官僚上升到权力中枢的地位，体现了国际事务型政治人物这一新兴政治力量的制度化确立。</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从两岸关系风险管理的角度评估，萧美琴应被定位为两岸关系结构中的关键变量。其风险等级属于中-高范畴。其主要风险特征为'柔性蚕食'风险，这种风险区别于传统的突发性军事冲突风险，而是一种结构性的、持续性的、累积性的变量提升。其风险属性更多体现为结构性而非突发性。</w:t>
      </w:r>
    </w:p>
    <w:p>
      <w:pPr>
        <w:spacing w:after="120" w:line="300"/>
        <w:jc w:val="left"/>
      </w:pPr>
      <w:r>
        <w:rPr>
          <w:rFonts w:ascii="Arial" w:cs="Arial" w:eastAsia="Arial" w:hAnsi="Arial"/>
          <w:sz w:val="22"/>
          <w:szCs w:val="22"/>
        </w:rPr>
        <w:t xml:space="preserve">具体而言，需要特别指出的是，萧美琴的风险属性应界定为'结构性变量'而非'突发性变量'。与那些可能因单一言行引发两岸危机的高风险政治人物不同，萧美琴的风险体现为持续性的制度推进与累积效应。这种结构性风险虽不易在短期内引发剧烈震荡，但其逆转成本通常较高，可能在长期内产生不可逆的制度性后果。风险可分为两个维度。第一个维度是'结构性风险'，即她作为美台关系深化的推动者，其政策取向与行为方式将直接影响台美关系的深化程度，进而影响两岸关系的整体紧张度。每一次美台关系的制度化升级，都意味着大陆在两岸问题上面临的约束条件在增加，这可能加剧安全困境的循环。第二个维度是'动态性风险'，即随着时间推移，这些小幅度的制度化升级累积起来，可能最终触发大陆的战略反应。这种'持续抬升的温度'模式，相比于单一的高温危机事件，可能具有更高的不可控性，因为对方在累积过程中难以确定反应的临界点。</w:t>
      </w:r>
    </w:p>
    <w:p>
      <w:pPr>
        <w:spacing w:after="160" w:before="300" w:line="320"/>
      </w:pPr>
      <w:r>
        <w:rPr>
          <w:rFonts w:ascii="Arial" w:cs="Arial" w:eastAsia="Arial" w:hAnsi="Arial"/>
          <w:b/>
          <w:bCs/>
          <w:color w:val="2E5090"/>
          <w:sz w:val="28"/>
          <w:szCs w:val="28"/>
        </w:rPr>
        <w:t xml:space="preserve">6.3 对美台关系的影响</w:t>
      </w:r>
    </w:p>
    <w:p>
      <w:pPr>
        <w:spacing w:after="120" w:line="300"/>
        <w:jc w:val="left"/>
      </w:pPr>
      <w:r>
        <w:rPr>
          <w:rFonts w:ascii="Arial" w:cs="Arial" w:eastAsia="Arial" w:hAnsi="Arial"/>
          <w:sz w:val="22"/>
          <w:szCs w:val="22"/>
        </w:rPr>
        <w:t xml:space="preserve">萧美琴对美台关系的影响主要体现在两个维度。第一个维度是关系强化，她通过双橡园社交外交、参与美国政策讨论，将原本相对松散的美台互动转化为具有习惯性与制度性基础的互动框架。这种强化使得美台之间不再仅依赖于政治承诺，而是逐步演变为制度化的日常互动。第二个维度是制度化，她推动的台美贸易倡议、对台交往准则修订等，都是将原本政策性的承诺转化为制度性的安排。这种制度化的最大意义在于，即使政治形势发生变化(如美国政府更换、领导人更迭)，这些制度化的框架仍然会继续发挥约束与指导作用。一旦这种制度化形成，往往具有路径依赖特征，使得政策的调整与逆转的成本显著增加。</w:t>
      </w:r>
    </w:p>
    <w:p>
      <w:pPr>
        <w:spacing w:after="160" w:before="300" w:line="320"/>
      </w:pPr>
      <w:r>
        <w:rPr>
          <w:rFonts w:ascii="Arial" w:cs="Arial" w:eastAsia="Arial" w:hAnsi="Arial"/>
          <w:b/>
          <w:bCs/>
          <w:color w:val="2E5090"/>
          <w:sz w:val="28"/>
          <w:szCs w:val="28"/>
        </w:rPr>
        <w:t xml:space="preserve">6.4 多情景前瞻推演</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情景一：美国政策交易化</w:t>
      </w:r>
      <w:r>
        <w:rPr>
          <w:rFonts w:ascii="Arial" w:cs="Arial" w:eastAsia="Arial" w:hAnsi="Arial"/>
          <w:sz w:val="22"/>
          <w:szCs w:val="22"/>
        </w:rPr>
        <w:t xml:space="preserve">。如果美国政府出于其他战略考虑(如中美缓和、经济衰退导致的外交政策调整)对台政策出现显著调整，萧美琴的权力基础将面临直接冲击。其国际人脉的价值会随之下降，其在台湾政治中的战略地位也将面临重估。这种情景下，民进党内部可能出现对其政策取向的重新评估。概率判断：完全实现10% | 部分调整40% | 维持现状50%。触发信号：美国总统更迭/中美高峰会达成重大协议/美国经济衰退导致外交收缩。跨情景交互：与情景四高度关联,中美缓和是美国政策交易化的前提之一。</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情景二：台海军事危机升级</w:t>
      </w:r>
      <w:r>
        <w:rPr>
          <w:rFonts w:ascii="Arial" w:cs="Arial" w:eastAsia="Arial" w:hAnsi="Arial"/>
          <w:sz w:val="22"/>
          <w:szCs w:val="22"/>
        </w:rPr>
        <w:t xml:space="preserve">。如果两岸关系因某一具体事件(如美国向台湾提供更先进武器、台湾官方行为被视为越过红线)而升级为军事危机，萧美琴的'低调强硬'策略可能面临民众的情绪化反应。在高度危急的氛围中，民众的期望可能转向更为强硬的政治人物，而不是采取相对克制的战略家。概率判断：完全实现5% | 部分调整25% | 维持现状70%。触发信号：台海周边军事演习频率显著增加/大陆对台新型武器部署/美方突破性军售。跨情景交互：与情景一反向关联——美国政策交易化降低军事冲突概率,但美国持续强硬可能加剧。</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情景三：党内权力更迭</w:t>
      </w:r>
      <w:r>
        <w:rPr>
          <w:rFonts w:ascii="Arial" w:cs="Arial" w:eastAsia="Arial" w:hAnsi="Arial"/>
          <w:sz w:val="22"/>
          <w:szCs w:val="22"/>
        </w:rPr>
        <w:t xml:space="preserve">。如果民进党内部权力结构发生重大变化(如新的权力中心上升、派系关系重新组织)，新的权力核心可能对现有的国际事务运作方式进行调整。萧美琴作为英系的代表人物，其地位可能因派系关系的变化而改变。概率判断：完全实现15% | 部分调整45% | 维持现状40%。触发信号：赖清德满意度持续低于30%/英系核心人物政治变动/2026地方选举民进党大败。跨情景交互：党内变动可能独立于外部情景发生,但情景一(美方疏远)可能加速党内对萧美琴路线的质疑。</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情景四：中美关系缓和</w:t>
      </w:r>
      <w:r>
        <w:rPr>
          <w:rFonts w:ascii="Arial" w:cs="Arial" w:eastAsia="Arial" w:hAnsi="Arial"/>
          <w:sz w:val="22"/>
          <w:szCs w:val="22"/>
        </w:rPr>
        <w:t xml:space="preserve">。如果因某一重大国际事件(如贸易协议、气候合作突破)，中美关系出现显著缓和，两岸关系的国际化程度可能随之下降。这将削弱台湾通过国际化来强化自身地位的战略空间，进而影响萧美琴战略的实施基础。概率判断：完全实现10% | 部分调整35% | 维持现状55%。触发信号：中美元首会晤达成具体协议/贸易关税显著降低/气候或公共卫生领域突破性合作。跨情景交互：是情景一的子集,但中美缓和不一定导致美方对台交易化。</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情景五：经济结构转变</w:t>
      </w:r>
      <w:r>
        <w:rPr>
          <w:rFonts w:ascii="Arial" w:cs="Arial" w:eastAsia="Arial" w:hAnsi="Arial"/>
          <w:sz w:val="22"/>
          <w:szCs w:val="22"/>
        </w:rPr>
        <w:t xml:space="preserve"> [E-Composite]。如果中国经济出现持续性下行(如房地产危机深化、GDP增速跌破4%、青年失业率持续攀升)，两岸关系的经济维度可能发生结构性变化。一方面，大陆经济困境可能降低其对台军事冒险的意愿(经济约束),但也可能因内部压力加大而使领导层转向民族主义以转移注意力(转移效应)。对萧美琴而言，中国经济下行可能创造'供应链脱钩加速'的政策窗口,使其推动的半导体赴美投资获得更大的正当性。概率判断：完全实现15% | 部分调整50% | 维持现状35%。触发信号：中国季度GDP增速连续两季低于4.5%/台商大规模回流或转移至东南亚/大陆对台经济施压措施升级。</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情景六：个人事件冲击</w:t>
      </w:r>
      <w:r>
        <w:rPr>
          <w:rFonts w:ascii="Arial" w:cs="Arial" w:eastAsia="Arial" w:hAnsi="Arial"/>
          <w:sz w:val="22"/>
          <w:szCs w:val="22"/>
        </w:rPr>
        <w:t xml:space="preserve"> [E-MBTI]。如果萧美琴个人层面出现重大事件(如健康问题、严重的身份认同攻击升级、家庭成员卷入争议,或泄密指控等),其政治地位可能面临非政策性冲击。基于MBTI分析,Fi Grip状态的触发是最需关注的风险——如果身份认同攻击从政治层面升级为系统性的社会运动(如大规模质疑其'台湾认同'的真实性),可能导致其出现非理性的情绪化反应。概率判断：完全实现5% | 部分调整30% | 维持现状65%。触发信号：健康相关媒体报道/身份认同攻击从政治对手升级为社会运动/核心幕僚变动/Fi Grip行为指标(罕见情绪化公开表态)。</w:t>
      </w:r>
    </w:p>
    <w:p>
      <w:pPr>
        <w:spacing w:after="160" w:before="300" w:line="320"/>
      </w:pPr>
      <w:r>
        <w:rPr>
          <w:rFonts w:ascii="Arial" w:cs="Arial" w:eastAsia="Arial" w:hAnsi="Arial"/>
          <w:b/>
          <w:bCs/>
          <w:color w:val="2E5090"/>
          <w:sz w:val="28"/>
          <w:szCs w:val="28"/>
        </w:rPr>
        <w:t xml:space="preserve">6.5 短期展望(2025-2026年)</w:t>
      </w:r>
    </w:p>
    <w:p>
      <w:pPr>
        <w:spacing w:after="120" w:line="300"/>
        <w:jc w:val="left"/>
      </w:pPr>
      <w:r>
        <w:rPr>
          <w:rFonts w:ascii="Arial" w:cs="Arial" w:eastAsia="Arial" w:hAnsi="Arial"/>
          <w:sz w:val="22"/>
          <w:szCs w:val="22"/>
        </w:rPr>
        <w:t xml:space="preserve">基于当前的宏观与个人层面因素，本部分评估萧美琴在未来12-18个月内的政治地位与行为预期。</w:t>
      </w:r>
    </w:p>
    <w:p>
      <w:pPr>
        <w:spacing w:after="120" w:line="300"/>
        <w:jc w:val="left"/>
      </w:pPr>
      <w:r>
        <w:rPr>
          <w:rFonts w:ascii="Arial" w:cs="Arial" w:eastAsia="Arial" w:hAnsi="Arial"/>
          <w:sz w:val="22"/>
          <w:szCs w:val="22"/>
        </w:rPr>
        <w:t xml:space="preserve">在制度化推进方面，预期她将继续深化美台制度性安排，特别是在贸易、技术安全、供应链等领域的制度化合作。欧洲线的扩展也将是重点，基于已有的欧洲议会演说平台与英国、捷克等国的政治互动基础，预期将逐步建立欧洲国家对台湾的制度性关注机制。</w:t>
      </w:r>
    </w:p>
    <w:p>
      <w:pPr>
        <w:spacing w:after="120" w:line="300"/>
        <w:jc w:val="left"/>
      </w:pPr>
      <w:r>
        <w:rPr>
          <w:rFonts w:ascii="Arial" w:cs="Arial" w:eastAsia="Arial" w:hAnsi="Arial"/>
          <w:sz w:val="22"/>
          <w:szCs w:val="22"/>
        </w:rPr>
        <w:t xml:space="preserve">在党内地位方面，作为副领导人，她的权力地位已经制度化确立。但如果赖清德政府的施政满意度继续下行，党内对其对美政策取向的质疑可能增加。特别是如果中美关系出现缓和信号，党内会出现'对美政策调整必要性'的讨论。</w:t>
      </w:r>
    </w:p>
    <w:p>
      <w:pPr>
        <w:spacing w:after="120" w:line="300"/>
        <w:jc w:val="left"/>
      </w:pPr>
      <w:r>
        <w:rPr>
          <w:rFonts w:ascii="Arial" w:cs="Arial" w:eastAsia="Arial" w:hAnsi="Arial"/>
          <w:sz w:val="22"/>
          <w:szCs w:val="22"/>
        </w:rPr>
        <w:t xml:space="preserve">在两岸关系方面，预期大陆对她的制裁与定位不会发生显著变化，除非出现新的重大事件。她持续的国际活跃可能导致大陆官方媒体的批评升级，但实际的制约手段有限。长期而言，大陆最有效的制约可能是对台湾经济与社会的持续压力，而非针对个人的制裁。</w:t>
      </w:r>
    </w:p>
    <w:p>
      <w:pPr>
        <w:spacing w:after="120" w:line="300"/>
        <w:jc w:val="left"/>
      </w:pPr>
      <w:r>
        <w:rPr>
          <w:rFonts w:ascii="Arial" w:cs="Arial" w:eastAsia="Arial" w:hAnsi="Arial"/>
          <w:sz w:val="22"/>
          <w:szCs w:val="22"/>
        </w:rPr>
        <w:t xml:space="preserve">在个人风险方面，最需监测的是Fi Grip的触发风险。虽然目前尚无明显信号，但持续的政治攻击与身份认同质疑可能在长期累积出心理压力。特别是如果出现大规模的社交媒体运动质疑其'真实身份'，可能对其心理造成实质性冲击。</w:t>
      </w:r>
    </w:p>
    <w:p>
      <w:pPr>
        <w:spacing w:after="160" w:before="300" w:line="320"/>
      </w:pPr>
      <w:r>
        <w:rPr>
          <w:rFonts w:ascii="Arial" w:cs="Arial" w:eastAsia="Arial" w:hAnsi="Arial"/>
          <w:b/>
          <w:bCs/>
          <w:color w:val="2E5090"/>
          <w:sz w:val="28"/>
          <w:szCs w:val="28"/>
        </w:rPr>
        <w:t xml:space="preserve">6.6 预警指标系统(E.2)</w:t>
      </w:r>
    </w:p>
    <w:p>
      <w:pPr>
        <w:spacing w:after="120" w:line="300"/>
        <w:jc w:val="left"/>
      </w:pPr>
      <w:r>
        <w:rPr>
          <w:rFonts w:ascii="Arial" w:cs="Arial" w:eastAsia="Arial" w:hAnsi="Arial"/>
          <w:sz w:val="22"/>
          <w:szCs w:val="22"/>
        </w:rPr>
        <w:t xml:space="preserve">基于上述分析,建立以下系统化预警指标体系,每个指标包含监测对象、基线行为与异常阈值。</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指标编号</w:t>
            </w:r>
          </w:p>
        </w:tc>
        <w:tc>
          <w:tcPr>
            <w:tcW w:type="dxa" w:w="1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监测维度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基线行为</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异常阈值(触发预警)</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关联情景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EW-1</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美台制度化进度</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每年1-2项新协议/准则</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半年内无新进展或已有协议冻结</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情景一/四</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EW-2</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党内派系动态</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英系维持核心圈影响力</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赖清德公开批评或英系人事调整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情景三</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EW-3</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大陆对其定位变化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'台独顽固分子'制裁维持</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制裁升级(次级制裁)或定位降级(释放善意)</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情景二/四</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EW-4</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政治修辞变化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低调强硬/专业化表述</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出现激进化表述或罕见情绪化反应(Fi Grip)</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EW-5</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国际舆论定位</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民主盟友/供应链伙伴</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西方媒体出现批评性报道或'台湾风险'叙事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情景一/五</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EW-6</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欧洲线深化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年度2-3次高层互动</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互动频率骤降或欧洲对台政策转冷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情景四</w:t>
            </w:r>
          </w:p>
        </w:tc>
      </w:tr>
    </w:tbl>
    <w:p>
      <w:pPr>
        <w:spacing w:after="160" w:before="300" w:line="320"/>
      </w:pPr>
      <w:r>
        <w:rPr>
          <w:rFonts w:ascii="Arial" w:cs="Arial" w:eastAsia="Arial" w:hAnsi="Arial"/>
          <w:b/>
          <w:bCs/>
          <w:color w:val="2E5090"/>
          <w:sz w:val="28"/>
          <w:szCs w:val="28"/>
        </w:rPr>
        <w:t xml:space="preserve">6.7 家族财务与资产背景</w:t>
      </w:r>
    </w:p>
    <w:p>
      <w:pPr>
        <w:spacing w:after="120" w:line="300"/>
        <w:jc w:val="left"/>
      </w:pPr>
      <w:r>
        <w:rPr>
          <w:rFonts w:ascii="Arial" w:cs="Arial" w:eastAsia="Arial" w:hAnsi="Arial"/>
          <w:sz w:val="22"/>
          <w:szCs w:val="22"/>
        </w:rPr>
        <w:t xml:space="preserve">(本部分保持与v1.6版本一致)</w:t>
      </w:r>
    </w:p>
    <w:p>
      <w:pPr>
        <w:spacing w:after="160" w:before="300" w:line="320"/>
      </w:pPr>
      <w:r>
        <w:rPr>
          <w:rFonts w:ascii="Arial" w:cs="Arial" w:eastAsia="Arial" w:hAnsi="Arial"/>
          <w:b/>
          <w:bCs/>
          <w:color w:val="2E5090"/>
          <w:sz w:val="28"/>
          <w:szCs w:val="28"/>
        </w:rPr>
        <w:t xml:space="preserve">6.8 争议与法律风险</w:t>
      </w:r>
    </w:p>
    <w:p>
      <w:pPr>
        <w:spacing w:after="120" w:line="300"/>
        <w:jc w:val="left"/>
      </w:pPr>
      <w:r>
        <w:rPr>
          <w:rFonts w:ascii="Arial" w:cs="Arial" w:eastAsia="Arial" w:hAnsi="Arial"/>
          <w:sz w:val="22"/>
          <w:szCs w:val="22"/>
        </w:rPr>
        <w:t xml:space="preserve">(本部分保持与v1.6版本一致)</w:t>
      </w:r>
    </w:p>
    <w:p>
      <w:pPr>
        <w:spacing w:after="120" w:before="200" w:line="300"/>
      </w:pPr>
      <w:r>
        <w:rPr>
          <w:rFonts w:ascii="Arial" w:cs="Arial" w:eastAsia="Arial" w:hAnsi="Arial"/>
          <w:b/>
          <w:bCs/>
          <w:color w:val="3D6DAE"/>
          <w:sz w:val="24"/>
          <w:szCs w:val="24"/>
        </w:rPr>
        <w:t xml:space="preserve">争议矩阵(Module 16.2) [E-Source]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争议类别</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指控/质疑</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支持证据</w:t>
            </w:r>
          </w:p>
        </w:tc>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反证/辩护</w:t>
            </w:r>
          </w:p>
        </w:tc>
        <w:tc>
          <w:tcPr>
            <w:tcW w:type="dxa" w:w="1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综合评估</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身份认同</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混血背景质疑'台湾认同'真实性</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美国成长经历/英语母语/跨文化行为模式</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2002年主动放弃美籍/花莲十年深耕/公开选择台湾叙事</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中风险:可被持续政治化利用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国籍争议</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放弃美籍的真实性与完整性</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部分政治对手持续质疑</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官方文件支持(证据等级A)/美国国务院记录</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低风险:有A级证据支持</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产业空心化</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'台积电变美积电'指控</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半导体产业链赴美投资规模扩大</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安全键合战略/提高侵略代价框架/去风险化而非脱钩</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中-高风险:最大政策争议</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过度亲美</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将台湾绑定美国战略利益</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美台关系制度化深度前所未有</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多元外交(欧洲线扩展)/小国生存现实主义</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中风险:持续被对手利用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跨境法律</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被列入'台独顽固分子'制裁名单</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大陆官方制裁文件(证据等级A)</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制裁在台湾无法律效力/国际场合未受实质限制</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高地缘政治风险/低实际法律风险</w:t>
            </w:r>
          </w:p>
        </w:tc>
      </w:tr>
    </w:tbl>
    <w:p>
      <w:r>
        <w:br w:type="page"/>
      </w:r>
    </w:p>
    <w:p>
      <w:pPr>
        <w:spacing w:after="200" w:before="400" w:line="360"/>
      </w:pPr>
      <w:r>
        <w:rPr>
          <w:rFonts w:ascii="Arial" w:cs="Arial" w:eastAsia="Arial" w:hAnsi="Arial"/>
          <w:b/>
          <w:bCs/>
          <w:color w:val="1F3864"/>
          <w:sz w:val="32"/>
          <w:szCs w:val="32"/>
        </w:rPr>
        <w:t xml:space="preserve">第七篇: 信息源与研究方法</w:t>
      </w:r>
    </w:p>
    <w:p>
      <w:pPr>
        <w:spacing w:after="160" w:before="300" w:line="320"/>
      </w:pPr>
      <w:r>
        <w:rPr>
          <w:rFonts w:ascii="Arial" w:cs="Arial" w:eastAsia="Arial" w:hAnsi="Arial"/>
          <w:b/>
          <w:bCs/>
          <w:color w:val="2E5090"/>
          <w:sz w:val="28"/>
          <w:szCs w:val="28"/>
        </w:rPr>
        <w:t xml:space="preserve">7.1 研究框架与方法论</w:t>
      </w:r>
    </w:p>
    <w:p>
      <w:pPr>
        <w:spacing w:after="120" w:line="300"/>
        <w:jc w:val="left"/>
      </w:pPr>
      <w:r>
        <w:rPr>
          <w:rFonts w:ascii="Arial" w:cs="Arial" w:eastAsia="Arial" w:hAnsi="Arial"/>
          <w:sz w:val="22"/>
          <w:szCs w:val="22"/>
        </w:rPr>
        <w:t xml:space="preserve">(本部分保持与v1.6版本一致)</w:t>
      </w:r>
    </w:p>
    <w:p>
      <w:pPr>
        <w:spacing w:after="160" w:before="300" w:line="320"/>
      </w:pPr>
      <w:r>
        <w:rPr>
          <w:rFonts w:ascii="Arial" w:cs="Arial" w:eastAsia="Arial" w:hAnsi="Arial"/>
          <w:b/>
          <w:bCs/>
          <w:color w:val="2E5090"/>
          <w:sz w:val="28"/>
          <w:szCs w:val="28"/>
        </w:rPr>
        <w:t xml:space="preserve">7.2 文化调适与公共人格</w:t>
      </w:r>
    </w:p>
    <w:p>
      <w:pPr>
        <w:spacing w:after="120" w:line="300"/>
        <w:jc w:val="left"/>
      </w:pPr>
      <w:r>
        <w:rPr>
          <w:rFonts w:ascii="Arial" w:cs="Arial" w:eastAsia="Arial" w:hAnsi="Arial"/>
          <w:sz w:val="22"/>
          <w:szCs w:val="22"/>
        </w:rPr>
        <w:t xml:space="preserve">(本部分保持与v1.6版本一致)</w:t>
      </w:r>
    </w:p>
    <w:p>
      <w:pPr>
        <w:spacing w:after="160" w:before="300" w:line="320"/>
      </w:pPr>
      <w:r>
        <w:rPr>
          <w:rFonts w:ascii="Arial" w:cs="Arial" w:eastAsia="Arial" w:hAnsi="Arial"/>
          <w:b/>
          <w:bCs/>
          <w:color w:val="2E5090"/>
          <w:sz w:val="28"/>
          <w:szCs w:val="28"/>
        </w:rPr>
        <w:t xml:space="preserve">7.3 数据采集的局限性</w:t>
      </w:r>
    </w:p>
    <w:p>
      <w:pPr>
        <w:spacing w:after="120" w:line="300"/>
        <w:jc w:val="left"/>
      </w:pPr>
      <w:r>
        <w:rPr>
          <w:rFonts w:ascii="Arial" w:cs="Arial" w:eastAsia="Arial" w:hAnsi="Arial"/>
          <w:sz w:val="22"/>
          <w:szCs w:val="22"/>
        </w:rPr>
        <w:t xml:space="preserve">(本部分保持与v1.6版本一致)</w:t>
      </w:r>
    </w:p>
    <w:p>
      <w:pPr>
        <w:spacing w:after="160" w:before="300" w:line="320"/>
      </w:pPr>
      <w:r>
        <w:rPr>
          <w:rFonts w:ascii="Arial" w:cs="Arial" w:eastAsia="Arial" w:hAnsi="Arial"/>
          <w:b/>
          <w:bCs/>
          <w:color w:val="2E5090"/>
          <w:sz w:val="28"/>
          <w:szCs w:val="28"/>
        </w:rPr>
        <w:t xml:space="preserve">7.4 学术框架选择的正当性</w:t>
      </w:r>
    </w:p>
    <w:p>
      <w:pPr>
        <w:spacing w:after="120" w:line="300"/>
        <w:jc w:val="left"/>
      </w:pPr>
      <w:r>
        <w:rPr>
          <w:rFonts w:ascii="Arial" w:cs="Arial" w:eastAsia="Arial" w:hAnsi="Arial"/>
          <w:sz w:val="22"/>
          <w:szCs w:val="22"/>
        </w:rPr>
        <w:t xml:space="preserve">(本部分保持与v1.6版本一致)</w:t>
      </w:r>
    </w:p>
    <w:p>
      <w:pPr>
        <w:spacing w:after="160" w:before="300" w:line="320"/>
      </w:pPr>
      <w:r>
        <w:rPr>
          <w:rFonts w:ascii="Arial" w:cs="Arial" w:eastAsia="Arial" w:hAnsi="Arial"/>
          <w:b/>
          <w:bCs/>
          <w:color w:val="2E5090"/>
          <w:sz w:val="28"/>
          <w:szCs w:val="28"/>
        </w:rPr>
        <w:t xml:space="preserve">7.5 交叉验证方法</w:t>
      </w:r>
    </w:p>
    <w:p>
      <w:pPr>
        <w:spacing w:after="120" w:line="300"/>
        <w:jc w:val="left"/>
      </w:pPr>
      <w:r>
        <w:rPr>
          <w:rFonts w:ascii="Arial" w:cs="Arial" w:eastAsia="Arial" w:hAnsi="Arial"/>
          <w:sz w:val="22"/>
          <w:szCs w:val="22"/>
        </w:rPr>
        <w:t xml:space="preserve">(本部分保持与v1.6版本一致)</w:t>
      </w:r>
    </w:p>
    <w:p>
      <w:pPr>
        <w:spacing w:after="160" w:before="300" w:line="320"/>
      </w:pPr>
      <w:r>
        <w:rPr>
          <w:rFonts w:ascii="Arial" w:cs="Arial" w:eastAsia="Arial" w:hAnsi="Arial"/>
          <w:b/>
          <w:bCs/>
          <w:color w:val="2E5090"/>
          <w:sz w:val="28"/>
          <w:szCs w:val="28"/>
        </w:rPr>
        <w:t xml:space="preserve">7.6 覆盖率与完整性评估</w:t>
      </w:r>
    </w:p>
    <w:p>
      <w:pPr>
        <w:spacing w:after="120" w:before="200" w:line="300"/>
      </w:pPr>
      <w:r>
        <w:rPr>
          <w:rFonts w:ascii="Arial" w:cs="Arial" w:eastAsia="Arial" w:hAnsi="Arial"/>
          <w:b/>
          <w:bCs/>
          <w:color w:val="3D6DAE"/>
          <w:sz w:val="24"/>
          <w:szCs w:val="24"/>
        </w:rPr>
        <w:t xml:space="preserve">B.0 模块覆盖自检矩阵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报告章节</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来源计数</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证据等级分布</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覆盖率</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 身份履历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§1.1-1.2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A:5/B:3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 政治生涯</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§1.4-1.5</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A:6/B:4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M.3 核心价值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§3.1-3.4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A:3/B:2/E:2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M.4 内政政策</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§3.6</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B:3/C:2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 国防外交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§3.7</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A:2/B:3/E:1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 立法绩效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§1.7</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A:1/B:2/C:1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 选举分析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§1.8</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A:3/B:2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 权力网络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§2.1-2.7</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A:4/B:6/E:2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M.9 两岸定位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§3.8</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A:2/B:3/E:1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M.10 海外经历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A:2/B:3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 家族财务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§6.7</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A:1/B:2/C:1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 争议法律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§6.8</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A:2/B:3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 媒体叙事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§6.9</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A:1/B:4/C:1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M.14 三角联动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§3.9</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A:1/B:3/E:1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M.15 前瞻推演</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B:1/E:3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M.16 综合交付物</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第八篇</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A:10/B:8/E:2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65%</w:t>
            </w:r>
          </w:p>
        </w:tc>
      </w:tr>
    </w:tbl>
    <w:p>
      <w:pPr>
        <w:spacing w:after="120" w:before="200" w:line="300"/>
      </w:pPr>
      <w:r>
        <w:rPr>
          <w:rFonts w:ascii="Arial" w:cs="Arial" w:eastAsia="Arial" w:hAnsi="Arial"/>
          <w:b/>
          <w:bCs/>
          <w:color w:val="3D6DAE"/>
          <w:sz w:val="24"/>
          <w:szCs w:val="24"/>
        </w:rPr>
        <w:t xml:space="preserve">G.2 交付物完整性核验表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交付物</w:t>
            </w:r>
          </w:p>
        </w:tc>
        <w:tc>
          <w:tcPr>
            <w:tcW w:type="dxa" w:w="1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Skill要求</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完成状态</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条目数</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16.1 核心事实摘要</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50条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20/50</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40%覆盖,待深度采集</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16.2 争议矩阵</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四列结构化</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5条</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v1.7新增</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16.3 政策立场矩阵</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含一致性评分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10项</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P2-P5覆盖</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16.4 盟友-对手网络</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含节点分类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10节点</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v1.7补充节点类型</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16.5 整合时间线</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结构化时间线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18事件</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附录A-2</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16.6 数据源索引</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按模块分类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10来源</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附录/§8.4</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16.7 信息需求清单</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优先级排序</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10缺口</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r>
    </w:tbl>
    <w:p>
      <w:r>
        <w:br w:type="page"/>
      </w:r>
    </w:p>
    <w:p>
      <w:pPr>
        <w:spacing w:after="200" w:before="400" w:line="360"/>
      </w:pPr>
      <w:r>
        <w:rPr>
          <w:rFonts w:ascii="Arial" w:cs="Arial" w:eastAsia="Arial" w:hAnsi="Arial"/>
          <w:b/>
          <w:bCs/>
          <w:color w:val="1F3864"/>
          <w:sz w:val="32"/>
          <w:szCs w:val="32"/>
        </w:rPr>
        <w:t xml:space="preserve">第八篇: 综合交付物与核心结论</w:t>
      </w:r>
    </w:p>
    <w:p>
      <w:pPr>
        <w:spacing w:after="160" w:before="300" w:line="320"/>
      </w:pPr>
      <w:r>
        <w:rPr>
          <w:rFonts w:ascii="Arial" w:cs="Arial" w:eastAsia="Arial" w:hAnsi="Arial"/>
          <w:b/>
          <w:bCs/>
          <w:color w:val="2E5090"/>
          <w:sz w:val="28"/>
          <w:szCs w:val="28"/>
        </w:rPr>
        <w:t xml:space="preserve">8.1 五框架综合评估表</w:t>
      </w:r>
    </w:p>
    <w:p>
      <w:pPr>
        <w:spacing w:after="120" w:line="300"/>
        <w:jc w:val="left"/>
      </w:pPr>
      <w:r>
        <w:rPr>
          <w:rFonts w:ascii="Arial" w:cs="Arial" w:eastAsia="Arial" w:hAnsi="Arial"/>
          <w:sz w:val="22"/>
          <w:szCs w:val="22"/>
        </w:rPr>
        <w:t xml:space="preserve">(本部分保持与v1.6版本一致)</w:t>
      </w:r>
    </w:p>
    <w:p>
      <w:pPr>
        <w:spacing w:after="160" w:before="300" w:line="320"/>
      </w:pPr>
      <w:r>
        <w:rPr>
          <w:rFonts w:ascii="Arial" w:cs="Arial" w:eastAsia="Arial" w:hAnsi="Arial"/>
          <w:b/>
          <w:bCs/>
          <w:color w:val="2E5090"/>
          <w:sz w:val="28"/>
          <w:szCs w:val="28"/>
        </w:rPr>
        <w:t xml:space="preserve">8.2 核心发现汇总</w:t>
      </w:r>
    </w:p>
    <w:p>
      <w:pPr>
        <w:spacing w:after="120" w:line="300"/>
        <w:jc w:val="left"/>
      </w:pPr>
      <w:r>
        <w:rPr>
          <w:rFonts w:ascii="Arial" w:cs="Arial" w:eastAsia="Arial" w:hAnsi="Arial"/>
          <w:sz w:val="22"/>
          <w:szCs w:val="22"/>
        </w:rPr>
        <w:t xml:space="preserve">(本部分保持与v1.6版本一致)</w:t>
      </w:r>
    </w:p>
    <w:p>
      <w:pPr>
        <w:spacing w:after="160" w:before="300" w:line="320"/>
      </w:pPr>
      <w:r>
        <w:rPr>
          <w:rFonts w:ascii="Arial" w:cs="Arial" w:eastAsia="Arial" w:hAnsi="Arial"/>
          <w:b/>
          <w:bCs/>
          <w:color w:val="2E5090"/>
          <w:sz w:val="28"/>
          <w:szCs w:val="28"/>
        </w:rPr>
        <w:t xml:space="preserve">8.3 权力网络结构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名称</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强度</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互动性质</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时间跨度</w:t>
            </w:r>
          </w:p>
        </w:tc>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蔡英文</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核心支持者</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英系核心/副领导人提名</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制度互补</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正副领导人搭档</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达克沃思</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跨党派盟友</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疫苗外交/参议院</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苏利文(Dan Sullivan)</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安全合作</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国防与印太安全</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蓬佩奥</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共和党人脉</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双橡园战略餐叙</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坎贝尔</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政策联系人</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白宫对台政策协调</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格里菲思</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英国经贸线</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保守党代表团访台</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蕾斯曼</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欧洲议会盟友</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IPAC/布鲁塞尔演说</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陈文茜</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早期引荐人</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弱(已疏远)</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1990年代民进党国际事务</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P1-P2</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新潮流系</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功能性合作</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政策议题合作</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8.4 数据源索引</w:t>
      </w:r>
    </w:p>
    <w:p>
      <w:pPr>
        <w:spacing w:after="120" w:line="300"/>
        <w:jc w:val="left"/>
      </w:pPr>
      <w:r>
        <w:rPr>
          <w:rFonts w:ascii="Arial" w:cs="Arial" w:eastAsia="Arial" w:hAnsi="Arial"/>
          <w:sz w:val="22"/>
          <w:szCs w:val="22"/>
        </w:rPr>
        <w:t xml:space="preserve">以下为本报告涉及的关键数据源清单，供后续深度采集使用：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数据源类型</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名称/入口</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适用模块</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中选会选举资料库(vote.cec.gov.tw)</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立法记录</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立法院国会图书馆/法案整合查询系统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监察院阳光法案主题网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政治献金</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监察院政治献金查阅平台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司法判决</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司法院法学资料检索系统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模块十二</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学术文献</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Google Scholar / TSSCI / Web of Science</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模块十/模块十五</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媒体存档</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国家图书馆新闻知识库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公司登记</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经济部商业司商工登记公示资料查询</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国际智库</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CSIS/Brookings/GTI/Chatham House</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模块八/模块十三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Facebook/Instagram/X(Twitter)官方帐号</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r>
    </w:tbl>
    <w:p>
      <w:pPr>
        <w:spacing w:after="100"/>
      </w:pPr>
    </w:p>
    <w:p>
      <w:pPr>
        <w:spacing w:after="160" w:before="300" w:line="320"/>
      </w:pPr>
      <w:r>
        <w:rPr>
          <w:rFonts w:ascii="Arial" w:cs="Arial" w:eastAsia="Arial" w:hAnsi="Arial"/>
          <w:b/>
          <w:bCs/>
          <w:color w:val="2E5090"/>
          <w:sz w:val="28"/>
          <w:szCs w:val="28"/>
        </w:rPr>
        <w:t xml:space="preserve">8.5 信息需求清单</w:t>
      </w:r>
    </w:p>
    <w:p>
      <w:pPr>
        <w:spacing w:after="120" w:line="300"/>
        <w:jc w:val="left"/>
      </w:pPr>
      <w:r>
        <w:rPr>
          <w:rFonts w:ascii="Arial" w:cs="Arial" w:eastAsia="Arial" w:hAnsi="Arial"/>
          <w:sz w:val="22"/>
          <w:szCs w:val="22"/>
        </w:rPr>
        <w:t xml:space="preserve">以下为当前分析中标注的主要信息缺口，按优先级排序：</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信息缺口</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所属模块</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优先级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建议查证方向</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模块四全部25项内政政策子领域的详细立场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模块四</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立法院质询记录/政见白皮书</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立法提案完整清单与通过率统计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立法院国会图书馆</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历次选举票仓结构的学术分析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TSSCI学术论文/民调机构报告</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2002年前美国资产状况</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美国公开记录(受限)</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欧柏林学院/哥伦比亚大学期间导师与合作网络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校方公告/论文致谢/校友网络</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与美方深度沟通的非公开细节</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需内部渠道(OSINT不可及)</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党内决策过程中的实际影响力</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深度政治访谈(非公开)</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关键法案表决的逐条记录与党团一致率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完整的竞选承诺兑现核查</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竞选政见对照/事实查核机构</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社群媒体传播效果的量化分析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社群分析工具/学术研究</w:t>
            </w:r>
          </w:p>
        </w:tc>
      </w:tr>
    </w:tbl>
    <w:p>
      <w:r>
        <w:br w:type="page"/>
      </w:r>
    </w:p>
    <w:p>
      <w:pPr>
        <w:spacing w:after="200" w:before="400" w:line="360"/>
      </w:pPr>
      <w:r>
        <w:rPr>
          <w:rFonts w:ascii="Arial" w:cs="Arial" w:eastAsia="Arial" w:hAnsi="Arial"/>
          <w:b/>
          <w:bCs/>
          <w:color w:val="1F3864"/>
          <w:sz w:val="32"/>
          <w:szCs w:val="32"/>
        </w:rPr>
        <w:t xml:space="preserve">附录A：原始来源索引与追溯</w:t>
      </w:r>
    </w:p>
    <w:p>
      <w:pPr>
        <w:spacing w:after="120" w:line="300"/>
        <w:jc w:val="left"/>
      </w:pPr>
      <w:r>
        <w:rPr>
          <w:rFonts w:ascii="Arial" w:cs="Arial" w:eastAsia="Arial" w:hAnsi="Arial"/>
          <w:sz w:val="22"/>
          <w:szCs w:val="22"/>
        </w:rPr>
        <w:t xml:space="preserve">根据V5框架C.8原始来源全文整合层的要求，本报告所引用的第三方研究报告原始全文保存如下：</w:t>
      </w:r>
    </w:p>
    <w:p>
      <w:pPr>
        <w:spacing w:after="100"/>
      </w:pPr>
    </w:p>
    <w:p>
      <w:pPr>
        <w:spacing w:after="160" w:before="300" w:line="320"/>
      </w:pPr>
      <w:r>
        <w:rPr>
          <w:rFonts w:ascii="Arial" w:cs="Arial" w:eastAsia="Arial" w:hAnsi="Arial"/>
          <w:b/>
          <w:bCs/>
          <w:color w:val="2E5090"/>
          <w:sz w:val="28"/>
          <w:szCs w:val="28"/>
        </w:rPr>
        <w:t xml:space="preserve">附录A-1：厦大平潭研究院台情研究中心原始报告</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报告全称</w:t>
      </w:r>
      <w:r>
        <w:rPr>
          <w:rFonts w:ascii="Arial" w:cs="Arial" w:eastAsia="Arial" w:hAnsi="Arial"/>
          <w:sz w:val="22"/>
          <w:szCs w:val="22"/>
        </w:rPr>
        <w:t xml:space="preserve">：台湾政治人物分析：萧美琴</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编制机构</w:t>
      </w:r>
      <w:r>
        <w:rPr>
          <w:rFonts w:ascii="Arial" w:cs="Arial" w:eastAsia="Arial" w:hAnsi="Arial"/>
          <w:sz w:val="22"/>
          <w:szCs w:val="22"/>
        </w:rPr>
        <w:t xml:space="preserve">：厦门大学平潭研究院台情研究中心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编写人</w:t>
      </w:r>
      <w:r>
        <w:rPr>
          <w:rFonts w:ascii="Arial" w:cs="Arial" w:eastAsia="Arial" w:hAnsi="Arial"/>
          <w:sz w:val="22"/>
          <w:szCs w:val="22"/>
        </w:rPr>
        <w:t xml:space="preserve">：林启晟、周春林</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审核人</w:t>
      </w:r>
      <w:r>
        <w:rPr>
          <w:rFonts w:ascii="Arial" w:cs="Arial" w:eastAsia="Arial" w:hAnsi="Arial"/>
          <w:sz w:val="22"/>
          <w:szCs w:val="22"/>
        </w:rPr>
        <w:t xml:space="preserve">：陈章辉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报告结构</w:t>
      </w:r>
      <w:r>
        <w:rPr>
          <w:rFonts w:ascii="Arial" w:cs="Arial" w:eastAsia="Arial" w:hAnsi="Arial"/>
          <w:sz w:val="22"/>
          <w:szCs w:val="22"/>
        </w:rPr>
        <w:t xml:space="preserve">：共四篇——(一)基本情况与政治履历；(二)派系属性与权力网络；(三)政治立场与意识形态特征；(四)综合研判（含类型判断、风险等级、对美台关系影响、个人发展前景四个子部分）</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原始报告全文已收录于v1.3版本附录B</w:t>
      </w:r>
      <w:r>
        <w:rPr>
          <w:rFonts w:ascii="Arial" w:cs="Arial" w:eastAsia="Arial" w:hAnsi="Arial"/>
          <w:sz w:val="22"/>
          <w:szCs w:val="22"/>
        </w:rPr>
        <w:t xml:space="preserve">，本报告主体各章节的分析结论均可追溯至该原始来源的具体篇章。以下为关键追溯索引：</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本报告章节</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对应原始报告章节</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第一篇：基本情况与政治履历</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原始报告第一篇全文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第二篇：派系属性与权力网络</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原始报告第二篇全文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第三篇：政治立场与意识形态</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原始报告第三篇全文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第四篇：行为模式（Hermann/George/Winter/Barber）</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基于原始报告第一至三篇事实 [E-Source] + 学术框架推演 [E-Composite]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第五篇：人格特征（MBTI）</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基于原始报告第一至三篇事实 [E-Source] + MBTI理论推演 [E-MBTI]</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第六篇：综合研判</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原始报告第四篇 + 多框架综合推演 [E-Composite]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第八篇：综合交付物</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V2模块十六要求 + 全报告整合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A/B/E</w:t>
            </w:r>
          </w:p>
        </w:tc>
      </w:tr>
    </w:tbl>
    <w:p>
      <w:pPr>
        <w:spacing w:after="100"/>
      </w:pPr>
    </w:p>
    <w:p>
      <w:pPr>
        <w:spacing w:after="160" w:before="300" w:line="320"/>
      </w:pPr>
      <w:r>
        <w:rPr>
          <w:rFonts w:ascii="Arial" w:cs="Arial" w:eastAsia="Arial" w:hAnsi="Arial"/>
          <w:b/>
          <w:bCs/>
          <w:color w:val="2E5090"/>
          <w:sz w:val="28"/>
          <w:szCs w:val="28"/>
        </w:rPr>
        <w:t xml:space="preserve">附录A-2：萧美琴关键事件时间线表</w:t>
      </w:r>
    </w:p>
    <w:p>
      <w:pPr>
        <w:spacing w:after="120" w:line="300"/>
        <w:jc w:val="left"/>
      </w:pPr>
      <w:r>
        <w:rPr>
          <w:rFonts w:ascii="Arial" w:cs="Arial" w:eastAsia="Arial" w:hAnsi="Arial"/>
          <w:sz w:val="22"/>
          <w:szCs w:val="22"/>
        </w:rPr>
        <w:t xml:space="preserve">根据V5框架D.4.1要求，以下为萧美琴政治生涯关键事件的结构化时间线：</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w:t>
            </w:r>
          </w:p>
        </w:tc>
        <w:tc>
          <w:tcPr>
            <w:tcW w:type="dxa" w:w="2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事件类型</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政治意义</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出生于日本神户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跨文化身份起点</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1993</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欧柏林学院毕业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东亚研究学术训练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哥伦比亚大学硕士/加入民进党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政治生涯起点</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台海危机期间任驻美代表处助理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确立两岸问题国际化基调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2000s</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任总统府顾问/立法委员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进入决策核心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放弃美国国籍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政治身份选择</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当选花莲立法委员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地方政治合法性获取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花莲地震灾后协调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治理绩效</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地方危机处置能力展现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支持婚姻平权法案通过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立法行动</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社会进步议题推动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出任台湾驻美代表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战略枢纽地位确立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受邀出席拜登就职典礼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美台关系象征性突破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达克沃思疫苗外交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幕后操盘能力展现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佩洛西访台/被列入制裁名单</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战略角色被对岸正式确认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促成蔡麦会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美台高层互动制度化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2024.5</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就任台湾地区副领导人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权力地位制度化确立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捷克访问遭尾随事件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战猫叙事强化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2025.9</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接见英国保守党代表团(格里菲思)</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欧洲线战略扩展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2025.11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布鲁塞尔欧洲议会演说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议会外交突破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附录A-3：萧美琴核心网络演化时间线</w:t>
      </w:r>
    </w:p>
    <w:p>
      <w:pPr>
        <w:spacing w:after="120" w:line="300"/>
        <w:jc w:val="left"/>
      </w:pPr>
      <w:r>
        <w:rPr>
          <w:rFonts w:ascii="Arial" w:cs="Arial" w:eastAsia="Arial" w:hAnsi="Arial"/>
          <w:sz w:val="22"/>
          <w:szCs w:val="22"/>
        </w:rPr>
        <w:t xml:space="preserve">根据V5框架D.4.2要求，以下为萧美琴核心政治网络的分阶段演化概要：</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阶段一(P0-P1, 1971-2000年)：初始网络形成</w:t>
      </w:r>
      <w:r>
        <w:rPr>
          <w:rFonts w:ascii="Arial" w:cs="Arial" w:eastAsia="Arial" w:hAnsi="Arial"/>
          <w:sz w:val="22"/>
          <w:szCs w:val="22"/>
        </w:rPr>
        <w:t xml:space="preserve">。核心关系圈以家庭（萧清芬/邱碧玉）和民进党国际事务系统（陈文茜引荐）为主。网络特征为高度依赖单一引荐人，国际联系尚处萌芽阶段。关键节点变化：陈文茜将其引入民进党体系，获得陈水扁信任成为随身翻译。网络密度：低密度、高依附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阶段二(P2-P3, 2000-2020年)：双轨扩展</w:t>
      </w:r>
      <w:r>
        <w:rPr>
          <w:rFonts w:ascii="Arial" w:cs="Arial" w:eastAsia="Arial" w:hAnsi="Arial"/>
          <w:sz w:val="22"/>
          <w:szCs w:val="22"/>
        </w:rPr>
        <w:t xml:space="preserve">。权力关系升级为蔡英文核心圈的专业技术官僚型成员，同时通过花莲十年经营建立地方选民基础。国际关系方面开始系统建立美国政治人脉（达克沃思、苏利文等初步接触）。关键节点变化：新增蔡英文为核心政治支持者，与新潮流系建立功能性合作。网络密度：从单一依附型向双轨（党内+地方）扩展。</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阶段三(P4, 2020-2024年)：国际网络爆发式扩展</w:t>
      </w:r>
      <w:r>
        <w:rPr>
          <w:rFonts w:ascii="Arial" w:cs="Arial" w:eastAsia="Arial" w:hAnsi="Arial"/>
          <w:sz w:val="22"/>
          <w:szCs w:val="22"/>
        </w:rPr>
        <w:t xml:space="preserve">。驻美期间核心网络发生质变：美国线深度人脉（达克沃思/苏利文/蓬佩奥/坎贝尔）全面建立，双橡园社交外交形成制度化平台。关键节点变化：新增美国跨党派高层联系约20+人，开始布局欧洲线（格里菲思/图根哈特/蕾斯曼）。网络密度：从本土双轨向跨大西洋多层次网络跃升，形成'对美沟通关键节点'的不可替代性。</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阶段四(P5, 2024年至今)：权力中枢与网络制度化</w:t>
      </w:r>
      <w:r>
        <w:rPr>
          <w:rFonts w:ascii="Arial" w:cs="Arial" w:eastAsia="Arial" w:hAnsi="Arial"/>
          <w:sz w:val="22"/>
          <w:szCs w:val="22"/>
        </w:rPr>
        <w:t xml:space="preserve">。就任副领导人后，国际网络从个人人脉转化为制度性资源。欧洲线加速拓展（IPAC/欧洲议会演说）。关键节点变化：与赖清德形成制度化互补关系，国际网络从美国中心向欧洲、印太全面扩展。网络密度：高密度跨国网络，具有独立的关系资本与战略价值。</w:t>
      </w:r>
    </w:p>
    <w:p>
      <w:r>
        <w:br w:type="page"/>
      </w:r>
    </w:p>
    <w:p>
      <w:pPr>
        <w:spacing w:after="200" w:before="400" w:line="360"/>
      </w:pPr>
      <w:r>
        <w:rPr>
          <w:rFonts w:ascii="Arial" w:cs="Arial" w:eastAsia="Arial" w:hAnsi="Arial"/>
          <w:b/>
          <w:bCs/>
          <w:color w:val="1F3864"/>
          <w:sz w:val="32"/>
          <w:szCs w:val="32"/>
        </w:rPr>
        <w:t xml:space="preserve">编制信息与学术参考</w:t>
      </w:r>
    </w:p>
    <w:p>
      <w:pPr>
        <w:spacing w:after="160" w:before="300" w:line="320"/>
      </w:pPr>
      <w:r>
        <w:rPr>
          <w:rFonts w:ascii="Arial" w:cs="Arial" w:eastAsia="Arial" w:hAnsi="Arial"/>
          <w:b/>
          <w:bCs/>
          <w:color w:val="2E5090"/>
          <w:sz w:val="28"/>
          <w:szCs w:val="28"/>
        </w:rPr>
        <w:t xml:space="preserve">原始报告与版本信息</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原始报告编制机构</w:t>
      </w:r>
      <w:r>
        <w:rPr>
          <w:rFonts w:ascii="Arial" w:cs="Arial" w:eastAsia="Arial" w:hAnsi="Arial"/>
          <w:sz w:val="22"/>
          <w:szCs w:val="22"/>
        </w:rPr>
        <w:t xml:space="preserve">: 厦门大学平潭研究院台湾问题研究中心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原始报告编写</w:t>
      </w:r>
      <w:r>
        <w:rPr>
          <w:rFonts w:ascii="Arial" w:cs="Arial" w:eastAsia="Arial" w:hAnsi="Arial"/>
          <w:sz w:val="22"/>
          <w:szCs w:val="22"/>
        </w:rPr>
        <w:t xml:space="preserve">: 林启晟、周春林(撰稿)、陈章辉(审核)</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原始报告版本</w:t>
      </w:r>
      <w:r>
        <w:rPr>
          <w:rFonts w:ascii="Arial" w:cs="Arial" w:eastAsia="Arial" w:hAnsi="Arial"/>
          <w:sz w:val="22"/>
          <w:szCs w:val="22"/>
        </w:rPr>
        <w:t xml:space="preserve">: 台湾政治人物深度分析：萧美琴(原始版本)</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v1.7升级框架</w:t>
      </w:r>
      <w:r>
        <w:rPr>
          <w:rFonts w:ascii="Arial" w:cs="Arial" w:eastAsia="Arial" w:hAnsi="Arial"/>
          <w:sz w:val="22"/>
          <w:szCs w:val="22"/>
        </w:rPr>
        <w:t xml:space="preserve">: V2-16模块事实采集 + V3-Hermann/George/Winter/Barber行为建模 + V4-MBTI认知功能 + V5-来源整合层 + V6-全景交付物 + SBP战略行为模式编码 + 六情景前瞻推演</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v1.7版本生成日期</w:t>
      </w:r>
      <w:r>
        <w:rPr>
          <w:rFonts w:ascii="Arial" w:cs="Arial" w:eastAsia="Arial" w:hAnsi="Arial"/>
          <w:sz w:val="22"/>
          <w:szCs w:val="22"/>
        </w:rPr>
        <w:t xml:space="preserve">: 2026年3月30日</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证据截止日期</w:t>
      </w:r>
      <w:r>
        <w:rPr>
          <w:rFonts w:ascii="Arial" w:cs="Arial" w:eastAsia="Arial" w:hAnsi="Arial"/>
          <w:sz w:val="22"/>
          <w:szCs w:val="22"/>
        </w:rPr>
        <w:t xml:space="preserve">: 2026年3月</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联系人</w:t>
      </w:r>
      <w:r>
        <w:rPr>
          <w:rFonts w:ascii="Arial" w:cs="Arial" w:eastAsia="Arial" w:hAnsi="Arial"/>
          <w:sz w:val="22"/>
          <w:szCs w:val="22"/>
        </w:rPr>
        <w:t xml:space="preserve">: 欧小琴 13550969666</w:t>
      </w:r>
    </w:p>
    <w:p>
      <w:pPr>
        <w:spacing w:after="100"/>
      </w:pPr>
    </w:p>
    <w:p>
      <w:pPr>
        <w:spacing w:after="160" w:before="300" w:line="320"/>
      </w:pPr>
      <w:r>
        <w:rPr>
          <w:rFonts w:ascii="Arial" w:cs="Arial" w:eastAsia="Arial" w:hAnsi="Arial"/>
          <w:b/>
          <w:bCs/>
          <w:color w:val="2E5090"/>
          <w:sz w:val="28"/>
          <w:szCs w:val="28"/>
        </w:rPr>
        <w:t xml:space="preserve">学术参考</w:t>
      </w:r>
    </w:p>
    <w:p>
      <w:pPr>
        <w:spacing w:after="120" w:line="300"/>
        <w:jc w:val="left"/>
      </w:pPr>
      <w:r>
        <w:rPr>
          <w:rFonts w:ascii="Arial" w:cs="Arial" w:eastAsia="Arial" w:hAnsi="Arial"/>
          <w:sz w:val="22"/>
          <w:szCs w:val="22"/>
        </w:rPr>
        <w:t xml:space="preserve">Hermann, M. G. (2005). Assessing Leadership Style: Trait Analysis. In J. M. Post (Ed.), The Psychological Assessment of Political Leaders. University of Michigan Press.</w:t>
      </w:r>
    </w:p>
    <w:p>
      <w:pPr>
        <w:spacing w:after="120" w:line="300"/>
        <w:jc w:val="left"/>
      </w:pPr>
      <w:r>
        <w:rPr>
          <w:rFonts w:ascii="Arial" w:cs="Arial" w:eastAsia="Arial" w:hAnsi="Arial"/>
          <w:sz w:val="22"/>
          <w:szCs w:val="22"/>
        </w:rPr>
        <w:t xml:space="preserve">George, A. 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 G. (1996). Personality and Political Behavior. In M. P. Zanna (Ed.), Advances in Experimental Social Psychology (Vol. 28). Academic Press.</w:t>
      </w:r>
    </w:p>
    <w:p>
      <w:pPr>
        <w:spacing w:after="120" w:line="300"/>
        <w:jc w:val="left"/>
      </w:pPr>
      <w:r>
        <w:rPr>
          <w:rFonts w:ascii="Arial" w:cs="Arial" w:eastAsia="Arial" w:hAnsi="Arial"/>
          <w:sz w:val="22"/>
          <w:szCs w:val="22"/>
        </w:rPr>
        <w:t xml:space="preserve">Barber, J. D. (1972). The Presidential Character: Predicting Performance in the White House. Prentice Hall.</w:t>
      </w:r>
    </w:p>
    <w:p>
      <w:pPr>
        <w:spacing w:after="120" w:line="300"/>
        <w:jc w:val="left"/>
      </w:pPr>
      <w:r>
        <w:rPr>
          <w:rFonts w:ascii="Arial" w:cs="Arial" w:eastAsia="Arial" w:hAnsi="Arial"/>
          <w:sz w:val="22"/>
          <w:szCs w:val="22"/>
        </w:rPr>
        <w:t xml:space="preserve">Jung, C. G. (1921). Psychological Types. Princeton University Press.</w:t>
      </w:r>
    </w:p>
    <w:p>
      <w:pPr>
        <w:spacing w:after="120" w:line="300"/>
        <w:jc w:val="left"/>
      </w:pPr>
      <w:r>
        <w:rPr>
          <w:rFonts w:ascii="Arial" w:cs="Arial" w:eastAsia="Arial" w:hAnsi="Arial"/>
          <w:sz w:val="22"/>
          <w:szCs w:val="22"/>
        </w:rPr>
        <w:t xml:space="preserve">Myers, I. B., &amp; McCaulley, M. H. (1985). Manual: A Guide to the Development and Use of the Myers-Briggs Type Indicator. Consulting Psychologists Press.</w:t>
      </w:r>
    </w:p>
    <w:p>
      <w:pPr>
        <w:spacing w:after="120" w:line="300"/>
        <w:jc w:val="left"/>
      </w:pPr>
      <w:r>
        <w:rPr>
          <w:rFonts w:ascii="Arial" w:cs="Arial" w:eastAsia="Arial" w:hAnsi="Arial"/>
          <w:sz w:val="22"/>
          <w:szCs w:val="22"/>
        </w:rPr>
        <w:t xml:space="preserve">Quenk, N. L. (2002). Was That Really Me? How Everyday Stress Brings Out Our Hidden Personality. Davies-Black Publishing.</w:t>
      </w:r>
    </w:p>
    <w:p>
      <w:pPr>
        <w:spacing w:after="120" w:line="300"/>
        <w:jc w:val="left"/>
      </w:pPr>
      <w:r>
        <w:rPr>
          <w:rFonts w:ascii="Arial" w:cs="Arial" w:eastAsia="Arial" w:hAnsi="Arial"/>
          <w:sz w:val="22"/>
          <w:szCs w:val="22"/>
        </w:rPr>
        <w:t xml:space="preserve">Barbuto Jr., J. E. (1997). Taking the Measure of Work: The Validated Assessment of Productive Leader Orientations. Journal of Leadership &amp; Organizational Studies, 4(3), 44-56.</w:t>
      </w:r>
    </w:p>
    <w:p>
      <w:pPr>
        <w:spacing w:after="120" w:line="300"/>
        <w:jc w:val="left"/>
      </w:pPr>
      <w:r>
        <w:rPr>
          <w:rFonts w:ascii="Arial" w:cs="Arial" w:eastAsia="Arial" w:hAnsi="Arial"/>
          <w:sz w:val="22"/>
          <w:szCs w:val="22"/>
        </w:rPr>
        <w:t xml:space="preserve">Post, J. M. (Ed.). (2005). The Psychological Assessment of Political Leaders: With Case Studies of Richard Nixon and Ronald Reagan. University of Michigan Press.</w:t>
      </w:r>
    </w:p>
    <w:p>
      <w:pPr>
        <w:spacing w:after="100"/>
      </w:pPr>
    </w:p>
    <w:p>
      <w:pPr>
        <w:spacing w:before="400"/>
        <w:jc w:val="center"/>
      </w:pPr>
      <w:r>
        <w:rPr>
          <w:rFonts w:ascii="Arial" w:cs="Arial" w:eastAsia="Arial" w:hAnsi="Arial"/>
          <w:i/>
          <w:iCs/>
          <w:color w:val="999999"/>
          <w:sz w:val="24"/>
          <w:szCs w:val="24"/>
        </w:rPr>
        <w:t xml:space="preserve">— 报告完成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2026-03-30T14:55:03.588Z</dcterms:created>
  <dcterms:modified xsi:type="dcterms:W3CDTF">2026-03-30T14:55:03.595Z</dcterms:modified>
</cp:coreProperties>
</file>

<file path=docProps/custom.xml><?xml version="1.0" encoding="utf-8"?>
<Properties xmlns="http://schemas.openxmlformats.org/officeDocument/2006/custom-properties" xmlns:vt="http://schemas.openxmlformats.org/officeDocument/2006/docPropsVTypes"/>
</file>