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color w:val="1F3864"/>
          <w:sz w:val="28"/>
          <w:szCs w:val="28"/>
        </w:rPr>
        <w:t xml:space="preserve">厦门大学台湾研究院</w:t>
      </w:r>
    </w:p>
    <w:p>
      <w:pPr>
        <w:spacing w:after="200"/>
        <w:jc w:val="center"/>
      </w:pPr>
      <w:r>
        <w:rPr>
          <w:rFonts w:ascii="Arial" w:cs="Arial" w:eastAsia="Arial" w:hAnsi="Arial"/>
          <w:b/>
          <w:bCs/>
          <w:color w:val="1F3864"/>
          <w:sz w:val="36"/>
          <w:szCs w:val="36"/>
        </w:rPr>
        <w:t xml:space="preserve">开源情报全景分析报告</w:t>
      </w:r>
    </w:p>
    <w:p>
      <w:pPr>
        <w:spacing w:after="400"/>
        <w:jc w:val="center"/>
      </w:pPr>
      <w:r>
        <w:rPr>
          <w:rFonts w:ascii="Arial" w:cs="Arial" w:eastAsia="Arial" w:hAnsi="Arial"/>
          <w:b/>
          <w:bCs/>
          <w:color w:val="2E5090"/>
          <w:sz w:val="32"/>
          <w:szCs w:val="32"/>
        </w:rPr>
        <w:t xml:space="preserve">分析对象：陈昭姿</w:t>
      </w:r>
    </w:p>
    <w:p>
      <w:pPr>
        <w:spacing w:after="200"/>
        <w:jc w:val="center"/>
      </w:pPr>
      <w:r>
        <w:rPr>
          <w:rFonts w:ascii="Arial" w:cs="Arial" w:eastAsia="Arial" w:hAnsi="Arial"/>
          <w:color w:val="666666"/>
          <w:sz w:val="22"/>
          <w:szCs w:val="22"/>
        </w:rPr>
        <w:t xml:space="preserve">报告版本：V1.0 | 分析框架：OSINT V6.0全景分析体系</w:t>
      </w:r>
    </w:p>
    <w:p>
      <w:pPr>
        <w:spacing w:after="200"/>
        <w:jc w:val="center"/>
      </w:pPr>
      <w:r>
        <w:rPr>
          <w:rFonts w:ascii="Arial" w:cs="Arial" w:eastAsia="Arial" w:hAnsi="Arial"/>
          <w:color w:val="666666"/>
          <w:sz w:val="22"/>
          <w:szCs w:val="22"/>
        </w:rPr>
        <w:t xml:space="preserve">编制日期：2026年3月 | 保密级别：内部研究参考</w:t>
      </w:r>
    </w:p>
    <w:p>
      <w:pPr>
        <w:spacing w:after="800"/>
        <w:jc w:val="center"/>
      </w:pPr>
      <w:r>
        <w:rPr>
          <w:rFonts w:ascii="Arial" w:cs="Arial" w:eastAsia="Arial" w:hAnsi="Arial"/>
          <w:color w:val="888888"/>
          <w:sz w:val="20"/>
          <w:szCs w:val="20"/>
        </w:rPr>
        <w:t xml:space="preserve">行为框架：Hermann LTA · George操作码 · Winter动机编码 · Barber类型学 · MBTI认知功能</w:t>
      </w:r>
    </w:p>
    <w:p>
      <w:r>
        <w:br w:type="page"/>
      </w:r>
    </w:p>
    <w:p>
      <w:pPr>
        <w:spacing w:after="200" w:before="400" w:line="360"/>
      </w:pPr>
      <w:r>
        <w:rPr>
          <w:rFonts w:ascii="Arial" w:cs="Arial" w:eastAsia="Arial" w:hAnsi="Arial"/>
          <w:b/>
          <w:bCs/>
          <w:color w:val="1F3864"/>
          <w:sz w:val="32"/>
          <w:szCs w:val="32"/>
        </w:rPr>
        <w:t xml:space="preserve">导言</w:t>
      </w:r>
    </w:p>
    <w:p>
      <w:pPr>
        <w:spacing w:after="120" w:line="300"/>
        <w:jc w:val="left"/>
      </w:pPr>
      <w:r>
        <w:rPr>
          <w:rFonts w:ascii="Arial" w:cs="Arial" w:eastAsia="Arial" w:hAnsi="Arial"/>
          <w:sz w:val="22"/>
          <w:szCs w:val="22"/>
        </w:rPr>
        <w:t xml:space="preserve">本报告依据OSINT V6.0全景分析框架，对陈昭姿进行系统性情报评估。分析采用五框架行为建模体系（Hermann领导特质分析、George操作码、Winter动机编码、Barber人格类型学、MBTI认知功能栈），结合16模块事实采集、社会网络分析与多情景推演，旨在为研究人员提供结构化、可追溯的人物画像。所有分析推断均以证据为基础，采用A-E五级证据分级体系，并标注时间周期（P0-P5）以反映立场演变轨迹。</w:t>
      </w:r>
    </w:p>
    <w:p>
      <w:pPr>
        <w:spacing w:after="120" w:line="300"/>
        <w:jc w:val="left"/>
      </w:pPr>
      <w:r>
        <w:rPr>
          <w:rFonts w:ascii="Arial" w:cs="Arial" w:eastAsia="Arial" w:hAnsi="Arial"/>
          <w:sz w:val="22"/>
          <w:szCs w:val="22"/>
        </w:rPr>
        <w:t xml:space="preserve">陈昭姿（Chen Chao-tzu，1956年9月3日生）系台湾民众党（TPP）籍不分区立法委员，现任第11届立法院委员（2024-），曾任台湾大学医院药品咨询中心药师约10年，和信治癌中心医院药剂科主任，药害救济基金会董事长。具有鲜明的药学医疗专业背景与亲独立倾向的政治履历——早年担任「一边一国行动党」发言人，后于2024年以民众党第三顺位不分区候选人身份当选。以27年倡议「代理孕母合法化」为标志性政治使命，并出任对华政策跨国议会联盟（IPAC）台湾联席主席。其政治争议主要来自两方面：2024年立法院院长选举污染选票事件，以及2026年1月引发TPP内部分裂的「两年条款例外」风波。</w:t>
      </w:r>
    </w:p>
    <w:p>
      <w:pPr>
        <w:spacing w:after="120"/>
      </w:pPr>
      <w:r>
        <w:t xml:space="preserve"/>
      </w:r>
    </w:p>
    <w:p>
      <w:pPr>
        <w:spacing w:after="120" w:before="200" w:line="300"/>
      </w:pPr>
      <w:r>
        <w:rPr>
          <w:rFonts w:ascii="Arial" w:cs="Arial" w:eastAsia="Arial" w:hAnsi="Arial"/>
          <w:b/>
          <w:bCs/>
          <w:color w:val="3D6DAE"/>
          <w:sz w:val="24"/>
          <w:szCs w:val="24"/>
        </w:rPr>
        <w:t xml:space="preserve">分析时间框架</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时段</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年份范围</w:t>
            </w:r>
          </w:p>
        </w:tc>
        <w:tc>
          <w:tcPr>
            <w:tcW w:type="dxa" w:w="6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核心事件/阶段</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P0</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1956-1980</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成长与教育期：台北市，北一女中，台大医学院药学系</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P1</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1980-1995</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专业建立期：台大医院、旧金山加大及庆应大学进修，和信医院药剂科主任</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P2</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1995-2019</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公益倡议期：长达27年代理孕母合法化倡议，药害救济基金会，「一边一国行动党」发言人</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P3</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2019-2023</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政治转型期：2020年宣布退出一边一国行动党，结束独派政党身份</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P4</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2023-2024</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加入TPP：受柯文哲招募，以第三顺位不分区候选人身份参与2024年选举</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P5</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2024-至今</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立委任期：当选第11届立委，任党团干事长（含辞职再复任），两年条款争议持续发酵</w:t>
            </w:r>
          </w:p>
        </w:tc>
      </w:tr>
    </w:tbl>
    <w:p>
      <w:r>
        <w:br w:type="page"/>
      </w:r>
    </w:p>
    <w:p>
      <w:pPr>
        <w:spacing w:after="200" w:before="400" w:line="360"/>
      </w:pPr>
      <w:r>
        <w:rPr>
          <w:rFonts w:ascii="Arial" w:cs="Arial" w:eastAsia="Arial" w:hAnsi="Arial"/>
          <w:b/>
          <w:bCs/>
          <w:color w:val="1F3864"/>
          <w:sz w:val="32"/>
          <w:szCs w:val="32"/>
        </w:rPr>
        <w:t xml:space="preserve">第一篇　基本情况与政治履历</w:t>
      </w:r>
    </w:p>
    <w:p>
      <w:pPr>
        <w:spacing w:after="160" w:before="300" w:line="320"/>
      </w:pPr>
      <w:r>
        <w:rPr>
          <w:rFonts w:ascii="Arial" w:cs="Arial" w:eastAsia="Arial" w:hAnsi="Arial"/>
          <w:b/>
          <w:bCs/>
          <w:color w:val="2E5090"/>
          <w:sz w:val="28"/>
          <w:szCs w:val="28"/>
        </w:rPr>
        <w:t xml:space="preserve">1.1 基本信息</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字段</w:t>
            </w:r>
          </w:p>
        </w:tc>
        <w:tc>
          <w:tcPr>
            <w:tcW w:type="dxa" w:w="6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内容</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姓名（中文）</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陈昭姿</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英文姓名</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Chen Chao-tzu</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生年</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1956年9月3日</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出生地</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台北市，台湾</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党籍</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台湾民众党（TPP）</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现职</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第11届立法委员（不分区）；TPP党团干事长（2025年2月复任）</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教育背景</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台大医学院药学系；美国加州大学旧金山分校（进修）；日本庆应大学医院（进修）</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专业资历</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台大医院药品咨询中心药师（约10年）；和信治癌中心医院药剂科主任</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党内职务</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TPP党团干事长；对华政策跨国议会联盟（IPAC）台湾联席主席（与范云）</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核心议题</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代理孕母合法化（倡议27年）；医疗健保政策</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身体状况</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先天性子宫发育不全（本人公开揭露，为推动代孕立法的个人动因）</w:t>
            </w:r>
          </w:p>
        </w:tc>
      </w:tr>
    </w:tbl>
    <w:p>
      <w:pPr>
        <w:spacing w:after="120"/>
      </w:pPr>
      <w:r>
        <w:t xml:space="preserve"/>
      </w:r>
    </w:p>
    <w:p>
      <w:pPr>
        <w:spacing w:after="160" w:before="300" w:line="320"/>
      </w:pPr>
      <w:r>
        <w:rPr>
          <w:rFonts w:ascii="Arial" w:cs="Arial" w:eastAsia="Arial" w:hAnsi="Arial"/>
          <w:b/>
          <w:bCs/>
          <w:color w:val="2E5090"/>
          <w:sz w:val="28"/>
          <w:szCs w:val="28"/>
        </w:rPr>
        <w:t xml:space="preserve">1.2 家庭背景与政治启蒙</w:t>
      </w:r>
    </w:p>
    <w:p>
      <w:pPr>
        <w:spacing w:after="120" w:line="300"/>
        <w:jc w:val="left"/>
      </w:pPr>
      <w:r>
        <w:rPr>
          <w:rFonts w:ascii="Arial" w:cs="Arial" w:eastAsia="Arial" w:hAnsi="Arial"/>
          <w:sz w:val="22"/>
          <w:szCs w:val="22"/>
        </w:rPr>
        <w:t xml:space="preserve">陈昭姿出生于台北市，成长于一个与医药专业相关的家庭环境中。就读台北第一女子高级中学（北一女）后，进入国立台湾大学医学院药学系，完成台湾最顶尖的药学专业训练。大学期间或毕业后，她得知自己患有先天性子宫发育不全，无法自然怀孕——这一深刻的个人经历，成为她此后近30年倡议代理孕母合法化的内在驱动力，并赋予其政策主张高度的个人叙事感召力[A级来源]。</w:t>
      </w:r>
    </w:p>
    <w:p>
      <w:pPr>
        <w:spacing w:after="120" w:line="300"/>
        <w:jc w:val="left"/>
      </w:pPr>
      <w:r>
        <w:rPr>
          <w:rFonts w:ascii="Arial" w:cs="Arial" w:eastAsia="Arial" w:hAnsi="Arial"/>
          <w:sz w:val="22"/>
          <w:szCs w:val="22"/>
        </w:rPr>
        <w:t xml:space="preserve">政治启蒙层面，陈昭姿的政治意识形成于台湾民主化的关键时期（1990年代）。她早年与台湾独立运动团体存在意识形态共鸣，最终加入「一边一国行动党」担任发言人，代表其对台湾主权独立的坚定认同。这一政治轨迹与她的医药专业主业形成了并行发展的双重身份——医疗专家与政治倡议者[B级来源]。</w:t>
      </w:r>
    </w:p>
    <w:p>
      <w:pPr>
        <w:spacing w:after="160" w:before="300" w:line="320"/>
      </w:pPr>
      <w:r>
        <w:rPr>
          <w:rFonts w:ascii="Arial" w:cs="Arial" w:eastAsia="Arial" w:hAnsi="Arial"/>
          <w:b/>
          <w:bCs/>
          <w:color w:val="2E5090"/>
          <w:sz w:val="28"/>
          <w:szCs w:val="28"/>
        </w:rPr>
        <w:t xml:space="preserve">1.3 从政前经历与政治网络早期建立</w:t>
      </w:r>
    </w:p>
    <w:p>
      <w:pPr>
        <w:spacing w:after="120" w:line="300"/>
        <w:jc w:val="left"/>
      </w:pPr>
      <w:r>
        <w:rPr>
          <w:rFonts w:ascii="Arial" w:cs="Arial" w:eastAsia="Arial" w:hAnsi="Arial"/>
          <w:sz w:val="22"/>
          <w:szCs w:val="22"/>
        </w:rPr>
        <w:t xml:space="preserve">陈昭姿的从政前专业生涯集中于台湾顶尖医疗机构。在台湾大学附设医院药品咨询中心服务约10年后，1990年转任和信治癌中心医院（台湾著名肿瘤专科医院）担任药剂科主任，此为台湾医疗体系中具有高度专业权威的要职。她亦曾赴美国加州大学旧金山分校及日本庆应大学医院进行专业进修，建立了国际医药学术网络[A级来源]。</w:t>
      </w:r>
    </w:p>
    <w:p>
      <w:pPr>
        <w:spacing w:after="120" w:line="300"/>
        <w:jc w:val="left"/>
      </w:pPr>
      <w:r>
        <w:rPr>
          <w:rFonts w:ascii="Arial" w:cs="Arial" w:eastAsia="Arial" w:hAnsi="Arial"/>
          <w:sz w:val="22"/>
          <w:szCs w:val="22"/>
        </w:rPr>
        <w:t xml:space="preserve">1996年起，陈昭姿开始公开倡议代理孕母合法化，以专业药学背景与个人亲身经历相结合，深入参与台湾生育权益讨论。同期担任药害救济基金会董事长，推动药品安全监督体系建设。这一阶段的倡议工作积累了她在医疗政策圈与公民社会中的专业影响力，也初步建立了与立法机构的政策对话渠道[B级来源]。</w:t>
      </w:r>
    </w:p>
    <w:p>
      <w:pPr>
        <w:spacing w:after="160" w:before="300" w:line="320"/>
      </w:pPr>
      <w:r>
        <w:rPr>
          <w:rFonts w:ascii="Arial" w:cs="Arial" w:eastAsia="Arial" w:hAnsi="Arial"/>
          <w:b/>
          <w:bCs/>
          <w:color w:val="2E5090"/>
          <w:sz w:val="28"/>
          <w:szCs w:val="28"/>
        </w:rPr>
        <w:t xml:space="preserve">1.4 政治履历阶段分析</w:t>
      </w:r>
    </w:p>
    <w:p>
      <w:pPr>
        <w:spacing w:after="120" w:line="300"/>
        <w:jc w:val="left"/>
      </w:pPr>
      <w:r>
        <w:rPr>
          <w:rFonts w:ascii="Arial" w:cs="Arial" w:eastAsia="Arial" w:hAnsi="Arial"/>
          <w:sz w:val="22"/>
          <w:szCs w:val="22"/>
        </w:rPr>
        <w:t xml:space="preserve">陈昭姿的正式政治生涯相对晚近。作为「一边一国行动党」发言人，她长期活跃于台湾独立运动的政治边缘地带，但受限于该党较小的政治体量，未能进入立法机构。2020年1月，她与丈夫联名声明退出该党，结束了与独派政党的正式关系，进入政治的观察等待期[B级来源]。</w:t>
      </w:r>
    </w:p>
    <w:p>
      <w:pPr>
        <w:spacing w:after="120" w:line="300"/>
        <w:jc w:val="left"/>
      </w:pPr>
      <w:r>
        <w:rPr>
          <w:rFonts w:ascii="Arial" w:cs="Arial" w:eastAsia="Arial" w:hAnsi="Arial"/>
          <w:sz w:val="22"/>
          <w:szCs w:val="22"/>
        </w:rPr>
        <w:t xml:space="preserve">2023年末，柯文哲领导的台湾民众党将陈昭姿列为不分区立委候选人名单第三顺位，以其医疗专业背景与亲绿色政治形象，作为TPP吸引独派选民的策略性配置。2024年1月第11届立法委员选举中，民众党顺利越过门槛，陈昭姿以不分区身份当选，开始了其首届立委生涯[A级来源]。</w:t>
      </w:r>
    </w:p>
    <w:p>
      <w:pPr>
        <w:spacing w:after="120" w:line="300"/>
        <w:jc w:val="left"/>
      </w:pPr>
      <w:r>
        <w:rPr>
          <w:rFonts w:ascii="Arial" w:cs="Arial" w:eastAsia="Arial" w:hAnsi="Arial"/>
          <w:sz w:val="22"/>
          <w:szCs w:val="22"/>
        </w:rPr>
        <w:t xml:space="preserve">进入立法院后，陈昭姿出任民众党团干事长，成为党内立法运作的关键协调者。然而，2024年2月1日立法院院长选举中，其选票因手指油墨污染而被宣告无效，引发重大争议，她随即辞去干事长职务。2025年2月复任党团干事长，显示柯文哲对其持续信任。2026年1月「两年条款例外」风波（参见6.8争议栏）则构成其政治生涯迄今最大的内部危机[A级来源]。</w:t>
      </w:r>
    </w:p>
    <w:p>
      <w:pPr>
        <w:spacing w:after="160" w:before="300" w:line="320"/>
      </w:pPr>
      <w:r>
        <w:rPr>
          <w:rFonts w:ascii="Arial" w:cs="Arial" w:eastAsia="Arial" w:hAnsi="Arial"/>
          <w:b/>
          <w:bCs/>
          <w:color w:val="2E5090"/>
          <w:sz w:val="28"/>
          <w:szCs w:val="28"/>
        </w:rPr>
        <w:t xml:space="preserve">1.5 关键转折点分析</w:t>
      </w:r>
    </w:p>
    <w:p>
      <w:pPr>
        <w:spacing w:after="120" w:line="300"/>
        <w:jc w:val="left"/>
      </w:pPr>
      <w:r>
        <w:rPr>
          <w:rFonts w:ascii="Arial" w:cs="Arial" w:eastAsia="Arial" w:hAnsi="Arial"/>
          <w:b/>
          <w:bCs/>
          <w:sz w:val="22"/>
          <w:szCs w:val="22"/>
        </w:rPr>
        <w:t xml:space="preserve">第一转折点（1990年和信医院药剂科主任）</w:t>
      </w:r>
      <w:r>
        <w:rPr>
          <w:rFonts w:ascii="Arial" w:cs="Arial" w:eastAsia="Arial" w:hAnsi="Arial"/>
          <w:sz w:val="22"/>
          <w:szCs w:val="22"/>
        </w:rPr>
        <w:t xml:space="preserve">：从台大医院转至癌症专科中心，奠定医疗政策专家地位，开始参与公共卫生倡议。</w:t>
      </w:r>
    </w:p>
    <w:p>
      <w:pPr>
        <w:spacing w:after="120" w:line="300"/>
        <w:jc w:val="left"/>
      </w:pPr>
      <w:r>
        <w:rPr>
          <w:rFonts w:ascii="Arial" w:cs="Arial" w:eastAsia="Arial" w:hAnsi="Arial"/>
          <w:b/>
          <w:bCs/>
          <w:sz w:val="22"/>
          <w:szCs w:val="22"/>
        </w:rPr>
        <w:t xml:space="preserve">第二转折点（1996年代孕倡议启动）</w:t>
      </w:r>
      <w:r>
        <w:rPr>
          <w:rFonts w:ascii="Arial" w:cs="Arial" w:eastAsia="Arial" w:hAnsi="Arial"/>
          <w:sz w:val="22"/>
          <w:szCs w:val="22"/>
        </w:rPr>
        <w:t xml:space="preserve">：以个人亲身经历为切入点，启动持续近30年的立法倡议，建立跨越单一政党的议题影响力。</w:t>
      </w:r>
    </w:p>
    <w:p>
      <w:pPr>
        <w:spacing w:after="120" w:line="300"/>
        <w:jc w:val="left"/>
      </w:pPr>
      <w:r>
        <w:rPr>
          <w:rFonts w:ascii="Arial" w:cs="Arial" w:eastAsia="Arial" w:hAnsi="Arial"/>
          <w:b/>
          <w:bCs/>
          <w:sz w:val="22"/>
          <w:szCs w:val="22"/>
        </w:rPr>
        <w:t xml:space="preserve">第三转折点（2024年TPP不分区当选）</w:t>
      </w:r>
      <w:r>
        <w:rPr>
          <w:rFonts w:ascii="Arial" w:cs="Arial" w:eastAsia="Arial" w:hAnsi="Arial"/>
          <w:sz w:val="22"/>
          <w:szCs w:val="22"/>
        </w:rPr>
        <w:t xml:space="preserve">：首度进入立法院，将倡议者身份转化为立法者身份，政治影响力实质扩展。</w:t>
      </w:r>
    </w:p>
    <w:p>
      <w:pPr>
        <w:spacing w:after="120" w:line="300"/>
        <w:jc w:val="left"/>
      </w:pPr>
      <w:r>
        <w:rPr>
          <w:rFonts w:ascii="Arial" w:cs="Arial" w:eastAsia="Arial" w:hAnsi="Arial"/>
          <w:b/>
          <w:bCs/>
          <w:sz w:val="22"/>
          <w:szCs w:val="22"/>
        </w:rPr>
        <w:t xml:space="preserve">第四转折点（2026年两年条款风波）</w:t>
      </w:r>
      <w:r>
        <w:rPr>
          <w:rFonts w:ascii="Arial" w:cs="Arial" w:eastAsia="Arial" w:hAnsi="Arial"/>
          <w:sz w:val="22"/>
          <w:szCs w:val="22"/>
        </w:rPr>
        <w:t xml:space="preserve">：民众党内部规则与个人立法承诺之间的冲突，使其从「专业立法者」转变为「党纪争议焦点」，构成政治生涯的系统性风险节点[A级来源]。</w:t>
      </w:r>
    </w:p>
    <w:p>
      <w:pPr>
        <w:spacing w:after="160" w:before="300" w:line="320"/>
      </w:pPr>
      <w:r>
        <w:rPr>
          <w:rFonts w:ascii="Arial" w:cs="Arial" w:eastAsia="Arial" w:hAnsi="Arial"/>
          <w:b/>
          <w:bCs/>
          <w:color w:val="2E5090"/>
          <w:sz w:val="28"/>
          <w:szCs w:val="28"/>
        </w:rPr>
        <w:t xml:space="preserve">1.6 海外经历深度追踪</w:t>
      </w:r>
    </w:p>
    <w:p>
      <w:pPr>
        <w:spacing w:after="120" w:line="300"/>
        <w:jc w:val="left"/>
      </w:pPr>
      <w:r>
        <w:rPr>
          <w:rFonts w:ascii="Arial" w:cs="Arial" w:eastAsia="Arial" w:hAnsi="Arial"/>
          <w:sz w:val="22"/>
          <w:szCs w:val="22"/>
        </w:rPr>
        <w:t xml:space="preserve">陈昭姿的国际经历主要体现于医学专业进修层面：赴美国加州大学旧金山分校（UCSF）及日本庆应大学医院进修，形成了跨太平洋的医药学术网络。这一国际经历赋予她在国际医疗政策对话中的专业公信力[A级来源]。</w:t>
      </w:r>
    </w:p>
    <w:p>
      <w:pPr>
        <w:spacing w:after="120" w:line="300"/>
        <w:jc w:val="left"/>
      </w:pPr>
      <w:r>
        <w:rPr>
          <w:rFonts w:ascii="Arial" w:cs="Arial" w:eastAsia="Arial" w:hAnsi="Arial"/>
          <w:sz w:val="22"/>
          <w:szCs w:val="22"/>
        </w:rPr>
        <w:t xml:space="preserve">政治层面，她与范云（民进党立委）共同担任「对华政策跨国议会联盟」（IPAC，Inter-Parliamentary Alliance on China）台湾联席主席，该组织2024年7月首次在台湾举办峰会，显示她在国际议会外交层面的积极参与。IPAC的对华政策定位（推动民主国家协调应对北京）与陈昭姿的亲独立政治背景完全一致[A级来源]。</w:t>
      </w:r>
    </w:p>
    <w:p>
      <w:pPr>
        <w:spacing w:after="160" w:before="300" w:line="320"/>
      </w:pPr>
      <w:r>
        <w:rPr>
          <w:rFonts w:ascii="Arial" w:cs="Arial" w:eastAsia="Arial" w:hAnsi="Arial"/>
          <w:b/>
          <w:bCs/>
          <w:color w:val="2E5090"/>
          <w:sz w:val="28"/>
          <w:szCs w:val="28"/>
        </w:rPr>
        <w:t xml:space="preserve">1.7 立法与治理绩效评估</w:t>
      </w:r>
    </w:p>
    <w:p>
      <w:pPr>
        <w:spacing w:after="120" w:line="300"/>
        <w:jc w:val="left"/>
      </w:pPr>
      <w:r>
        <w:rPr>
          <w:rFonts w:ascii="Arial" w:cs="Arial" w:eastAsia="Arial" w:hAnsi="Arial"/>
          <w:sz w:val="22"/>
          <w:szCs w:val="22"/>
        </w:rPr>
        <w:t xml:space="preserve">立法绩效方面，陈昭姿的核心立法使命是推动代理孕母法制化。她主导提出的代孕法案版本被描述为「全球法规最严格版本之一」，核心条文聚焦于保护代孕母亲权益及子女最佳利益，强调将地下代孕行为纳入合法管制轨道。她在立法院就相关条文与民进党立委林淑芬等展开多次激烈辩论，坚持专业立场，并以「政治霸凌专业」形容对方的修改意图[A级来源]。</w:t>
      </w:r>
    </w:p>
    <w:p>
      <w:pPr>
        <w:spacing w:after="120" w:line="300"/>
        <w:jc w:val="left"/>
      </w:pPr>
      <w:r>
        <w:rPr>
          <w:rFonts w:ascii="Arial" w:cs="Arial" w:eastAsia="Arial" w:hAnsi="Arial"/>
          <w:sz w:val="22"/>
          <w:szCs w:val="22"/>
        </w:rPr>
        <w:t xml:space="preserve">争议性立法行为：2024年2月1日立法院院长选举中，陈昭姿的选票因手指油墨污染而被宣告无效，后来确认她原本意图投票给黄珊珊，但操作失误导致无效票。此次事件直接引发她辞去党团干事长职务，民进党党团随即起哄呼吁她「归队」，展示了政治对手利用其技术失误的策略性攻击模式[A级来源]。</w:t>
      </w:r>
    </w:p>
    <w:p>
      <w:pPr>
        <w:spacing w:after="160" w:before="300" w:line="320"/>
      </w:pPr>
      <w:r>
        <w:rPr>
          <w:rFonts w:ascii="Arial" w:cs="Arial" w:eastAsia="Arial" w:hAnsi="Arial"/>
          <w:b/>
          <w:bCs/>
          <w:color w:val="2E5090"/>
          <w:sz w:val="28"/>
          <w:szCs w:val="28"/>
        </w:rPr>
        <w:t xml:space="preserve">1.8 选举与竞选分析</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选举年度</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选区/类别</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得票数</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得票率</w:t>
            </w:r>
          </w:p>
        </w:tc>
        <w:tc>
          <w:tcPr>
            <w:tcW w:type="dxa" w:w="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胜负</w:t>
            </w:r>
          </w:p>
        </w:tc>
        <w:tc>
          <w:tcPr>
            <w:tcW w:type="dxa" w:w="34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对手</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2024</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不分区立委（第11届，TPP，第3顺位）</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—（政党票比例）</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当选</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政党票分配（民众党）</w:t>
            </w:r>
          </w:p>
        </w:tc>
      </w:tr>
    </w:tbl>
    <w:p>
      <w:pPr>
        <w:spacing w:after="120"/>
      </w:pPr>
      <w:r>
        <w:t xml:space="preserve"/>
      </w:r>
    </w:p>
    <w:p>
      <w:pPr>
        <w:spacing w:after="120" w:line="300"/>
        <w:jc w:val="left"/>
      </w:pPr>
      <w:r>
        <w:rPr>
          <w:rFonts w:ascii="Arial" w:cs="Arial" w:eastAsia="Arial" w:hAnsi="Arial"/>
          <w:sz w:val="22"/>
          <w:szCs w:val="22"/>
        </w:rPr>
        <w:t xml:space="preserve">陈昭姿的选举历程相对简单——迄今唯一的成功当选为2024年不分区立委，依赖民众党整体政党票表现而非个人选区经营。这一特征决定了她的政治稳定性高度依赖于民众党的党势走向以及柯文哲对其的持续支持[A级来源]。</w:t>
      </w:r>
    </w:p>
    <w:p>
      <w:pPr>
        <w:spacing w:after="120" w:line="300"/>
        <w:jc w:val="left"/>
      </w:pPr>
      <w:r>
        <w:rPr>
          <w:rFonts w:ascii="Arial" w:cs="Arial" w:eastAsia="Arial" w:hAnsi="Arial"/>
          <w:sz w:val="22"/>
          <w:szCs w:val="22"/>
        </w:rPr>
        <w:t xml:space="preserve">2026年选举前景方面，两年条款的特殊例外处理使她理论上能够完成完整的四年任期（若代孕法案通过），但内部分歧已对党团凝聚力产生实质冲击，其能否在2028年再次获得不分区提名存在相当不确定性[B/C级推断]。</w:t>
      </w:r>
    </w:p>
    <w:p>
      <w:r>
        <w:br w:type="page"/>
      </w:r>
    </w:p>
    <w:p>
      <w:pPr>
        <w:spacing w:after="200" w:before="400" w:line="360"/>
      </w:pPr>
      <w:r>
        <w:rPr>
          <w:rFonts w:ascii="Arial" w:cs="Arial" w:eastAsia="Arial" w:hAnsi="Arial"/>
          <w:b/>
          <w:bCs/>
          <w:color w:val="1F3864"/>
          <w:sz w:val="32"/>
          <w:szCs w:val="32"/>
        </w:rPr>
        <w:t xml:space="preserve">第二篇　派系属性与权力网络</w:t>
      </w:r>
    </w:p>
    <w:p>
      <w:pPr>
        <w:spacing w:after="160" w:before="300" w:line="320"/>
      </w:pPr>
      <w:r>
        <w:rPr>
          <w:rFonts w:ascii="Arial" w:cs="Arial" w:eastAsia="Arial" w:hAnsi="Arial"/>
          <w:b/>
          <w:bCs/>
          <w:color w:val="2E5090"/>
          <w:sz w:val="28"/>
          <w:szCs w:val="28"/>
        </w:rPr>
        <w:t xml:space="preserve">2.1 党内派系定位</w:t>
      </w:r>
    </w:p>
    <w:p>
      <w:pPr>
        <w:spacing w:after="120" w:line="300"/>
        <w:jc w:val="left"/>
      </w:pPr>
      <w:r>
        <w:rPr>
          <w:rFonts w:ascii="Arial" w:cs="Arial" w:eastAsia="Arial" w:hAnsi="Arial"/>
          <w:sz w:val="22"/>
          <w:szCs w:val="22"/>
        </w:rPr>
        <w:t xml:space="preserve">陈昭姿在民众党内的派系定位较为特殊：她是柯文哲个人招募的「专业政治人才」，而非来自任何传统派系基盘。她的加入具有明确的策略性功能——以医疗专业背景吸引知识型选民，以亲独立背景吸引绿营离心选民[B级来源]。</w:t>
      </w:r>
    </w:p>
    <w:p>
      <w:pPr>
        <w:spacing w:after="120" w:line="300"/>
        <w:jc w:val="left"/>
      </w:pPr>
      <w:r>
        <w:rPr>
          <w:rFonts w:ascii="Arial" w:cs="Arial" w:eastAsia="Arial" w:hAnsi="Arial"/>
          <w:sz w:val="22"/>
          <w:szCs w:val="22"/>
        </w:rPr>
        <w:t xml:space="preserve">两年条款争议深刻揭示了其在党内的结构性地位：柯文哲为她设立了特殊例外，使她成为8名不分区立委中唯一未按时辞职者，引发林国成、麦玉珍等党内立委的公开批评。这种「例外中的例外」处境，既显示柯文哲的个人信任，也使她成为党内纪律争议的敏感焦点[A级来源]。</w:t>
      </w:r>
    </w:p>
    <w:p>
      <w:pPr>
        <w:spacing w:after="160" w:before="300" w:line="320"/>
      </w:pPr>
      <w:r>
        <w:rPr>
          <w:rFonts w:ascii="Arial" w:cs="Arial" w:eastAsia="Arial" w:hAnsi="Arial"/>
          <w:b/>
          <w:bCs/>
          <w:color w:val="2E5090"/>
          <w:sz w:val="28"/>
          <w:szCs w:val="28"/>
        </w:rPr>
        <w:t xml:space="preserve">2.2 核心幕僚与决策圈</w:t>
      </w:r>
    </w:p>
    <w:p>
      <w:pPr>
        <w:spacing w:after="120" w:line="300"/>
        <w:jc w:val="left"/>
      </w:pPr>
      <w:r>
        <w:rPr>
          <w:rFonts w:ascii="Arial" w:cs="Arial" w:eastAsia="Arial" w:hAnsi="Arial"/>
          <w:sz w:val="22"/>
          <w:szCs w:val="22"/>
        </w:rPr>
        <w:t xml:space="preserve">核心决策圈方面，陈昭姿的主要政治依赖是柯文哲（民众党主席）的个人支持，以及代孕议题上的医疗政策专业社群。IPAC网络为其提供了独立于民众党的国际人脉来源，是其政治自主性的重要支撑[B级来源]。</w:t>
      </w:r>
    </w:p>
    <w:p>
      <w:pPr>
        <w:spacing w:after="120" w:line="300"/>
        <w:jc w:val="left"/>
      </w:pPr>
      <w:r>
        <w:rPr>
          <w:rFonts w:ascii="Arial" w:cs="Arial" w:eastAsia="Arial" w:hAnsi="Arial"/>
          <w:sz w:val="22"/>
          <w:szCs w:val="22"/>
        </w:rPr>
        <w:t xml:space="preserve">立法院运作层面，作为党团干事长，她协调9名（TPP立委整体）的日常立法事务，与民进党及国民党的立法院党团均保持工作性接触。其干事长职务的两度变化（2024年辞职、2025年复任）折射出其在党内行政运作中的不稳定位置[A级来源]。</w:t>
      </w:r>
    </w:p>
    <w:p>
      <w:pPr>
        <w:spacing w:after="160" w:before="300" w:line="320"/>
      </w:pPr>
      <w:r>
        <w:rPr>
          <w:rFonts w:ascii="Arial" w:cs="Arial" w:eastAsia="Arial" w:hAnsi="Arial"/>
          <w:b/>
          <w:bCs/>
          <w:color w:val="2E5090"/>
          <w:sz w:val="28"/>
          <w:szCs w:val="28"/>
        </w:rPr>
        <w:t xml:space="preserve">2.3 地方派系与红黑背景</w:t>
      </w:r>
    </w:p>
    <w:p>
      <w:pPr>
        <w:spacing w:after="120" w:line="300"/>
        <w:jc w:val="left"/>
      </w:pPr>
      <w:r>
        <w:rPr>
          <w:rFonts w:ascii="Arial" w:cs="Arial" w:eastAsia="Arial" w:hAnsi="Arial"/>
          <w:sz w:val="22"/>
          <w:szCs w:val="22"/>
        </w:rPr>
        <w:t xml:space="preserve">陈昭姿与任何具有特殊背景的地方派系之间均无可追踪的资源连结记录。她本质上是「议题驱动型」政治人物，政治资源来源于专业倡议声望与党内晋升任命，而非地方派系网络[B级来源]。</w:t>
      </w:r>
    </w:p>
    <w:p>
      <w:pPr>
        <w:spacing w:after="160" w:before="300" w:line="320"/>
      </w:pPr>
      <w:r>
        <w:rPr>
          <w:rFonts w:ascii="Arial" w:cs="Arial" w:eastAsia="Arial" w:hAnsi="Arial"/>
          <w:b/>
          <w:bCs/>
          <w:color w:val="2E5090"/>
          <w:sz w:val="28"/>
          <w:szCs w:val="28"/>
        </w:rPr>
        <w:t xml:space="preserve">2.4 家族婚姻网络</w:t>
      </w:r>
    </w:p>
    <w:p>
      <w:pPr>
        <w:spacing w:after="120" w:line="300"/>
        <w:jc w:val="left"/>
      </w:pPr>
      <w:r>
        <w:rPr>
          <w:rFonts w:ascii="Arial" w:cs="Arial" w:eastAsia="Arial" w:hAnsi="Arial"/>
          <w:sz w:val="22"/>
          <w:szCs w:val="22"/>
        </w:rPr>
        <w:t xml:space="preserve">陈昭姿已婚，2020年与丈夫联名发声明退出独派政党活动，配偶在其政治行动中扮演了某种背书角色。无其他家族成员涉及政治或商业的重要公开信息。个人身体状况（先天性子宫发育不全）已被本人公开，构成其代孕倡议的个人叙事核心[A级来源]。</w:t>
      </w:r>
    </w:p>
    <w:p>
      <w:pPr>
        <w:spacing w:after="160" w:before="300" w:line="320"/>
      </w:pPr>
      <w:r>
        <w:rPr>
          <w:rFonts w:ascii="Arial" w:cs="Arial" w:eastAsia="Arial" w:hAnsi="Arial"/>
          <w:b/>
          <w:bCs/>
          <w:color w:val="2E5090"/>
          <w:sz w:val="28"/>
          <w:szCs w:val="28"/>
        </w:rPr>
        <w:t xml:space="preserve">2.5 国际与跨境网络</w:t>
      </w:r>
    </w:p>
    <w:p>
      <w:pPr>
        <w:spacing w:after="120" w:line="300"/>
        <w:jc w:val="left"/>
      </w:pPr>
      <w:r>
        <w:rPr>
          <w:rFonts w:ascii="Arial" w:cs="Arial" w:eastAsia="Arial" w:hAnsi="Arial"/>
          <w:sz w:val="22"/>
          <w:szCs w:val="22"/>
        </w:rPr>
        <w:t xml:space="preserve">陈昭姿的国际网络体现于两个层面：一是UCSF和庆应大学进修形成的医学学术圈；二是IPAC联席主席身份带来的跨国议会人脉。2024年IPAC首次在台湾举办峰会，使其直接接触来自欧美日各民主议会的政策制定者，为其建立了在国际对华政策讨论中的直接参与渠道[A级来源]。</w:t>
      </w:r>
    </w:p>
    <w:p>
      <w:pPr>
        <w:spacing w:after="160" w:before="300" w:line="320"/>
      </w:pPr>
      <w:r>
        <w:rPr>
          <w:rFonts w:ascii="Arial" w:cs="Arial" w:eastAsia="Arial" w:hAnsi="Arial"/>
          <w:b/>
          <w:bCs/>
          <w:color w:val="2E5090"/>
          <w:sz w:val="28"/>
          <w:szCs w:val="28"/>
        </w:rPr>
        <w:t xml:space="preserve">2.6 权力资源图谱</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节点类型</w:t>
            </w:r>
          </w:p>
        </w:tc>
        <w:tc>
          <w:tcPr>
            <w:tcW w:type="dxa" w:w="2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主要人物/机构</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关系性质</w:t>
            </w:r>
          </w:p>
        </w:tc>
        <w:tc>
          <w:tcPr>
            <w:tcW w:type="dxa" w:w="2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影响力评级</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党主席庇护</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柯文哲（TPP主席）</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个人信任与庇护关系，两年例外的直接批准者</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IPAC跨国网络</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欧美日各民主议会成员</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国际对华政策协调，外交象征性平台</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医疗专业社群</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台湾药学界、医疗政策倡议团体</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专业背书，代孕议题的知识权威来源</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党内对立面</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林国成、麦玉珍等TPP立委</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两年条款争议中的内部批评者</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★★☆☆☆（对抗）</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跨党议题盟友</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范云（民进党）</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IPAC联席主席，代孕议题的跨党合作窗口</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bl>
    <w:p>
      <w:r>
        <w:br w:type="page"/>
      </w:r>
    </w:p>
    <w:p>
      <w:pPr>
        <w:spacing w:after="200" w:before="400" w:line="360"/>
      </w:pPr>
      <w:r>
        <w:rPr>
          <w:rFonts w:ascii="Arial" w:cs="Arial" w:eastAsia="Arial" w:hAnsi="Arial"/>
          <w:b/>
          <w:bCs/>
          <w:color w:val="1F3864"/>
          <w:sz w:val="32"/>
          <w:szCs w:val="32"/>
        </w:rPr>
        <w:t xml:space="preserve">第三篇　政治立场与意识形态特征</w:t>
      </w:r>
    </w:p>
    <w:p>
      <w:pPr>
        <w:spacing w:after="160" w:before="300" w:line="320"/>
      </w:pPr>
      <w:r>
        <w:rPr>
          <w:rFonts w:ascii="Arial" w:cs="Arial" w:eastAsia="Arial" w:hAnsi="Arial"/>
          <w:b/>
          <w:bCs/>
          <w:color w:val="2E5090"/>
          <w:sz w:val="28"/>
          <w:szCs w:val="28"/>
        </w:rPr>
        <w:t xml:space="preserve">3.1 核心价值与宪政立场</w:t>
      </w:r>
    </w:p>
    <w:p>
      <w:pPr>
        <w:spacing w:after="120" w:line="300"/>
        <w:jc w:val="left"/>
      </w:pPr>
      <w:r>
        <w:rPr>
          <w:rFonts w:ascii="Arial" w:cs="Arial" w:eastAsia="Arial" w:hAnsi="Arial"/>
          <w:sz w:val="22"/>
          <w:szCs w:val="22"/>
        </w:rPr>
        <w:t xml:space="preserve">陈昭姿的核心价值体系以「生育权利保障」与「台湾主权认同」为双主轴。前者源于其医药专业背景与个人生育困境的深刻切身性，后者则源于其与台湾独立运动的长期价值共鸣。两者在她的政治行动中相互支撑——以专业主义强化政策主张的权威性，以主权认同构建政治身份的合法性[B级来源]。</w:t>
      </w:r>
    </w:p>
    <w:p>
      <w:pPr>
        <w:spacing w:after="120" w:line="300"/>
        <w:jc w:val="left"/>
      </w:pPr>
      <w:r>
        <w:rPr>
          <w:rFonts w:ascii="Arial" w:cs="Arial" w:eastAsia="Arial" w:hAnsi="Arial"/>
          <w:sz w:val="22"/>
          <w:szCs w:val="22"/>
        </w:rPr>
        <w:t xml:space="preserve">宪政立场方面，她支持台湾主权独立的政治框架，反对任何形式的与中华人民共和国政治整合，这一立场与其早年独派政党背景高度延续，并在TPP框架内寻找了新的制度性表达渠道[A级来源]。</w:t>
      </w:r>
    </w:p>
    <w:p>
      <w:pPr>
        <w:spacing w:after="160" w:before="300" w:line="320"/>
      </w:pPr>
      <w:r>
        <w:rPr>
          <w:rFonts w:ascii="Arial" w:cs="Arial" w:eastAsia="Arial" w:hAnsi="Arial"/>
          <w:b/>
          <w:bCs/>
          <w:color w:val="2E5090"/>
          <w:sz w:val="28"/>
          <w:szCs w:val="28"/>
        </w:rPr>
        <w:t xml:space="preserve">3.2 国家认同与历史观</w:t>
      </w:r>
    </w:p>
    <w:p>
      <w:pPr>
        <w:spacing w:after="120" w:line="300"/>
        <w:jc w:val="left"/>
      </w:pPr>
      <w:r>
        <w:rPr>
          <w:rFonts w:ascii="Arial" w:cs="Arial" w:eastAsia="Arial" w:hAnsi="Arial"/>
          <w:sz w:val="22"/>
          <w:szCs w:val="22"/>
        </w:rPr>
        <w:t xml:space="preserve">国家认同层面，陈昭姿属于台湾政界最鲜明的独派认同持有者之一——「一边一国行动党」的发言人经历，以及IPAC台湾联席主席的现任身份，共同构成其在北京视野中的「分裂主义」符号。即便转入民众党后，她的国家认同立场并未出现可观察的转变，只是政治表达平台发生了变化[A级来源]。</w:t>
      </w:r>
    </w:p>
    <w:p>
      <w:pPr>
        <w:spacing w:after="160" w:before="300" w:line="320"/>
      </w:pPr>
      <w:r>
        <w:rPr>
          <w:rFonts w:ascii="Arial" w:cs="Arial" w:eastAsia="Arial" w:hAnsi="Arial"/>
          <w:b/>
          <w:bCs/>
          <w:color w:val="2E5090"/>
          <w:sz w:val="28"/>
          <w:szCs w:val="28"/>
        </w:rPr>
        <w:t xml:space="preserve">3.3 两岸定位与政策立场</w:t>
      </w:r>
    </w:p>
    <w:p>
      <w:pPr>
        <w:spacing w:after="120" w:line="300"/>
        <w:jc w:val="left"/>
      </w:pPr>
      <w:r>
        <w:rPr>
          <w:rFonts w:ascii="Arial" w:cs="Arial" w:eastAsia="Arial" w:hAnsi="Arial"/>
          <w:sz w:val="22"/>
          <w:szCs w:val="22"/>
        </w:rPr>
        <w:t xml:space="preserve">两岸定位上，陈昭姿代表台湾政界中对北京最为强硬的一端——她不接受任何形式的两岸政治统一框架，认为台湾与中国是两个不同的政治实体。IPAC联席主席身份更是将她直接置于国际层面的对华竞争性叙事框架之中，成为台湾对外传达「民主对抗威权」叙事的重要人脸之一[A级来源]。</w:t>
      </w:r>
    </w:p>
    <w:p>
      <w:pPr>
        <w:spacing w:after="120" w:line="300"/>
        <w:jc w:val="left"/>
      </w:pPr>
      <w:r>
        <w:rPr>
          <w:rFonts w:ascii="Arial" w:cs="Arial" w:eastAsia="Arial" w:hAnsi="Arial"/>
          <w:sz w:val="22"/>
          <w:szCs w:val="22"/>
        </w:rPr>
        <w:t xml:space="preserve">具体政策层面，陈昭姿在两岸关系议题上的公开立法行动相对有限，主要以身份象征和态度表达为主，实质性政策倡议主要集中于代孕法案[C级推断]。</w:t>
      </w:r>
    </w:p>
    <w:p>
      <w:pPr>
        <w:spacing w:after="160" w:before="300" w:line="320"/>
      </w:pPr>
      <w:r>
        <w:rPr>
          <w:rFonts w:ascii="Arial" w:cs="Arial" w:eastAsia="Arial" w:hAnsi="Arial"/>
          <w:b/>
          <w:bCs/>
          <w:color w:val="2E5090"/>
          <w:sz w:val="28"/>
          <w:szCs w:val="28"/>
        </w:rPr>
        <w:t xml:space="preserve">3.4 内政政策立场图谱（核心议题）</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政策领域</w:t>
            </w:r>
          </w:p>
        </w:tc>
        <w:tc>
          <w:tcPr>
            <w:tcW w:type="dxa" w:w="3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立场摘要</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立场演变</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代理孕母合法化</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核心立法使命，倡议27年，「全球最严版本之一」</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P2-P5持续深化</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药品安全监管</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药害救济基金会背景，专业倡议</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P1-P3核心</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生育权利保障</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从代孕延伸至生育医疗权益</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P2-P5</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两岸关系</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台湾主权独立，反整合，IPAC框架</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P2-P5一贯</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健保政策</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医疗专业背景，偶有立场但非主要议题</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P4-P5辅助</w:t>
            </w:r>
          </w:p>
        </w:tc>
      </w:tr>
    </w:tbl>
    <w:p>
      <w:pPr>
        <w:spacing w:after="120"/>
      </w:pPr>
      <w:r>
        <w:t xml:space="preserve"/>
      </w:r>
    </w:p>
    <w:p>
      <w:pPr>
        <w:spacing w:after="160" w:before="300" w:line="320"/>
      </w:pPr>
      <w:r>
        <w:rPr>
          <w:rFonts w:ascii="Arial" w:cs="Arial" w:eastAsia="Arial" w:hAnsi="Arial"/>
          <w:b/>
          <w:bCs/>
          <w:color w:val="2E5090"/>
          <w:sz w:val="28"/>
          <w:szCs w:val="28"/>
        </w:rPr>
        <w:t xml:space="preserve">3.5 国防、外交与国际定位</w:t>
      </w:r>
    </w:p>
    <w:p>
      <w:pPr>
        <w:spacing w:after="120" w:line="300"/>
        <w:jc w:val="left"/>
      </w:pPr>
      <w:r>
        <w:rPr>
          <w:rFonts w:ascii="Arial" w:cs="Arial" w:eastAsia="Arial" w:hAnsi="Arial"/>
          <w:sz w:val="22"/>
          <w:szCs w:val="22"/>
        </w:rPr>
        <w:t xml:space="preserve">陈昭姿在国防议题上的专业参与相对有限。外交层面，IPAC联席主席身份是其最重要的国际外交行动：通过这一跨国议会机制，她参与协调民主国家对华政策讨论，将台湾与欧美议会的对华立场连结起来，体现出高于台湾一般立委的国际安全政策参与度[A级来源]。</w:t>
      </w:r>
    </w:p>
    <w:p>
      <w:pPr>
        <w:spacing w:after="160" w:before="300" w:line="320"/>
      </w:pPr>
      <w:r>
        <w:rPr>
          <w:rFonts w:ascii="Arial" w:cs="Arial" w:eastAsia="Arial" w:hAnsi="Arial"/>
          <w:b/>
          <w:bCs/>
          <w:color w:val="2E5090"/>
          <w:sz w:val="28"/>
          <w:szCs w:val="28"/>
        </w:rPr>
        <w:t xml:space="preserve">3.6 三角联动动态分析（美中台）</w:t>
      </w:r>
    </w:p>
    <w:p>
      <w:pPr>
        <w:spacing w:after="120" w:line="300"/>
        <w:jc w:val="left"/>
      </w:pPr>
      <w:r>
        <w:rPr>
          <w:rFonts w:ascii="Arial" w:cs="Arial" w:eastAsia="Arial" w:hAnsi="Arial"/>
          <w:sz w:val="22"/>
          <w:szCs w:val="22"/>
        </w:rPr>
        <w:t xml:space="preserve">在美中台三角关系结构中，陈昭姿代表台湾政界中「民主阵营主动招募者」的角色——通过IPAC机制，她积极推动将台湾纳入全球对华民主联盟的制度性框架，为台湾的国际安全背书争取多边支撑。这一角色对美国有正向战略意义，对北京则属于高度威胁性信号[A/E级综合]。</w:t>
      </w:r>
    </w:p>
    <w:p>
      <w:r>
        <w:br w:type="page"/>
      </w:r>
    </w:p>
    <w:p>
      <w:pPr>
        <w:spacing w:after="200" w:before="400" w:line="360"/>
      </w:pPr>
      <w:r>
        <w:rPr>
          <w:rFonts w:ascii="Arial" w:cs="Arial" w:eastAsia="Arial" w:hAnsi="Arial"/>
          <w:b/>
          <w:bCs/>
          <w:color w:val="1F3864"/>
          <w:sz w:val="32"/>
          <w:szCs w:val="32"/>
        </w:rPr>
        <w:t xml:space="preserve">第四篇　行为模式与决策风格深层分析</w:t>
      </w:r>
    </w:p>
    <w:p>
      <w:pPr>
        <w:spacing w:after="160" w:before="300" w:line="320"/>
      </w:pPr>
      <w:r>
        <w:rPr>
          <w:rFonts w:ascii="Arial" w:cs="Arial" w:eastAsia="Arial" w:hAnsi="Arial"/>
          <w:b/>
          <w:bCs/>
          <w:color w:val="2E5090"/>
          <w:sz w:val="28"/>
          <w:szCs w:val="28"/>
        </w:rPr>
        <w:t xml:space="preserve">4.1 Hermann领导特质分析（LTA）</w:t>
      </w:r>
    </w:p>
    <w:p>
      <w:pPr>
        <w:spacing w:after="120" w:line="300"/>
        <w:jc w:val="left"/>
      </w:pPr>
      <w:r>
        <w:rPr>
          <w:rFonts w:ascii="Arial" w:cs="Arial" w:eastAsia="Arial" w:hAnsi="Arial"/>
          <w:sz w:val="22"/>
          <w:szCs w:val="22"/>
        </w:rPr>
        <w:t xml:space="preserve">Hermann LTA框架通过七项维度评估领导者的认知与行为特质，各维度采用1-7量化评分。以下评分基于可观察行为证据链，每项至少依据三条独立证据。</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Hermann维度</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评分(1-7)</w:t>
            </w:r>
          </w:p>
        </w:tc>
        <w:tc>
          <w:tcPr>
            <w:tcW w:type="dxa" w:w="4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评分依据摘要</w:t>
            </w:r>
          </w:p>
        </w:tc>
        <w:tc>
          <w:tcPr>
            <w:tcW w:type="dxa" w:w="1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信念坚守(BACE)</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代孕倡议27年、独派立场高度稳定，面对内部压力仍坚持个人判断</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概念复杂度(CC)</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药学博士级专业知识、系统性政策分析能力突出</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权力需求(NP)</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政治行动以议题驱动而非权力追求，未显示晋升野心</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自我距离(DIS)</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公开个人病史并将其转化为政策资本，高度的自我客观化能力</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群内偏好(IGB)</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两年条款中选择坚守个人使命而非服从党纪，群内忠诚度低于平均</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自信程度(SC)</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在激烈批评中坚持立场，无明显退缩迹象</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任务导向(TASK)</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7</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代孕法案是唯一量级的核心任务，政治行为全部围绕此目标组织</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bl>
    <w:p>
      <w:pPr>
        <w:spacing w:after="120"/>
      </w:pPr>
      <w:r>
        <w:t xml:space="preserve"/>
      </w:r>
    </w:p>
    <w:p>
      <w:pPr>
        <w:spacing w:after="120" w:line="300"/>
        <w:jc w:val="left"/>
      </w:pPr>
      <w:r>
        <w:rPr>
          <w:rFonts w:ascii="Arial" w:cs="Arial" w:eastAsia="Arial" w:hAnsi="Arial"/>
          <w:sz w:val="22"/>
          <w:szCs w:val="22"/>
        </w:rPr>
        <w:t xml:space="preserve">陈昭姿的Hermann LTA画像呈现出台湾政界罕见的「单一使命驱动者」特征：TASK(7)与SC(6)的极高分组合，反映出以高度的任务专注度与自信心执行单一明确使命的领导风格；BACE(6)的高信念坚守揭示了其在压力下不妥协的政治韧性；IGB(3)的低群内偏好则预示了其与党纪规则之间的必然张力。NP(3)的低权力需求使她区别于传统晋升型政治人物，更接近倡议型政治人物（Advocate-type politician）的类型学特征[E-Hermann LTA]。</w:t>
      </w:r>
    </w:p>
    <w:p>
      <w:pPr>
        <w:spacing w:after="120" w:line="300"/>
        <w:jc w:val="left"/>
      </w:pPr>
      <w:r>
        <w:rPr>
          <w:rFonts w:ascii="Arial" w:cs="Arial" w:eastAsia="Arial" w:hAnsi="Arial"/>
          <w:sz w:val="22"/>
          <w:szCs w:val="22"/>
        </w:rPr>
        <w:t xml:space="preserve">领导风格推断：</w:t>
      </w:r>
      <w:r>
        <w:rPr>
          <w:rFonts w:ascii="Arial" w:cs="Arial" w:eastAsia="Arial" w:hAnsi="Arial"/>
          <w:b/>
          <w:bCs/>
          <w:sz w:val="22"/>
          <w:szCs w:val="22"/>
        </w:rPr>
        <w:t xml:space="preserve">高信念坚守+低群内偏好</w:t>
      </w:r>
      <w:r>
        <w:rPr>
          <w:rFonts w:ascii="Arial" w:cs="Arial" w:eastAsia="Arial" w:hAnsi="Arial"/>
          <w:sz w:val="22"/>
          <w:szCs w:val="22"/>
        </w:rPr>
        <w:t xml:space="preserve">的组合类型在台湾政界中极为罕见，历史上与「悲剧性英雄型」政治人物有相关联性——他们在特定议题上能推动历史性变革，但代价是在组织纪律框架内的长期协作中产生高度摩擦[E级推断]。</w:t>
      </w:r>
    </w:p>
    <w:p>
      <w:pPr>
        <w:spacing w:after="160" w:before="300" w:line="320"/>
      </w:pPr>
      <w:r>
        <w:rPr>
          <w:rFonts w:ascii="Arial" w:cs="Arial" w:eastAsia="Arial" w:hAnsi="Arial"/>
          <w:b/>
          <w:bCs/>
          <w:color w:val="2E5090"/>
          <w:sz w:val="28"/>
          <w:szCs w:val="28"/>
        </w:rPr>
        <w:t xml:space="preserve">4.2 George操作码（Operational Code）</w:t>
      </w:r>
    </w:p>
    <w:p>
      <w:pPr>
        <w:spacing w:after="120" w:line="300"/>
        <w:jc w:val="left"/>
      </w:pPr>
      <w:r>
        <w:rPr>
          <w:rFonts w:ascii="Arial" w:cs="Arial" w:eastAsia="Arial" w:hAnsi="Arial"/>
          <w:sz w:val="22"/>
          <w:szCs w:val="22"/>
        </w:rPr>
        <w:t xml:space="preserve">George操作码分析：P-1哲学信念层面，陈昭姿对政治生态持有「正确的政策必须通过制度实现」的基本判断，体现为对代孕法案在立法层面的系统性推进。P-3（控制感判断）评估为中高——她相信个人专业行动能够推动结构性法律变革，这种效能感支撑了她27年的倡议坚持[E-George]。</w:t>
      </w:r>
    </w:p>
    <w:p>
      <w:pPr>
        <w:spacing w:after="120" w:line="300"/>
        <w:jc w:val="left"/>
      </w:pPr>
      <w:r>
        <w:rPr>
          <w:rFonts w:ascii="Arial" w:cs="Arial" w:eastAsia="Arial" w:hAnsi="Arial"/>
          <w:sz w:val="22"/>
          <w:szCs w:val="22"/>
        </w:rPr>
        <w:t xml:space="preserve">工具性信念层面，I-3（风险倾向）评估为中等偏高——进入民众党、接受两年条款并为代孕议题争取例外，均体现了在政治博弈中承担风险的意愿；I-5（手段多元性）评估为中等——主要依赖立法程序与专业权威论证，跨党议题联盟为辅[E-George]。</w:t>
      </w:r>
    </w:p>
    <w:p>
      <w:pPr>
        <w:spacing w:after="160" w:before="300" w:line="320"/>
      </w:pPr>
      <w:r>
        <w:rPr>
          <w:rFonts w:ascii="Arial" w:cs="Arial" w:eastAsia="Arial" w:hAnsi="Arial"/>
          <w:b/>
          <w:bCs/>
          <w:color w:val="2E5090"/>
          <w:sz w:val="28"/>
          <w:szCs w:val="28"/>
        </w:rPr>
        <w:t xml:space="preserve">4.3 Winter动机编码</w:t>
      </w:r>
    </w:p>
    <w:p>
      <w:pPr>
        <w:spacing w:after="120" w:line="300"/>
        <w:jc w:val="left"/>
      </w:pPr>
      <w:r>
        <w:rPr>
          <w:rFonts w:ascii="Arial" w:cs="Arial" w:eastAsia="Arial" w:hAnsi="Arial"/>
          <w:sz w:val="22"/>
          <w:szCs w:val="22"/>
        </w:rPr>
        <w:t xml:space="preserve">Winter动机编码：成就动机（Achievement Motive）极高——27年单一议题的坚持追求，超越了一般政治人物的耐性；权力动机（Power Motive）低——行动目标为立法成果而非制度性权力积累，与Hermann NP(3)高度一致；亲和动机（Affiliation Motive）中等偏低——在党纪压力下选择立法使命优先，体现了对人际关系的相对工具性认知。「极高成就+低权力+低亲和」的动机组合，历史上与在专业领域取得革命性突破的倡议型人物（如特定医疗伦理立法的推动者）有关联[E-Winter]。</w:t>
      </w:r>
    </w:p>
    <w:p>
      <w:pPr>
        <w:spacing w:after="160" w:before="300" w:line="320"/>
      </w:pPr>
      <w:r>
        <w:rPr>
          <w:rFonts w:ascii="Arial" w:cs="Arial" w:eastAsia="Arial" w:hAnsi="Arial"/>
          <w:b/>
          <w:bCs/>
          <w:color w:val="2E5090"/>
          <w:sz w:val="28"/>
          <w:szCs w:val="28"/>
        </w:rPr>
        <w:t xml:space="preserve">4.4 Barber人格类型学</w:t>
      </w:r>
    </w:p>
    <w:p>
      <w:pPr>
        <w:spacing w:after="120" w:line="300"/>
        <w:jc w:val="left"/>
      </w:pPr>
      <w:r>
        <w:rPr>
          <w:rFonts w:ascii="Arial" w:cs="Arial" w:eastAsia="Arial" w:hAnsi="Arial"/>
          <w:sz w:val="22"/>
          <w:szCs w:val="22"/>
        </w:rPr>
        <w:t xml:space="preserve">Barber类型判定：活动度为Active（极高活动度）——27年倡议的连续性行动力无可置疑；情感基调难以从公开资料明确判定，但综合观察：她在政治挫折后（污票事件辞职、两年条款风波）展现出持续推进的韧性，未呈现消极型（Passive-Negative）的特征。Positive的判定依据在于，她以个人生育困境为正向倡议动力而非悲情叙事。综合判定：</w:t>
      </w:r>
      <w:r>
        <w:rPr>
          <w:rFonts w:ascii="Arial" w:cs="Arial" w:eastAsia="Arial" w:hAnsi="Arial"/>
          <w:b/>
          <w:bCs/>
          <w:sz w:val="22"/>
          <w:szCs w:val="22"/>
        </w:rPr>
        <w:t xml:space="preserve">Active-Positive</w:t>
      </w:r>
      <w:r>
        <w:rPr>
          <w:rFonts w:ascii="Arial" w:cs="Arial" w:eastAsia="Arial" w:hAnsi="Arial"/>
          <w:sz w:val="22"/>
          <w:szCs w:val="22"/>
        </w:rPr>
        <w:t xml:space="preserve">，但具有高度「孤独型」的行动特征，即其积极性来源于议题使命而非人际满足[E-Barber]。</w:t>
      </w:r>
    </w:p>
    <w:p>
      <w:r>
        <w:br w:type="page"/>
      </w:r>
    </w:p>
    <w:p>
      <w:pPr>
        <w:spacing w:after="200" w:before="400" w:line="360"/>
      </w:pPr>
      <w:r>
        <w:rPr>
          <w:rFonts w:ascii="Arial" w:cs="Arial" w:eastAsia="Arial" w:hAnsi="Arial"/>
          <w:b/>
          <w:bCs/>
          <w:color w:val="1F3864"/>
          <w:sz w:val="32"/>
          <w:szCs w:val="32"/>
        </w:rPr>
        <w:t xml:space="preserve">第五篇　人格特征与认知模式研判</w:t>
      </w:r>
    </w:p>
    <w:p>
      <w:pPr>
        <w:spacing w:after="160" w:before="300" w:line="320"/>
      </w:pPr>
      <w:r>
        <w:rPr>
          <w:rFonts w:ascii="Arial" w:cs="Arial" w:eastAsia="Arial" w:hAnsi="Arial"/>
          <w:b/>
          <w:bCs/>
          <w:color w:val="2E5090"/>
          <w:sz w:val="28"/>
          <w:szCs w:val="28"/>
        </w:rPr>
        <w:t xml:space="preserve">5.1 MBTI四维度判定</w:t>
      </w:r>
    </w:p>
    <w:p>
      <w:pPr>
        <w:spacing w:after="120" w:line="300"/>
        <w:jc w:val="left"/>
      </w:pPr>
      <w:r>
        <w:rPr>
          <w:rFonts w:ascii="Arial" w:cs="Arial" w:eastAsia="Arial" w:hAnsi="Arial"/>
          <w:sz w:val="22"/>
          <w:szCs w:val="22"/>
        </w:rPr>
        <w:t xml:space="preserve">MBTI初步判定：</w:t>
      </w:r>
      <w:r>
        <w:rPr>
          <w:rFonts w:ascii="Arial" w:cs="Arial" w:eastAsia="Arial" w:hAnsi="Arial"/>
          <w:b/>
          <w:bCs/>
          <w:sz w:val="22"/>
          <w:szCs w:val="22"/>
        </w:rPr>
        <w:t xml:space="preserve">I（内向）vs E（外向）</w:t>
      </w:r>
      <w:r>
        <w:rPr>
          <w:rFonts w:ascii="Arial" w:cs="Arial" w:eastAsia="Arial" w:hAnsi="Arial"/>
          <w:sz w:val="22"/>
          <w:szCs w:val="22"/>
        </w:rPr>
        <w:t xml:space="preserve">——医药专业深度研究取向、27年倡议的独自坚持，均指向内向型；</w:t>
      </w:r>
      <w:r>
        <w:rPr>
          <w:rFonts w:ascii="Arial" w:cs="Arial" w:eastAsia="Arial" w:hAnsi="Arial"/>
          <w:b/>
          <w:bCs/>
          <w:sz w:val="22"/>
          <w:szCs w:val="22"/>
        </w:rPr>
        <w:t xml:space="preserve">N（直觉）vs S（感觉）</w:t>
      </w:r>
      <w:r>
        <w:rPr>
          <w:rFonts w:ascii="Arial" w:cs="Arial" w:eastAsia="Arial" w:hAnsi="Arial"/>
          <w:sz w:val="22"/>
          <w:szCs w:val="22"/>
        </w:rPr>
        <w:t xml:space="preserve">——对立法系统整体机制的把握与对代孕法律框架的宏观设计，指向N；</w:t>
      </w:r>
      <w:r>
        <w:rPr>
          <w:rFonts w:ascii="Arial" w:cs="Arial" w:eastAsia="Arial" w:hAnsi="Arial"/>
          <w:b/>
          <w:bCs/>
          <w:sz w:val="22"/>
          <w:szCs w:val="22"/>
        </w:rPr>
        <w:t xml:space="preserve">T（思维）vs F（情感）</w:t>
      </w:r>
      <w:r>
        <w:rPr>
          <w:rFonts w:ascii="Arial" w:cs="Arial" w:eastAsia="Arial" w:hAnsi="Arial"/>
          <w:sz w:val="22"/>
          <w:szCs w:val="22"/>
        </w:rPr>
        <w:t xml:space="preserve">——法律分析与专业数据导向指向T，但对代孕权益涉及的人本关怀同时体现F特征；</w:t>
      </w:r>
      <w:r>
        <w:rPr>
          <w:rFonts w:ascii="Arial" w:cs="Arial" w:eastAsia="Arial" w:hAnsi="Arial"/>
          <w:b/>
          <w:bCs/>
          <w:sz w:val="22"/>
          <w:szCs w:val="22"/>
        </w:rPr>
        <w:t xml:space="preserve">J（判断）vs P（感知）</w:t>
      </w:r>
      <w:r>
        <w:rPr>
          <w:rFonts w:ascii="Arial" w:cs="Arial" w:eastAsia="Arial" w:hAnsi="Arial"/>
          <w:sz w:val="22"/>
          <w:szCs w:val="22"/>
        </w:rPr>
        <w:t xml:space="preserve">——系统性的27年倡议规划指向J。综合初步判定：</w:t>
      </w:r>
      <w:r>
        <w:rPr>
          <w:rFonts w:ascii="Arial" w:cs="Arial" w:eastAsia="Arial" w:hAnsi="Arial"/>
          <w:b/>
          <w:bCs/>
          <w:sz w:val="22"/>
          <w:szCs w:val="22"/>
        </w:rPr>
        <w:t xml:space="preserve">INTJ</w:t>
      </w:r>
      <w:r>
        <w:rPr>
          <w:rFonts w:ascii="Arial" w:cs="Arial" w:eastAsia="Arial" w:hAnsi="Arial"/>
          <w:sz w:val="22"/>
          <w:szCs w:val="22"/>
        </w:rPr>
        <w:t xml:space="preserve">[E-MBTI]。</w:t>
      </w:r>
    </w:p>
    <w:p>
      <w:pPr>
        <w:spacing w:after="120" w:line="300"/>
        <w:jc w:val="left"/>
      </w:pPr>
      <w:r>
        <w:rPr>
          <w:rFonts w:ascii="Arial" w:cs="Arial" w:eastAsia="Arial" w:hAnsi="Arial"/>
          <w:sz w:val="22"/>
          <w:szCs w:val="22"/>
        </w:rPr>
        <w:t xml:space="preserve">INTJ认知函数栈映射：主导功能Ni（内倾直觉）——对代孕合法化的长期愿景驱动，对「地下代孕合法化比禁止更保护当事人」的系统性逆向思维；辅助功能Te（外倾思维）——以严格的法律分析与实证数据支撑立法主张；劣势功能Se（外倾感觉）——在党规、场合要求的即兴应变（如投票失误）中的局限性最为明显[E-MBTI]。</w:t>
      </w:r>
    </w:p>
    <w:p>
      <w:pPr>
        <w:spacing w:after="160" w:before="300" w:line="320"/>
      </w:pPr>
      <w:r>
        <w:rPr>
          <w:rFonts w:ascii="Arial" w:cs="Arial" w:eastAsia="Arial" w:hAnsi="Arial"/>
          <w:b/>
          <w:bCs/>
          <w:color w:val="2E5090"/>
          <w:sz w:val="28"/>
          <w:szCs w:val="28"/>
        </w:rPr>
        <w:t xml:space="preserve">5.2 认知功能栈分析</w:t>
      </w:r>
    </w:p>
    <w:p>
      <w:pPr>
        <w:spacing w:after="120" w:line="300"/>
        <w:jc w:val="left"/>
      </w:pPr>
      <w:r>
        <w:rPr>
          <w:rFonts w:ascii="Arial" w:cs="Arial" w:eastAsia="Arial" w:hAnsi="Arial"/>
          <w:sz w:val="22"/>
          <w:szCs w:val="22"/>
        </w:rPr>
        <w:t xml:space="preserve">认知函数栈的政治行为映射：Ni主导解释了其27年不受外部反馈影响的长期愿景坚持；Te辅助解释了其在代孕法案讨论中展现的严格法律论证能力，以及对批评者「需要学好算术」的直接反驳；Se劣势在投票污染事件中获得了最直接的佐证；劣势功能Fi（内倾情感）的可能激活模式，体现于两年条款风波中她坚持「使命高于规则」的高度个人化价值判断[E-MBTI]。</w:t>
      </w:r>
    </w:p>
    <w:p>
      <w:pPr>
        <w:spacing w:after="160" w:before="300" w:line="320"/>
      </w:pPr>
      <w:r>
        <w:rPr>
          <w:rFonts w:ascii="Arial" w:cs="Arial" w:eastAsia="Arial" w:hAnsi="Arial"/>
          <w:b/>
          <w:bCs/>
          <w:color w:val="2E5090"/>
          <w:sz w:val="28"/>
          <w:szCs w:val="28"/>
        </w:rPr>
        <w:t xml:space="preserve">5.3 压力反应预测（Grip Theory）</w:t>
      </w:r>
    </w:p>
    <w:p>
      <w:pPr>
        <w:spacing w:after="120" w:line="300"/>
        <w:jc w:val="left"/>
      </w:pPr>
      <w:r>
        <w:rPr>
          <w:rFonts w:ascii="Arial" w:cs="Arial" w:eastAsia="Arial" w:hAnsi="Arial"/>
          <w:sz w:val="22"/>
          <w:szCs w:val="22"/>
        </w:rPr>
        <w:t xml:space="preserve">Grip Theory（INTJ型）：极端压力下，劣势功能Se异常激活可能表现为：过度关注外部评价（民调、舆论）而失去Ni主导的长远策略视角；或出现高度的感官/情绪性反应替代惯常的系统性分析。两年条款风波期间，她在多个公开场合的激烈回应（指责批评者「不懂数学」「政治霸凌」），可能部分反映了压力下Se激活的行为特征[E-MBTI]。</w:t>
      </w:r>
    </w:p>
    <w:p>
      <w:pPr>
        <w:spacing w:after="160" w:before="300" w:line="320"/>
      </w:pPr>
      <w:r>
        <w:rPr>
          <w:rFonts w:ascii="Arial" w:cs="Arial" w:eastAsia="Arial" w:hAnsi="Arial"/>
          <w:b/>
          <w:bCs/>
          <w:color w:val="2E5090"/>
          <w:sz w:val="28"/>
          <w:szCs w:val="28"/>
        </w:rPr>
        <w:t xml:space="preserve">5.4 五框架交叉验证综合画像</w:t>
      </w:r>
    </w:p>
    <w:p>
      <w:pPr>
        <w:spacing w:after="120" w:before="200" w:line="300"/>
      </w:pPr>
      <w:r>
        <w:rPr>
          <w:rFonts w:ascii="Arial" w:cs="Arial" w:eastAsia="Arial" w:hAnsi="Arial"/>
          <w:b/>
          <w:bCs/>
          <w:color w:val="3D6DAE"/>
          <w:sz w:val="24"/>
          <w:szCs w:val="24"/>
        </w:rPr>
        <w:t xml:space="preserve">C.6.3 交叉验证矩阵</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MBTI维度</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Hermann对应</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Winter对应</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Barber对应</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一致性</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I（内向）</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NP=3（低权力需求）</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高成就动机（内驱）</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高度一致</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N（直觉）</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CC=5（高概念复杂）</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极高成就（宏观使命）</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Active</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高度一致</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T（思维）</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TASK=7（极高任务导向）</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成就驱动</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Active</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一致</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J（判断）</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BACE=6（高信念）</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极高成就，长期规划</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Active-Positive</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高度一致</w:t>
            </w:r>
          </w:p>
        </w:tc>
      </w:tr>
    </w:tbl>
    <w:p>
      <w:pPr>
        <w:spacing w:after="120"/>
      </w:pPr>
      <w:r>
        <w:t xml:space="preserve"/>
      </w:r>
    </w:p>
    <w:p>
      <w:pPr>
        <w:spacing w:after="120" w:line="300"/>
        <w:jc w:val="left"/>
      </w:pPr>
      <w:r>
        <w:rPr>
          <w:rFonts w:ascii="Arial" w:cs="Arial" w:eastAsia="Arial" w:hAnsi="Arial"/>
          <w:sz w:val="22"/>
          <w:szCs w:val="22"/>
        </w:rPr>
        <w:t xml:space="preserve">五框架交叉验证：所有框架在「极高使命专注+低社会关系维护+强烈信念坚守」这一核心特质上呈现惊人的一致性。INTJ的Ni主导、Hermann的TASK(7)+IGB(3)、Winter的高成就+低亲和，均从不同角度指向同一人格核心。最关键的战略洞见：这类人格结构在立法倡议场景中具有无可比拟的坚持力，但在需要政治妥协与组织纪律服从的常规政党场景中，系统性产生摩擦几乎是结构性必然[E-Composite]。</w:t>
      </w:r>
    </w:p>
    <w:p>
      <w:r>
        <w:br w:type="page"/>
      </w:r>
    </w:p>
    <w:p>
      <w:pPr>
        <w:spacing w:after="200" w:before="400" w:line="360"/>
      </w:pPr>
      <w:r>
        <w:rPr>
          <w:rFonts w:ascii="Arial" w:cs="Arial" w:eastAsia="Arial" w:hAnsi="Arial"/>
          <w:b/>
          <w:bCs/>
          <w:color w:val="1F3864"/>
          <w:sz w:val="32"/>
          <w:szCs w:val="32"/>
        </w:rPr>
        <w:t xml:space="preserve">第六篇　综合研判与前瞻推演</w:t>
      </w:r>
    </w:p>
    <w:p>
      <w:pPr>
        <w:spacing w:after="160" w:before="300" w:line="320"/>
      </w:pPr>
      <w:r>
        <w:rPr>
          <w:rFonts w:ascii="Arial" w:cs="Arial" w:eastAsia="Arial" w:hAnsi="Arial"/>
          <w:b/>
          <w:bCs/>
          <w:color w:val="2E5090"/>
          <w:sz w:val="28"/>
          <w:szCs w:val="28"/>
        </w:rPr>
        <w:t xml:space="preserve">6.1 政治人物类型判断</w:t>
      </w:r>
    </w:p>
    <w:p>
      <w:pPr>
        <w:spacing w:after="120" w:line="300"/>
        <w:jc w:val="left"/>
      </w:pPr>
      <w:r>
        <w:rPr>
          <w:rFonts w:ascii="Arial" w:cs="Arial" w:eastAsia="Arial" w:hAnsi="Arial"/>
          <w:sz w:val="22"/>
          <w:szCs w:val="22"/>
        </w:rPr>
        <w:t xml:space="preserve">陈昭姿属于「单一使命倡议者型立法委员」——以27年的专业倡议为政治身份核心，进入立法机构后将倡议者角色与立法者角色叠加，以高度的使命集中度换取政治灵活性的牺牲。这一类型在台湾政界并不常见，其政治价值在于推动特定议题的历史性突破，其政治局限在于与组织纪律框架的长期摩擦[E-Composite]。</w:t>
      </w:r>
    </w:p>
    <w:p>
      <w:pPr>
        <w:spacing w:after="160" w:before="300" w:line="320"/>
      </w:pPr>
      <w:r>
        <w:rPr>
          <w:rFonts w:ascii="Arial" w:cs="Arial" w:eastAsia="Arial" w:hAnsi="Arial"/>
          <w:b/>
          <w:bCs/>
          <w:color w:val="2E5090"/>
          <w:sz w:val="28"/>
          <w:szCs w:val="28"/>
        </w:rPr>
        <w:t xml:space="preserve">6.2 风险等级判断</w:t>
      </w:r>
    </w:p>
    <w:p>
      <w:pPr>
        <w:spacing w:after="120" w:line="300"/>
        <w:jc w:val="left"/>
      </w:pPr>
      <w:r>
        <w:rPr>
          <w:rFonts w:ascii="Arial" w:cs="Arial" w:eastAsia="Arial" w:hAnsi="Arial"/>
          <w:sz w:val="22"/>
          <w:szCs w:val="22"/>
        </w:rPr>
        <w:t xml:space="preserve">当前风险等级：</w:t>
      </w:r>
      <w:r>
        <w:rPr>
          <w:rFonts w:ascii="Arial" w:cs="Arial" w:eastAsia="Arial" w:hAnsi="Arial"/>
          <w:b/>
          <w:bCs/>
          <w:sz w:val="22"/>
          <w:szCs w:val="22"/>
        </w:rPr>
        <w:t xml:space="preserve">中高（Medium-High）</w:t>
      </w:r>
      <w:r>
        <w:rPr>
          <w:rFonts w:ascii="Arial" w:cs="Arial" w:eastAsia="Arial" w:hAnsi="Arial"/>
          <w:sz w:val="22"/>
          <w:szCs w:val="22"/>
        </w:rPr>
        <w:t xml:space="preserve">。主要风险来源：①两年条款风波已对民众党内部凝聚力产生实质冲击，可能持续成为党内批评的靶点；②代孕法案若未能通过，两年条款例外的政治代价将无从弥补；③2028年能否再获TPP不分区提名存在高度不确定性；④若柯文哲政治影响力下降，其唯一的党内庇护伞同步弱化[综合A/B/C级]。</w:t>
      </w:r>
    </w:p>
    <w:p>
      <w:pPr>
        <w:spacing w:after="160" w:before="300" w:line="320"/>
      </w:pPr>
      <w:r>
        <w:rPr>
          <w:rFonts w:ascii="Arial" w:cs="Arial" w:eastAsia="Arial" w:hAnsi="Arial"/>
          <w:b/>
          <w:bCs/>
          <w:color w:val="2E5090"/>
          <w:sz w:val="28"/>
          <w:szCs w:val="28"/>
        </w:rPr>
        <w:t xml:space="preserve">6.3 对区域关系的影响</w:t>
      </w:r>
    </w:p>
    <w:p>
      <w:pPr>
        <w:spacing w:after="120" w:line="300"/>
        <w:jc w:val="left"/>
      </w:pPr>
      <w:r>
        <w:rPr>
          <w:rFonts w:ascii="Arial" w:cs="Arial" w:eastAsia="Arial" w:hAnsi="Arial"/>
          <w:sz w:val="22"/>
          <w:szCs w:val="22"/>
        </w:rPr>
        <w:t xml:space="preserve">陈昭姿对区域关系影响的独特贡献在于代孕立法议题的潜在国际示范效应——若台湾成功通过严格保护性的代孕法律框架，将成为亚洲乃至全球生育权益立法的重要参照案例。其IPAC联席主席身份使她在对华民主同盟网络中具有台湾代表性，为台湾的国际能见度提供边际贡献[B/E级推断]。</w:t>
      </w:r>
    </w:p>
    <w:p>
      <w:pPr>
        <w:spacing w:after="160" w:before="300" w:line="320"/>
      </w:pPr>
      <w:r>
        <w:rPr>
          <w:rFonts w:ascii="Arial" w:cs="Arial" w:eastAsia="Arial" w:hAnsi="Arial"/>
          <w:b/>
          <w:bCs/>
          <w:color w:val="2E5090"/>
          <w:sz w:val="28"/>
          <w:szCs w:val="28"/>
        </w:rPr>
        <w:t xml:space="preserve">6.4 多情景前瞻推演</w:t>
      </w:r>
    </w:p>
    <w:p>
      <w:pPr>
        <w:spacing w:after="120" w:before="200" w:line="300"/>
      </w:pPr>
      <w:r>
        <w:rPr>
          <w:rFonts w:ascii="Arial" w:cs="Arial" w:eastAsia="Arial" w:hAnsi="Arial"/>
          <w:b/>
          <w:bCs/>
          <w:color w:val="3D6DAE"/>
          <w:sz w:val="24"/>
          <w:szCs w:val="24"/>
        </w:rPr>
        <w:t xml:space="preserve">情景A：代孕法案立法命运</w:t>
      </w:r>
    </w:p>
    <w:p>
      <w:pPr>
        <w:spacing w:after="120" w:line="300"/>
        <w:jc w:val="left"/>
      </w:pPr>
      <w:r>
        <w:rPr>
          <w:rFonts w:ascii="Arial" w:cs="Arial" w:eastAsia="Arial" w:hAnsi="Arial"/>
          <w:b/>
          <w:bCs/>
          <w:sz w:val="22"/>
          <w:szCs w:val="22"/>
        </w:rPr>
        <w:t xml:space="preserve">触发条件：</w:t>
      </w:r>
      <w:r>
        <w:rPr>
          <w:rFonts w:ascii="Arial" w:cs="Arial" w:eastAsia="Arial" w:hAnsi="Arial"/>
          <w:sz w:val="22"/>
          <w:szCs w:val="22"/>
        </w:rPr>
        <w:t xml:space="preserve">第11届立法院审议代孕相关法案</w:t>
      </w:r>
    </w:p>
    <w:p>
      <w:pPr>
        <w:spacing w:after="120" w:line="300"/>
        <w:jc w:val="left"/>
      </w:pPr>
      <w:r>
        <w:rPr>
          <w:rFonts w:ascii="Arial" w:cs="Arial" w:eastAsia="Arial" w:hAnsi="Arial"/>
          <w:b/>
          <w:bCs/>
          <w:sz w:val="22"/>
          <w:szCs w:val="22"/>
        </w:rPr>
        <w:t xml:space="preserve">概率评估：</w:t>
      </w:r>
      <w:r>
        <w:rPr>
          <w:rFonts w:ascii="Arial" w:cs="Arial" w:eastAsia="Arial" w:hAnsi="Arial"/>
          <w:sz w:val="22"/>
          <w:szCs w:val="22"/>
        </w:rPr>
        <w:t xml:space="preserve">中等（40-50%，在本届立院完成立法）</w:t>
      </w:r>
    </w:p>
    <w:p>
      <w:pPr>
        <w:spacing w:after="120" w:line="300"/>
        <w:jc w:val="left"/>
      </w:pPr>
      <w:r>
        <w:rPr>
          <w:rFonts w:ascii="Arial" w:cs="Arial" w:eastAsia="Arial" w:hAnsi="Arial"/>
          <w:b/>
          <w:bCs/>
          <w:sz w:val="22"/>
          <w:szCs w:val="22"/>
        </w:rPr>
        <w:t xml:space="preserve">预测行为：</w:t>
      </w:r>
      <w:r>
        <w:rPr>
          <w:rFonts w:ascii="Arial" w:cs="Arial" w:eastAsia="Arial" w:hAnsi="Arial"/>
          <w:sz w:val="22"/>
          <w:szCs w:val="22"/>
        </w:rPr>
        <w:t xml:space="preserve">若法案通过，陈昭姿将完成27年倡议使命，政治遗产获得最终实现；若法案受阻（预计民进党部分保守委员仍有障碍），可能延续至第12届</w:t>
      </w:r>
    </w:p>
    <w:p>
      <w:pPr>
        <w:spacing w:after="120" w:line="300"/>
        <w:jc w:val="left"/>
      </w:pPr>
      <w:r>
        <w:rPr>
          <w:rFonts w:ascii="Arial" w:cs="Arial" w:eastAsia="Arial" w:hAnsi="Arial"/>
          <w:b/>
          <w:bCs/>
          <w:sz w:val="22"/>
          <w:szCs w:val="22"/>
        </w:rPr>
        <w:t xml:space="preserve">战略含义：</w:t>
      </w:r>
      <w:r>
        <w:rPr>
          <w:rFonts w:ascii="Arial" w:cs="Arial" w:eastAsia="Arial" w:hAnsi="Arial"/>
          <w:sz w:val="22"/>
          <w:szCs w:val="22"/>
        </w:rPr>
        <w:t xml:space="preserve">法案命运直接决定其两年条款例外的政治正当性，是其整个立法院生涯的终局性节点</w:t>
      </w:r>
    </w:p>
    <w:p>
      <w:pPr>
        <w:spacing w:after="120"/>
      </w:pPr>
      <w:r>
        <w:t xml:space="preserve"/>
      </w:r>
    </w:p>
    <w:p>
      <w:pPr>
        <w:spacing w:after="120" w:before="200" w:line="300"/>
      </w:pPr>
      <w:r>
        <w:rPr>
          <w:rFonts w:ascii="Arial" w:cs="Arial" w:eastAsia="Arial" w:hAnsi="Arial"/>
          <w:b/>
          <w:bCs/>
          <w:color w:val="3D6DAE"/>
          <w:sz w:val="24"/>
          <w:szCs w:val="24"/>
        </w:rPr>
        <w:t xml:space="preserve">情景B：民众党党势演变</w:t>
      </w:r>
    </w:p>
    <w:p>
      <w:pPr>
        <w:spacing w:after="120" w:line="300"/>
        <w:jc w:val="left"/>
      </w:pPr>
      <w:r>
        <w:rPr>
          <w:rFonts w:ascii="Arial" w:cs="Arial" w:eastAsia="Arial" w:hAnsi="Arial"/>
          <w:b/>
          <w:bCs/>
          <w:sz w:val="22"/>
          <w:szCs w:val="22"/>
        </w:rPr>
        <w:t xml:space="preserve">触发条件：</w:t>
      </w:r>
      <w:r>
        <w:rPr>
          <w:rFonts w:ascii="Arial" w:cs="Arial" w:eastAsia="Arial" w:hAnsi="Arial"/>
          <w:sz w:val="22"/>
          <w:szCs w:val="22"/>
        </w:rPr>
        <w:t xml:space="preserve">2026年九合一选举及2028年总统大选中民众党表现</w:t>
      </w:r>
    </w:p>
    <w:p>
      <w:pPr>
        <w:spacing w:after="120" w:line="300"/>
        <w:jc w:val="left"/>
      </w:pPr>
      <w:r>
        <w:rPr>
          <w:rFonts w:ascii="Arial" w:cs="Arial" w:eastAsia="Arial" w:hAnsi="Arial"/>
          <w:b/>
          <w:bCs/>
          <w:sz w:val="22"/>
          <w:szCs w:val="22"/>
        </w:rPr>
        <w:t xml:space="preserve">概率评估：</w:t>
      </w:r>
      <w:r>
        <w:rPr>
          <w:rFonts w:ascii="Arial" w:cs="Arial" w:eastAsia="Arial" w:hAnsi="Arial"/>
          <w:sz w:val="22"/>
          <w:szCs w:val="22"/>
        </w:rPr>
        <w:t xml:space="preserve">高（70%以上，民众党2026年后席次有变化）</w:t>
      </w:r>
    </w:p>
    <w:p>
      <w:pPr>
        <w:spacing w:after="120" w:line="300"/>
        <w:jc w:val="left"/>
      </w:pPr>
      <w:r>
        <w:rPr>
          <w:rFonts w:ascii="Arial" w:cs="Arial" w:eastAsia="Arial" w:hAnsi="Arial"/>
          <w:b/>
          <w:bCs/>
          <w:sz w:val="22"/>
          <w:szCs w:val="22"/>
        </w:rPr>
        <w:t xml:space="preserve">预测行为：</w:t>
      </w:r>
      <w:r>
        <w:rPr>
          <w:rFonts w:ascii="Arial" w:cs="Arial" w:eastAsia="Arial" w:hAnsi="Arial"/>
          <w:sz w:val="22"/>
          <w:szCs w:val="22"/>
        </w:rPr>
        <w:t xml:space="preserve">若民众党党势衰退，不分区席次减少，2028年她再获提名的可能性下降；若党势维持，她以IPAC与代孕议题建立的独立品牌仍可能保住席位</w:t>
      </w:r>
    </w:p>
    <w:p>
      <w:pPr>
        <w:spacing w:after="120" w:line="300"/>
        <w:jc w:val="left"/>
      </w:pPr>
      <w:r>
        <w:rPr>
          <w:rFonts w:ascii="Arial" w:cs="Arial" w:eastAsia="Arial" w:hAnsi="Arial"/>
          <w:b/>
          <w:bCs/>
          <w:sz w:val="22"/>
          <w:szCs w:val="22"/>
        </w:rPr>
        <w:t xml:space="preserve">战略含义：</w:t>
      </w:r>
      <w:r>
        <w:rPr>
          <w:rFonts w:ascii="Arial" w:cs="Arial" w:eastAsia="Arial" w:hAnsi="Arial"/>
          <w:sz w:val="22"/>
          <w:szCs w:val="22"/>
        </w:rPr>
        <w:t xml:space="preserve">其政治生涯的延续依赖民众党整体命运，个人品牌的独立性是其在党内位置不稳时的保险机制</w:t>
      </w:r>
    </w:p>
    <w:p>
      <w:pPr>
        <w:spacing w:after="120"/>
      </w:pPr>
      <w:r>
        <w:t xml:space="preserve"/>
      </w:r>
    </w:p>
    <w:p>
      <w:pPr>
        <w:spacing w:after="160" w:before="300" w:line="320"/>
      </w:pPr>
      <w:r>
        <w:rPr>
          <w:rFonts w:ascii="Arial" w:cs="Arial" w:eastAsia="Arial" w:hAnsi="Arial"/>
          <w:b/>
          <w:bCs/>
          <w:color w:val="2E5090"/>
          <w:sz w:val="28"/>
          <w:szCs w:val="28"/>
        </w:rPr>
        <w:t xml:space="preserve">6.5 个人发展前景</w:t>
      </w:r>
    </w:p>
    <w:p>
      <w:pPr>
        <w:spacing w:after="120" w:line="300"/>
        <w:jc w:val="left"/>
      </w:pPr>
      <w:r>
        <w:rPr>
          <w:rFonts w:ascii="Arial" w:cs="Arial" w:eastAsia="Arial" w:hAnsi="Arial"/>
          <w:sz w:val="22"/>
          <w:szCs w:val="22"/>
        </w:rPr>
        <w:t xml:space="preserve">中短期（2026-2028年）：代孕法案是决定性的单一变量。法案通过则以立法者的历史使命完成为政治遗产高点；法案受阻则面临政治处境的持续尴尬——以两年条款例外为代价却未能达成承诺。2028年不分区候选资格存在相当不确定性，个人品牌的独立性（医疗专业+IPAC）是维持政治能见度的关键[E级推断]。</w:t>
      </w:r>
    </w:p>
    <w:p>
      <w:pPr>
        <w:spacing w:after="120" w:line="300"/>
        <w:jc w:val="left"/>
      </w:pPr>
      <w:r>
        <w:rPr>
          <w:rFonts w:ascii="Arial" w:cs="Arial" w:eastAsia="Arial" w:hAnsi="Arial"/>
          <w:sz w:val="22"/>
          <w:szCs w:val="22"/>
        </w:rPr>
        <w:t xml:space="preserve">中长期：若代孕法案实现历史性突破，陈昭姿将成为台湾立法史上少见的「单一议题改变政策」案例，其政治遗产的历史意义将超越其在民众党中的制度地位[E级推断]。</w:t>
      </w:r>
    </w:p>
    <w:p>
      <w:pPr>
        <w:spacing w:after="160" w:before="300" w:line="320"/>
      </w:pPr>
      <w:r>
        <w:rPr>
          <w:rFonts w:ascii="Arial" w:cs="Arial" w:eastAsia="Arial" w:hAnsi="Arial"/>
          <w:b/>
          <w:bCs/>
          <w:color w:val="2E5090"/>
          <w:sz w:val="28"/>
          <w:szCs w:val="28"/>
        </w:rPr>
        <w:t xml:space="preserve">6.6 重点跟踪建议</w:t>
      </w:r>
    </w:p>
    <w:p>
      <w:pPr>
        <w:spacing w:after="120" w:line="300"/>
        <w:jc w:val="left"/>
      </w:pPr>
      <w:r>
        <w:rPr>
          <w:rFonts w:ascii="Arial" w:cs="Arial" w:eastAsia="Arial" w:hAnsi="Arial"/>
          <w:sz w:val="22"/>
          <w:szCs w:val="22"/>
        </w:rPr>
        <w:t xml:space="preserve">重点跟踪建议：①代孕法案在第11届立法院的审议进展与最终表决结果；②两年条款风波后TPP内部凝聚力的恢复程度，以及对其下届提名的实质影响；③IPAC台湾联席主席职务的活跃度变化，以及是否推动更实质性的国际协调行动；④柯文哲个人政治处境的演变（包括其面临的各类法律案件），作为其党内庇护网络稳定性的指标。</w:t>
      </w:r>
    </w:p>
    <w:p>
      <w:pPr>
        <w:spacing w:after="160" w:before="300" w:line="320"/>
      </w:pPr>
      <w:r>
        <w:rPr>
          <w:rFonts w:ascii="Arial" w:cs="Arial" w:eastAsia="Arial" w:hAnsi="Arial"/>
          <w:b/>
          <w:bCs/>
          <w:color w:val="2E5090"/>
          <w:sz w:val="28"/>
          <w:szCs w:val="28"/>
        </w:rPr>
        <w:t xml:space="preserve">6.7 家族财务与利益冲突评估</w:t>
      </w:r>
    </w:p>
    <w:p>
      <w:pPr>
        <w:spacing w:after="120" w:line="300"/>
        <w:jc w:val="left"/>
      </w:pPr>
      <w:r>
        <w:rPr>
          <w:rFonts w:ascii="Arial" w:cs="Arial" w:eastAsia="Arial" w:hAnsi="Arial"/>
          <w:sz w:val="22"/>
          <w:szCs w:val="22"/>
        </w:rPr>
        <w:t xml:space="preserve">陈昭姿的财产状况未在主要公开来源中形成显著报道，从历史上看，其政治行动以议题倡议为核心而非财富积累。药剂科主任与基金会执行长的薪资水平属于专业管理层范畴，无财务异常迹象[C级推断]。</w:t>
      </w:r>
    </w:p>
    <w:p>
      <w:pPr>
        <w:spacing w:after="120" w:line="300"/>
        <w:jc w:val="left"/>
      </w:pPr>
      <w:r>
        <w:rPr>
          <w:rFonts w:ascii="Arial" w:cs="Arial" w:eastAsia="Arial" w:hAnsi="Arial"/>
          <w:sz w:val="22"/>
          <w:szCs w:val="22"/>
        </w:rPr>
        <w:t xml:space="preserve">无已知的重大利益冲突议题。代孕议题虽与其个人利益（无法生育）存在关联，但她本人通过公开个人身体状况的方式，实质上「申报」了这一潜在利益关联，具有较高的透明度[B级来源]。</w:t>
      </w:r>
    </w:p>
    <w:p>
      <w:pPr>
        <w:spacing w:after="160" w:before="300" w:line="320"/>
      </w:pPr>
      <w:r>
        <w:rPr>
          <w:rFonts w:ascii="Arial" w:cs="Arial" w:eastAsia="Arial" w:hAnsi="Arial"/>
          <w:b/>
          <w:bCs/>
          <w:color w:val="2E5090"/>
          <w:sz w:val="28"/>
          <w:szCs w:val="28"/>
        </w:rPr>
        <w:t xml:space="preserve">6.8 争议与法律风险矩阵</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争议事项</w:t>
            </w:r>
          </w:p>
        </w:tc>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时间</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性质</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风险等级</w:t>
            </w:r>
          </w:p>
        </w:tc>
        <w:tc>
          <w:tcPr>
            <w:tcW w:type="dxa" w:w="3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处置结果</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2024年立法院院长选举污票</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2024年2月1日</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技术失误导致选票无效</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中（党内形象）</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道歉并辞去干事长职务，2025年2月复任</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两年条款例外风波</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2025年12月-2026年1月</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党纪与个人使命的冲突</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高（党内分裂风险）</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柯文哲批准例外，争议持续，林国成等公开批评</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与林淑芬代孕辩论</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2024-2025</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专业立场vs.法律修改争议</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低（政策争议）</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双方各执立场，属正常立法博弈</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批评赖清德政府</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2024-2025</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在院会使用「一边一国」语调</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中（政治符号争议）</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民进党反讽回应，形象化议题而非法律问题</w:t>
            </w:r>
          </w:p>
        </w:tc>
      </w:tr>
    </w:tbl>
    <w:p>
      <w:pPr>
        <w:spacing w:after="120"/>
      </w:pPr>
      <w:r>
        <w:t xml:space="preserve"/>
      </w:r>
    </w:p>
    <w:p>
      <w:pPr>
        <w:spacing w:after="160" w:before="300" w:line="320"/>
      </w:pPr>
      <w:r>
        <w:rPr>
          <w:rFonts w:ascii="Arial" w:cs="Arial" w:eastAsia="Arial" w:hAnsi="Arial"/>
          <w:b/>
          <w:bCs/>
          <w:color w:val="2E5090"/>
          <w:sz w:val="28"/>
          <w:szCs w:val="28"/>
        </w:rPr>
        <w:t xml:space="preserve">6.9 媒体叙事与公众认知分析</w:t>
      </w:r>
    </w:p>
    <w:p>
      <w:pPr>
        <w:spacing w:after="120" w:line="300"/>
        <w:jc w:val="left"/>
      </w:pPr>
      <w:r>
        <w:rPr>
          <w:rFonts w:ascii="Arial" w:cs="Arial" w:eastAsia="Arial" w:hAnsi="Arial"/>
          <w:sz w:val="22"/>
          <w:szCs w:val="22"/>
        </w:rPr>
        <w:t xml:space="preserve">陈昭姿的媒体形象以「代孕倡议者」与「TPP党内争议人物」为双主轴，近期重心正从前者向后者偏移。代孕议题上，她一贯是各大媒体健康与政策版面的主动发言者，以医疗专业背景获得显著的报道信任度。两年条款风波后，媒体焦点移向TPP内部治理危机，她从「推动历史性立法的倡议者」转变为「例外规则中的争议性存在」[B级来源]。</w:t>
      </w:r>
    </w:p>
    <w:p>
      <w:pPr>
        <w:spacing w:after="120" w:line="300"/>
        <w:jc w:val="left"/>
      </w:pPr>
      <w:r>
        <w:rPr>
          <w:rFonts w:ascii="Arial" w:cs="Arial" w:eastAsia="Arial" w:hAnsi="Arial"/>
          <w:sz w:val="22"/>
          <w:szCs w:val="22"/>
        </w:rPr>
        <w:t xml:space="preserve">社群媒体运营方面（Instagram @ccz.tpp2024），她主要传播代孕议题的政策内容与立法院工作动态，粉丝互动以支持代孕合法化的公民为主要受众群体[B/C级来源]。</w:t>
      </w:r>
    </w:p>
    <w:p>
      <w:r>
        <w:br w:type="page"/>
      </w:r>
    </w:p>
    <w:p>
      <w:pPr>
        <w:spacing w:after="200" w:before="400" w:line="360"/>
      </w:pPr>
      <w:r>
        <w:rPr>
          <w:rFonts w:ascii="Arial" w:cs="Arial" w:eastAsia="Arial" w:hAnsi="Arial"/>
          <w:b/>
          <w:bCs/>
          <w:color w:val="1F3864"/>
          <w:sz w:val="32"/>
          <w:szCs w:val="32"/>
        </w:rPr>
        <w:t xml:space="preserve">第七篇　分析局限性与方法论声明</w:t>
      </w:r>
    </w:p>
    <w:p>
      <w:pPr>
        <w:spacing w:after="160" w:before="300" w:line="320"/>
      </w:pPr>
      <w:r>
        <w:rPr>
          <w:rFonts w:ascii="Arial" w:cs="Arial" w:eastAsia="Arial" w:hAnsi="Arial"/>
          <w:b/>
          <w:bCs/>
          <w:color w:val="2E5090"/>
          <w:sz w:val="28"/>
          <w:szCs w:val="28"/>
        </w:rPr>
        <w:t xml:space="preserve">7.1 信息来源局限性</w:t>
      </w:r>
    </w:p>
    <w:p>
      <w:pPr>
        <w:spacing w:after="120" w:line="300"/>
        <w:jc w:val="left"/>
      </w:pPr>
      <w:r>
        <w:rPr>
          <w:rFonts w:ascii="Arial" w:cs="Arial" w:eastAsia="Arial" w:hAnsi="Arial"/>
          <w:sz w:val="22"/>
          <w:szCs w:val="22"/>
        </w:rPr>
        <w:t xml:space="preserve">本报告主要依赖台湾主流媒体（A/B级）、官方选举数据及立法院公开记录，受制于开源情报固有局限，无法获取陈昭姿的内部决策文件、私人通讯记录及保密外交档案。部分动机判断基于行为推断，存在一定主观性误差，应与其他情报来源交叉验证后使用。</w:t>
      </w:r>
    </w:p>
    <w:p>
      <w:pPr>
        <w:spacing w:after="160" w:before="300" w:line="320"/>
      </w:pPr>
      <w:r>
        <w:rPr>
          <w:rFonts w:ascii="Arial" w:cs="Arial" w:eastAsia="Arial" w:hAnsi="Arial"/>
          <w:b/>
          <w:bCs/>
          <w:color w:val="2E5090"/>
          <w:sz w:val="28"/>
          <w:szCs w:val="28"/>
        </w:rPr>
        <w:t xml:space="preserve">7.2 行为建模不确定性</w:t>
      </w:r>
    </w:p>
    <w:p>
      <w:pPr>
        <w:spacing w:after="120" w:line="300"/>
        <w:jc w:val="left"/>
      </w:pPr>
      <w:r>
        <w:rPr>
          <w:rFonts w:ascii="Arial" w:cs="Arial" w:eastAsia="Arial" w:hAnsi="Arial"/>
          <w:sz w:val="22"/>
          <w:szCs w:val="22"/>
        </w:rPr>
        <w:t xml:space="preserve">Hermann LTA、George操作码、Winter动机编码三框架均基于公开言论与可观察行为进行评估，无法测量内在心理过程。MBTI类型判定存在±1维度的不确定性，特别是I/E、S/N维度在政治人物的公开表现中常呈现非典型特征。所有行为预测均为概率性判断，非确定性结论，实际行为可能因情境因素、随机事件或政治压力而偏离模型预测。</w:t>
      </w:r>
    </w:p>
    <w:p>
      <w:pPr>
        <w:spacing w:after="160" w:before="300" w:line="320"/>
      </w:pPr>
      <w:r>
        <w:rPr>
          <w:rFonts w:ascii="Arial" w:cs="Arial" w:eastAsia="Arial" w:hAnsi="Arial"/>
          <w:b/>
          <w:bCs/>
          <w:color w:val="2E5090"/>
          <w:sz w:val="28"/>
          <w:szCs w:val="28"/>
        </w:rPr>
        <w:t xml:space="preserve">7.3 立场演变监测局限</w:t>
      </w:r>
    </w:p>
    <w:p>
      <w:pPr>
        <w:spacing w:after="120" w:line="300"/>
        <w:jc w:val="left"/>
      </w:pPr>
      <w:r>
        <w:rPr>
          <w:rFonts w:ascii="Arial" w:cs="Arial" w:eastAsia="Arial" w:hAnsi="Arial"/>
          <w:sz w:val="22"/>
          <w:szCs w:val="22"/>
        </w:rPr>
        <w:t xml:space="preserve">政治人物的立场可在特定事件触发下产生快速非线性演变，P0-P5时间框架仅能捕捉历史轨迹，对陈昭姿未来立场变化的预测依赖于当前趋势的延续性假设。若出现重大政治危机或个人事件，本报告各项评估均需及时更新校正。</w:t>
      </w:r>
    </w:p>
    <w:p>
      <w:pPr>
        <w:spacing w:after="160" w:before="300" w:line="320"/>
      </w:pPr>
      <w:r>
        <w:rPr>
          <w:rFonts w:ascii="Arial" w:cs="Arial" w:eastAsia="Arial" w:hAnsi="Arial"/>
          <w:b/>
          <w:bCs/>
          <w:color w:val="2E5090"/>
          <w:sz w:val="28"/>
          <w:szCs w:val="28"/>
        </w:rPr>
        <w:t xml:space="preserve">7.4 两岸关系分析局限</w:t>
      </w:r>
    </w:p>
    <w:p>
      <w:pPr>
        <w:spacing w:after="120" w:line="300"/>
        <w:jc w:val="left"/>
      </w:pPr>
      <w:r>
        <w:rPr>
          <w:rFonts w:ascii="Arial" w:cs="Arial" w:eastAsia="Arial" w:hAnsi="Arial"/>
          <w:sz w:val="22"/>
          <w:szCs w:val="22"/>
        </w:rPr>
        <w:t xml:space="preserve">两岸议题涉及高度敏感的政治判断与战略利益，当事人公开表态与实际立场之间可能存在策略性差距。本报告两岸部分主要基于公开言论，对于未公开的幕后立场与非正式渠道沟通无法评估，请研究者参阅更广泛的政策分析文献。</w:t>
      </w:r>
    </w:p>
    <w:p>
      <w:pPr>
        <w:spacing w:after="160" w:before="300" w:line="320"/>
      </w:pPr>
      <w:r>
        <w:rPr>
          <w:rFonts w:ascii="Arial" w:cs="Arial" w:eastAsia="Arial" w:hAnsi="Arial"/>
          <w:b/>
          <w:bCs/>
          <w:color w:val="2E5090"/>
          <w:sz w:val="28"/>
          <w:szCs w:val="28"/>
        </w:rPr>
        <w:t xml:space="preserve">7.5 财务与利益冲突信息局限</w:t>
      </w:r>
    </w:p>
    <w:p>
      <w:pPr>
        <w:spacing w:after="120" w:line="300"/>
        <w:jc w:val="left"/>
      </w:pPr>
      <w:r>
        <w:rPr>
          <w:rFonts w:ascii="Arial" w:cs="Arial" w:eastAsia="Arial" w:hAnsi="Arial"/>
          <w:sz w:val="22"/>
          <w:szCs w:val="22"/>
        </w:rPr>
        <w:t xml:space="preserve">台湾公职人员财产申报信息虽属公开，但申报精度与及时性存在局限。家族企业、投资关系及政治献金的完整图谱超出本报告开源分析范畴，相关评估属于推断性质，不构成法律认定。</w:t>
      </w:r>
    </w:p>
    <w:p>
      <w:pPr>
        <w:spacing w:after="160" w:before="300" w:line="320"/>
      </w:pPr>
      <w:r>
        <w:rPr>
          <w:rFonts w:ascii="Arial" w:cs="Arial" w:eastAsia="Arial" w:hAnsi="Arial"/>
          <w:b/>
          <w:bCs/>
          <w:color w:val="2E5090"/>
          <w:sz w:val="28"/>
          <w:szCs w:val="28"/>
        </w:rPr>
        <w:t xml:space="preserve">7.6 V6信息完整性与全景性声明（B.0模块覆盖自检）</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模块编号</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模块名称</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覆盖状态</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主要来源</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c>
          <w:tcPr>
            <w:tcW w:type="dxa" w:w="2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缺口说明</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M1</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身份与履历基础</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A/B级</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M2</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政治生涯与党派动态</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A/B级</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M3</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核心价值与宪政立场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A/B级</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M4</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内政政策立场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部分（集中于代孕）</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A级（代孕），C级（其他）</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A/C</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代孕以外政策深度不足</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M5</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国防外交定位</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部分（IPAC）</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A/B级</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M6</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立法与治理绩效</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A/B级</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M7</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选举与竞选分析</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基本完整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A级</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仅有2024年一届选举记录</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M8</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权力网络</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A/B级</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M9</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两岸定位</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A级</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M10</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海外经历</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基本完整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A/B级</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M11</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家族财务</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初步</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C级</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无显著财务问题记录</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M12</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争议与法律风险</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A/B级</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M13</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媒体叙事</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B级</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M14</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三角联动</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部分（IPAC维度）</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A/E级</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A/E</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M15</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前瞻情景</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E级</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E</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M16</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综合交付物</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综合</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A-E</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bl>
    <w:p>
      <w:r>
        <w:br w:type="page"/>
      </w:r>
    </w:p>
    <w:p>
      <w:pPr>
        <w:spacing w:after="200" w:before="400" w:line="360"/>
      </w:pPr>
      <w:r>
        <w:rPr>
          <w:rFonts w:ascii="Arial" w:cs="Arial" w:eastAsia="Arial" w:hAnsi="Arial"/>
          <w:b/>
          <w:bCs/>
          <w:color w:val="1F3864"/>
          <w:sz w:val="32"/>
          <w:szCs w:val="32"/>
        </w:rPr>
        <w:t xml:space="preserve">第八篇　综合交付物</w:t>
      </w:r>
    </w:p>
    <w:p>
      <w:pPr>
        <w:spacing w:after="160" w:before="300" w:line="320"/>
      </w:pPr>
      <w:r>
        <w:rPr>
          <w:rFonts w:ascii="Arial" w:cs="Arial" w:eastAsia="Arial" w:hAnsi="Arial"/>
          <w:b/>
          <w:bCs/>
          <w:color w:val="2E5090"/>
          <w:sz w:val="28"/>
          <w:szCs w:val="28"/>
        </w:rPr>
        <w:t xml:space="preserve">8.1 核心事实摘要</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序号</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事实类别</w:t>
            </w:r>
          </w:p>
        </w:tc>
        <w:tc>
          <w:tcPr>
            <w:tcW w:type="dxa" w:w="5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核心内容</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生年</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1956年9月3日，台北市</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教育</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台大药学系；UCSF与庆应大学进修</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专业</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台大医院药品咨询中心（约10年）；和信医院药剂科主任</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身体状况</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先天性子宫发育不全（本人公开）</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独派背景</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一边一国行动党发言人（2019年以前）</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TPP加入</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2023年末以第三顺位不分区候选人加入TPP</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7</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2024当选</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第11届不分区立委当选</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8</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干事长</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TPP党团干事长（辞职后2025年2月复任）</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9</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IPAC</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对华政策跨国议会联盟台湾联席主席（与范云）</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10</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代孕倡议</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1996年起倡议代理孕母合法化，已历27年</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11</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污票事件</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2024年2月1日院长选举选票被油墨污染宣告无效</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12</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两年条款例外</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柯文哲特批例外，成为8名TPP不分区中唯一未按时辞职者</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13</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党内批评</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林国成、麦玉珍等TPP立委公开批评两年条款处理</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14</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两岸立场</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台湾独立认同，反整合，IPAC对华框架</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15</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Herman TASK</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评估为7（最高），代孕为唯一量级核心任务</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E</w:t>
            </w:r>
          </w:p>
        </w:tc>
      </w:tr>
    </w:tbl>
    <w:p>
      <w:pPr>
        <w:spacing w:after="120"/>
      </w:pPr>
      <w:r>
        <w:t xml:space="preserve"/>
      </w:r>
    </w:p>
    <w:p>
      <w:pPr>
        <w:spacing w:after="160" w:before="300" w:line="320"/>
      </w:pPr>
      <w:r>
        <w:rPr>
          <w:rFonts w:ascii="Arial" w:cs="Arial" w:eastAsia="Arial" w:hAnsi="Arial"/>
          <w:b/>
          <w:bCs/>
          <w:color w:val="2E5090"/>
          <w:sz w:val="28"/>
          <w:szCs w:val="28"/>
        </w:rPr>
        <w:t xml:space="preserve">8.2 政策立场矩阵</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政策领域</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具体立场</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立场强度</w:t>
            </w:r>
          </w:p>
        </w:tc>
        <w:tc>
          <w:tcPr>
            <w:tcW w:type="dxa" w:w="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时间段</w:t>
            </w:r>
          </w:p>
        </w:tc>
        <w:tc>
          <w:tcPr>
            <w:tcW w:type="dxa" w:w="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对美影响</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对台影响</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代理孕母合法化</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推动立法，保护孕母与子女权益，全球最严版本</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强（最高优先）</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P2-P5</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高（社会政策）</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台湾主权</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支持台湾独立主权，反「一国两制」</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P2-P5一贯</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高（对北京）</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IPAC对华协调</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推动民主国家对华政策协调</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P5新增</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高（对美欧）</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药品安全</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药害救济，倡议药品监管</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P1-P3</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低中</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医疗健保</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偶有立场，非核心议题</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弱</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P4-P5</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w:t>
            </w:r>
          </w:p>
        </w:tc>
      </w:tr>
    </w:tbl>
    <w:p>
      <w:pPr>
        <w:spacing w:after="120"/>
      </w:pPr>
      <w:r>
        <w:t xml:space="preserve"/>
      </w:r>
    </w:p>
    <w:p>
      <w:pPr>
        <w:spacing w:after="160" w:before="300" w:line="320"/>
      </w:pPr>
      <w:r>
        <w:rPr>
          <w:rFonts w:ascii="Arial" w:cs="Arial" w:eastAsia="Arial" w:hAnsi="Arial"/>
          <w:b/>
          <w:bCs/>
          <w:color w:val="2E5090"/>
          <w:sz w:val="28"/>
          <w:szCs w:val="28"/>
        </w:rPr>
        <w:t xml:space="preserve">8.3 盟友对手网络清单</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姓名/机构</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关系类型</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连接强度</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层级</w:t>
            </w:r>
          </w:p>
        </w:tc>
        <w:tc>
          <w:tcPr>
            <w:tcW w:type="dxa" w:w="3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备注</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柯文哲（TPP主席）</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党内庇护者</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极强（个人信任）</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全国</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两年例外的直接批准者，关键政治依赖</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范云（民进党）</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跨党IPAC盟友</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中（议题性）</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全国</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IPAC台湾联席主席搭档</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林淑芬（民进党）</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代孕议题对立面</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中（议题性对立）</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立法院</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代孕法案讨论中的主要反对声音</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林国成（TPP）</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党内批评者</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中（对抗）</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立法院</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两年条款风波中的公开批评者</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药学医疗圈</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专业社群</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专业</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代孕议题的知识权威背书来源</w:t>
            </w:r>
          </w:p>
        </w:tc>
      </w:tr>
    </w:tbl>
    <w:p>
      <w:pPr>
        <w:spacing w:after="120"/>
      </w:pPr>
      <w:r>
        <w:t xml:space="preserve"/>
      </w:r>
    </w:p>
    <w:p>
      <w:pPr>
        <w:spacing w:after="160" w:before="300" w:line="320"/>
      </w:pPr>
      <w:r>
        <w:rPr>
          <w:rFonts w:ascii="Arial" w:cs="Arial" w:eastAsia="Arial" w:hAnsi="Arial"/>
          <w:b/>
          <w:bCs/>
          <w:color w:val="2E5090"/>
          <w:sz w:val="28"/>
          <w:szCs w:val="28"/>
        </w:rPr>
        <w:t xml:space="preserve">8.4 数据源索引</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来源名称</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类型</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c>
          <w:tcPr>
            <w:tcW w:type="dxa" w:w="4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主要用途</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立法院全球资讯网</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委员基本资料</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台湾民众党官网</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党内职务、候选人资料</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中央通讯社（CNA）</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主要媒体</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选举、党务动态</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联合报/UDN</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主要媒体</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两年条款风波报道</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中时电子报</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主要媒体</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党内分歧报道</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镜传媒（Mirror Media）</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独立媒体</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两年条款深度分析</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IPAC官网</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联席主席身份核实</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维基百科（繁中）</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综合来源</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基本信息核实</w:t>
            </w:r>
          </w:p>
        </w:tc>
      </w:tr>
    </w:tbl>
    <w:p>
      <w:pPr>
        <w:spacing w:after="120"/>
      </w:pPr>
      <w:r>
        <w:t xml:space="preserve"/>
      </w:r>
    </w:p>
    <w:p>
      <w:pPr>
        <w:spacing w:after="160" w:before="300" w:line="320"/>
      </w:pPr>
      <w:r>
        <w:rPr>
          <w:rFonts w:ascii="Arial" w:cs="Arial" w:eastAsia="Arial" w:hAnsi="Arial"/>
          <w:b/>
          <w:bCs/>
          <w:color w:val="2E5090"/>
          <w:sz w:val="28"/>
          <w:szCs w:val="28"/>
        </w:rPr>
        <w:t xml:space="preserve">8.5 信息缺口清单</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缺口编号</w:t>
            </w:r>
          </w:p>
        </w:tc>
        <w:tc>
          <w:tcPr>
            <w:tcW w:type="dxa" w:w="3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缺口描述</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重要性</w:t>
            </w:r>
          </w:p>
        </w:tc>
        <w:tc>
          <w:tcPr>
            <w:tcW w:type="dxa" w:w="3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建议填补方式</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G1</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代孕法案立法院最终表决结果</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高（本报告编写时尚未表决）</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持续追踪立法进程</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G2</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两年条款风波后TPP内部的组织整合措施</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TPP内部文件或知情人士</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G3</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柯文哲2024年特批的书面约定原文</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公开化后的协议文本</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G4</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UCSF与庆应医院进修的具体研究主题与学术成果</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学术数据库</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G5</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2028年不分区候选人名单中的排名意向</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TPP2027年提名会议后追踪</w:t>
            </w:r>
          </w:p>
        </w:tc>
      </w:tr>
    </w:tbl>
    <w:p>
      <w:r>
        <w:br w:type="page"/>
      </w:r>
    </w:p>
    <w:p>
      <w:pPr>
        <w:spacing w:after="200" w:before="400" w:line="360"/>
      </w:pPr>
      <w:r>
        <w:rPr>
          <w:rFonts w:ascii="Arial" w:cs="Arial" w:eastAsia="Arial" w:hAnsi="Arial"/>
          <w:b/>
          <w:bCs/>
          <w:color w:val="1F3864"/>
          <w:sz w:val="32"/>
          <w:szCs w:val="32"/>
        </w:rPr>
        <w:t xml:space="preserve">编制信息</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项目</w:t>
            </w:r>
          </w:p>
        </w:tc>
        <w:tc>
          <w:tcPr>
            <w:tcW w:type="dxa" w:w="6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内容</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报告版本</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V1.0</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分析框架</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OSINT V6.0全景分析体系（16模块+五框架建模）</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编制单位</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厦门大学台湾研究院开源情报研究组</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编制日期</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2026年3月</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证据分级</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A级（官方/经核实）/ B级（主流媒体）/ C级（次级来源）/ D级（社交/未核实）/ E级（分析推断）</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时间框架</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P0（成长）/ P1（入仕）/ P2（发展）/ P3（历练）/ P4（突破）/ P5（当前）</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保密提示</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本报告为内部研究参考，未经授权不得对外发布或引用</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免责声明</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所有推断性结论均基于公开情报，不代表官方立场</w:t>
            </w:r>
          </w:p>
        </w:tc>
      </w:tr>
    </w:tbl>
    <w:p>
      <w:pPr>
        <w:spacing w:after="120"/>
      </w:pPr>
      <w:r>
        <w:t xml:space="preserve"/>
      </w:r>
    </w:p>
    <w:p>
      <w:pPr>
        <w:spacing w:after="160" w:before="300" w:line="320"/>
      </w:pPr>
      <w:r>
        <w:rPr>
          <w:rFonts w:ascii="Arial" w:cs="Arial" w:eastAsia="Arial" w:hAnsi="Arial"/>
          <w:b/>
          <w:bCs/>
          <w:color w:val="2E5090"/>
          <w:sz w:val="28"/>
          <w:szCs w:val="28"/>
        </w:rPr>
        <w:t xml:space="preserve">学术参考文献</w:t>
      </w:r>
    </w:p>
    <w:p>
      <w:pPr>
        <w:spacing w:after="120" w:line="300"/>
        <w:jc w:val="left"/>
      </w:pPr>
      <w:r>
        <w:rPr>
          <w:rFonts w:ascii="Arial" w:cs="Arial" w:eastAsia="Arial" w:hAnsi="Arial"/>
          <w:sz w:val="22"/>
          <w:szCs w:val="22"/>
        </w:rPr>
        <w:t xml:space="preserve">Hermann, M.G. (1980). Explaining Foreign Policy Behavior Using the Personal Characteristics of Political Leaders. International Studies Quarterly, 24(1), 7-46.</w:t>
      </w:r>
    </w:p>
    <w:p>
      <w:pPr>
        <w:spacing w:after="120" w:line="300"/>
        <w:jc w:val="left"/>
      </w:pPr>
      <w:r>
        <w:rPr>
          <w:rFonts w:ascii="Arial" w:cs="Arial" w:eastAsia="Arial" w:hAnsi="Arial"/>
          <w:sz w:val="22"/>
          <w:szCs w:val="22"/>
        </w:rPr>
        <w:t xml:space="preserve">George, A.L. (1969). The Operational Code: A Neglected Approach to the Study of Political Leaders and Decision-Making. International Studies Quarterly, 13(2), 190-222.</w:t>
      </w:r>
    </w:p>
    <w:p>
      <w:pPr>
        <w:spacing w:after="120" w:line="300"/>
        <w:jc w:val="left"/>
      </w:pPr>
      <w:r>
        <w:rPr>
          <w:rFonts w:ascii="Arial" w:cs="Arial" w:eastAsia="Arial" w:hAnsi="Arial"/>
          <w:sz w:val="22"/>
          <w:szCs w:val="22"/>
        </w:rPr>
        <w:t xml:space="preserve">Winter, D.G. (1992). Personality and Foreign Policy: Historical Overview of Research. In E. Singer &amp; V. Hudson (Eds.), Political Psychology and Foreign Policy. Westview Press.</w:t>
      </w:r>
    </w:p>
    <w:p>
      <w:pPr>
        <w:spacing w:after="120" w:line="300"/>
        <w:jc w:val="left"/>
      </w:pPr>
      <w:r>
        <w:rPr>
          <w:rFonts w:ascii="Arial" w:cs="Arial" w:eastAsia="Arial" w:hAnsi="Arial"/>
          <w:sz w:val="22"/>
          <w:szCs w:val="22"/>
        </w:rPr>
        <w:t xml:space="preserve">Barber, J.D. (1972). The Presidential Character: Predicting Performance in the White House. Prentice-Hall.</w:t>
      </w:r>
    </w:p>
    <w:p>
      <w:pPr>
        <w:spacing w:after="120" w:line="300"/>
        <w:jc w:val="left"/>
      </w:pPr>
      <w:r>
        <w:rPr>
          <w:rFonts w:ascii="Arial" w:cs="Arial" w:eastAsia="Arial" w:hAnsi="Arial"/>
          <w:sz w:val="22"/>
          <w:szCs w:val="22"/>
        </w:rPr>
        <w:t xml:space="preserve">Myers, I.B., McCaulley, M.H., Quenk, N.L., &amp; Hammer, A.L. (1998). MBTI Manual: A Guide to the Development and Use of the Myers-Briggs Type Indicator (3rd ed.). Consulting Psychologists Press.</w:t>
      </w:r>
    </w:p>
    <w:p>
      <w:pPr>
        <w:spacing w:after="120" w:line="300"/>
        <w:jc w:val="left"/>
      </w:pPr>
      <w:r>
        <w:rPr>
          <w:rFonts w:ascii="Arial" w:cs="Arial" w:eastAsia="Arial" w:hAnsi="Arial"/>
          <w:sz w:val="22"/>
          <w:szCs w:val="22"/>
        </w:rPr>
        <w:t xml:space="preserve">吴玉山（2012）。台湾的政治转型与两岸关系。台湾政治学刊，16(1)，1-52。</w:t>
      </w:r>
    </w:p>
    <w:p>
      <w:pPr>
        <w:spacing w:after="120" w:line="300"/>
        <w:jc w:val="left"/>
      </w:pPr>
      <w:r>
        <w:rPr>
          <w:rFonts w:ascii="Arial" w:cs="Arial" w:eastAsia="Arial" w:hAnsi="Arial"/>
          <w:sz w:val="22"/>
          <w:szCs w:val="22"/>
        </w:rPr>
        <w:t xml:space="preserve">林继文（2015）。台湾的选举制度与政党政治。政治科学论丛，65，1-40。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2026-03-31T05:49:30.589Z</dcterms:created>
  <dcterms:modified xsi:type="dcterms:W3CDTF">2026-03-31T05:49:30.596Z</dcterms:modified>
</cp:coreProperties>
</file>

<file path=docProps/custom.xml><?xml version="1.0" encoding="utf-8"?>
<Properties xmlns="http://schemas.openxmlformats.org/officeDocument/2006/custom-properties" xmlns:vt="http://schemas.openxmlformats.org/officeDocument/2006/docPropsVTypes"/>
</file>