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2E2BA">
      <w:pPr>
        <w:keepNext w:val="0"/>
        <w:keepLines w:val="0"/>
        <w:pageBreakBefore w:val="0"/>
        <w:widowControl w:val="0"/>
        <w:kinsoku/>
        <w:wordWrap/>
        <w:overflowPunct/>
        <w:topLinePunct w:val="0"/>
        <w:autoSpaceDE/>
        <w:autoSpaceDN/>
        <w:bidi w:val="0"/>
        <w:adjustRightInd/>
        <w:snapToGrid/>
        <w:spacing w:line="520" w:lineRule="exact"/>
        <w:ind w:firstLine="643" w:firstLineChars="200"/>
        <w:textAlignment w:val="auto"/>
        <w:rPr>
          <w:rFonts w:hint="eastAsia" w:ascii="方正小标宋简体" w:hAnsi="方正小标宋简体" w:eastAsia="方正小标宋简体" w:cs="方正小标宋简体"/>
          <w:b/>
          <w:bCs/>
          <w:sz w:val="32"/>
          <w:szCs w:val="32"/>
          <w:lang w:val="en-US" w:eastAsia="zh-CN"/>
        </w:rPr>
      </w:pPr>
      <w:r>
        <w:rPr>
          <w:rFonts w:hint="eastAsia" w:ascii="方正小标宋简体" w:hAnsi="方正小标宋简体" w:eastAsia="方正小标宋简体" w:cs="方正小标宋简体"/>
          <w:b/>
          <w:bCs/>
          <w:sz w:val="32"/>
          <w:szCs w:val="32"/>
          <w:lang w:val="en-US" w:eastAsia="zh-CN"/>
        </w:rPr>
        <w:t>暴增51%，却更脆弱：台湾经济正在走向一条单行道</w:t>
      </w:r>
    </w:p>
    <w:p w14:paraId="5AA315E2">
      <w:pPr>
        <w:keepNext w:val="0"/>
        <w:keepLines w:val="0"/>
        <w:pageBreakBefore w:val="0"/>
        <w:widowControl w:val="0"/>
        <w:kinsoku/>
        <w:wordWrap/>
        <w:overflowPunct/>
        <w:topLinePunct w:val="0"/>
        <w:autoSpaceDE/>
        <w:autoSpaceDN/>
        <w:bidi w:val="0"/>
        <w:adjustRightInd/>
        <w:snapToGrid/>
        <w:spacing w:line="520" w:lineRule="exact"/>
        <w:ind w:firstLine="2249" w:firstLineChars="800"/>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——基于2023—2026年出口数据的结构性分析</w:t>
      </w:r>
    </w:p>
    <w:p w14:paraId="1830F777">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基本概况</w:t>
      </w:r>
    </w:p>
    <w:p w14:paraId="75E034D1">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2026年4月30日，财联社发布市场电报：中国台湾2026年第一季度GDP同比增长13.69%，远超市场预估的11.30%；该季度出口增速高达51.1%，半导体、AI服务器订单持续爆满。从表面数字看，台湾经济正处于近二十年来最强劲的上升通道，GDP增速创下历史性峰值，出口规模屡创新高，人均收入逼近4万美元。然而，当我们将目光从宏观总量移向微观结构，将时间轴拉回到过去三年的完整周期，将出口数据拆解到具体产品和市场维度，就会发现：</w:t>
      </w:r>
      <w:r>
        <w:rPr>
          <w:rFonts w:hint="eastAsia" w:ascii="仿宋_GB2312" w:hAnsi="仿宋_GB2312" w:eastAsia="仿宋_GB2312" w:cs="仿宋_GB2312"/>
          <w:b/>
          <w:bCs/>
          <w:sz w:val="28"/>
          <w:szCs w:val="28"/>
          <w:lang w:val="en-US" w:eastAsia="zh-CN"/>
        </w:rPr>
        <w:t>这组光鲜数字背后，隐藏着一套极为脆弱的经济结构逻辑。</w:t>
      </w:r>
    </w:p>
    <w:p w14:paraId="0616189B">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sz w:val="28"/>
          <w:szCs w:val="28"/>
          <w:lang w:val="en-US" w:eastAsia="zh-CN"/>
        </w:rPr>
        <w:t>本报告以台湾财政部门公开统计数据为基础，系统梳理2023至2026年台湾出口经济的演变轨迹，深度解析其内部的产业分化与风险积累。报告结论可以用一句话概括</w:t>
      </w:r>
      <w:r>
        <w:rPr>
          <w:rFonts w:hint="eastAsia" w:ascii="仿宋_GB2312" w:hAnsi="仿宋_GB2312" w:eastAsia="仿宋_GB2312" w:cs="仿宋_GB2312"/>
          <w:b w:val="0"/>
          <w:bCs w:val="0"/>
          <w:sz w:val="28"/>
          <w:szCs w:val="28"/>
          <w:lang w:val="en-US" w:eastAsia="zh-CN"/>
        </w:rPr>
        <w:t>：台湾当前的出口繁荣，是一场高度集中、结构失衡、对单一外部需求高度依赖的脆弱性繁荣，其内部的K型撕裂正在产生深远的社会后果。</w:t>
      </w:r>
    </w:p>
    <w:p w14:paraId="3C155868">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一、出口数据的结构性异常信号</w:t>
      </w:r>
    </w:p>
    <w:p w14:paraId="242E7CEF">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（一）总量繁荣背后的“单极化”加速</w:t>
      </w:r>
    </w:p>
    <w:p w14:paraId="34E55B8C">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sz w:val="28"/>
          <w:szCs w:val="28"/>
          <w:lang w:val="en-US" w:eastAsia="zh-CN"/>
        </w:rPr>
        <w:t>从近三年出口数据的演变轨迹看，台湾出口总量的持续扩张，伴随着产业结构的加速集中，二者同向运动，构成本轮繁荣最值得关注的结构性异常。</w:t>
      </w:r>
    </w:p>
    <w:p w14:paraId="7EE99299">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表1：台湾出口主要指标三年对比</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850"/>
        <w:gridCol w:w="1558"/>
        <w:gridCol w:w="1705"/>
        <w:gridCol w:w="1705"/>
      </w:tblGrid>
      <w:tr w14:paraId="78940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22E15B05">
            <w:pPr>
              <w:keepNext w:val="0"/>
              <w:keepLines w:val="0"/>
              <w:widowControl/>
              <w:suppressLineNumbers w:val="0"/>
              <w:spacing w:after="0" w:line="240" w:lineRule="auto"/>
              <w:jc w:val="center"/>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年度</w:t>
            </w:r>
          </w:p>
        </w:tc>
        <w:tc>
          <w:tcPr>
            <w:tcW w:w="1850" w:type="dxa"/>
            <w:shd w:val="clear" w:color="auto" w:fill="auto"/>
            <w:vAlign w:val="center"/>
          </w:tcPr>
          <w:p w14:paraId="0D0D1B3C">
            <w:pPr>
              <w:keepNext w:val="0"/>
              <w:keepLines w:val="0"/>
              <w:widowControl/>
              <w:suppressLineNumbers w:val="0"/>
              <w:spacing w:after="0" w:line="240" w:lineRule="auto"/>
              <w:jc w:val="center"/>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出口总额（亿美元）</w:t>
            </w:r>
          </w:p>
        </w:tc>
        <w:tc>
          <w:tcPr>
            <w:tcW w:w="1558" w:type="dxa"/>
            <w:shd w:val="clear" w:color="auto" w:fill="auto"/>
            <w:vAlign w:val="center"/>
          </w:tcPr>
          <w:p w14:paraId="7A008474">
            <w:pPr>
              <w:keepNext w:val="0"/>
              <w:keepLines w:val="0"/>
              <w:widowControl/>
              <w:suppressLineNumbers w:val="0"/>
              <w:spacing w:after="0" w:line="240" w:lineRule="auto"/>
              <w:jc w:val="center"/>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年增率</w:t>
            </w:r>
          </w:p>
        </w:tc>
        <w:tc>
          <w:tcPr>
            <w:tcW w:w="1705" w:type="dxa"/>
            <w:shd w:val="clear" w:color="auto" w:fill="auto"/>
            <w:vAlign w:val="center"/>
          </w:tcPr>
          <w:p w14:paraId="2492A6AD">
            <w:pPr>
              <w:keepNext w:val="0"/>
              <w:keepLines w:val="0"/>
              <w:widowControl/>
              <w:suppressLineNumbers w:val="0"/>
              <w:spacing w:after="0" w:line="240" w:lineRule="auto"/>
              <w:jc w:val="center"/>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电子信息产品占比</w:t>
            </w:r>
          </w:p>
        </w:tc>
        <w:tc>
          <w:tcPr>
            <w:tcW w:w="1705" w:type="dxa"/>
            <w:shd w:val="clear" w:color="auto" w:fill="auto"/>
            <w:vAlign w:val="center"/>
          </w:tcPr>
          <w:p w14:paraId="4BE654AF">
            <w:pPr>
              <w:keepNext w:val="0"/>
              <w:keepLines w:val="0"/>
              <w:widowControl/>
              <w:suppressLineNumbers w:val="0"/>
              <w:spacing w:after="0" w:line="240" w:lineRule="auto"/>
              <w:jc w:val="center"/>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电子信息产品增速</w:t>
            </w:r>
          </w:p>
        </w:tc>
      </w:tr>
      <w:tr w14:paraId="5BD5A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68689B8A">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2022年</w:t>
            </w:r>
          </w:p>
        </w:tc>
        <w:tc>
          <w:tcPr>
            <w:tcW w:w="1850" w:type="dxa"/>
            <w:shd w:val="clear" w:color="auto" w:fill="auto"/>
            <w:vAlign w:val="center"/>
          </w:tcPr>
          <w:p w14:paraId="2BA6C655">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4794</w:t>
            </w:r>
          </w:p>
        </w:tc>
        <w:tc>
          <w:tcPr>
            <w:tcW w:w="1558" w:type="dxa"/>
            <w:shd w:val="clear" w:color="auto" w:fill="auto"/>
            <w:vAlign w:val="center"/>
          </w:tcPr>
          <w:p w14:paraId="71972BB6">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7.4%</w:t>
            </w:r>
          </w:p>
        </w:tc>
        <w:tc>
          <w:tcPr>
            <w:tcW w:w="1705" w:type="dxa"/>
            <w:shd w:val="clear" w:color="auto" w:fill="auto"/>
            <w:vAlign w:val="center"/>
          </w:tcPr>
          <w:p w14:paraId="3C9B9B17">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55.2%</w:t>
            </w:r>
          </w:p>
        </w:tc>
        <w:tc>
          <w:tcPr>
            <w:tcW w:w="1705" w:type="dxa"/>
            <w:shd w:val="clear" w:color="auto" w:fill="auto"/>
            <w:vAlign w:val="center"/>
          </w:tcPr>
          <w:p w14:paraId="6AF6E4D8">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13.5%</w:t>
            </w:r>
          </w:p>
        </w:tc>
      </w:tr>
      <w:tr w14:paraId="2843B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3354FA8E">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2023年</w:t>
            </w:r>
          </w:p>
        </w:tc>
        <w:tc>
          <w:tcPr>
            <w:tcW w:w="1850" w:type="dxa"/>
            <w:shd w:val="clear" w:color="auto" w:fill="auto"/>
            <w:vAlign w:val="center"/>
          </w:tcPr>
          <w:p w14:paraId="3689595F">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4324</w:t>
            </w:r>
          </w:p>
        </w:tc>
        <w:tc>
          <w:tcPr>
            <w:tcW w:w="1558" w:type="dxa"/>
            <w:shd w:val="clear" w:color="auto" w:fill="auto"/>
            <w:vAlign w:val="center"/>
          </w:tcPr>
          <w:p w14:paraId="36655499">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-9.8%</w:t>
            </w:r>
          </w:p>
        </w:tc>
        <w:tc>
          <w:tcPr>
            <w:tcW w:w="1705" w:type="dxa"/>
            <w:shd w:val="clear" w:color="auto" w:fill="auto"/>
            <w:vAlign w:val="center"/>
          </w:tcPr>
          <w:p w14:paraId="5E6423CC">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60.5%</w:t>
            </w:r>
          </w:p>
        </w:tc>
        <w:tc>
          <w:tcPr>
            <w:tcW w:w="1705" w:type="dxa"/>
            <w:shd w:val="clear" w:color="auto" w:fill="auto"/>
            <w:vAlign w:val="center"/>
          </w:tcPr>
          <w:p w14:paraId="61BDBFDE">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-8.3%</w:t>
            </w:r>
          </w:p>
        </w:tc>
      </w:tr>
      <w:tr w14:paraId="49142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009D9D42">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2024年</w:t>
            </w:r>
          </w:p>
        </w:tc>
        <w:tc>
          <w:tcPr>
            <w:tcW w:w="1850" w:type="dxa"/>
            <w:shd w:val="clear" w:color="auto" w:fill="auto"/>
            <w:vAlign w:val="center"/>
          </w:tcPr>
          <w:p w14:paraId="675B8B6E">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4749</w:t>
            </w:r>
          </w:p>
        </w:tc>
        <w:tc>
          <w:tcPr>
            <w:tcW w:w="1558" w:type="dxa"/>
            <w:shd w:val="clear" w:color="auto" w:fill="auto"/>
            <w:vAlign w:val="center"/>
          </w:tcPr>
          <w:p w14:paraId="1CD0CFA0">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9.8%</w:t>
            </w:r>
          </w:p>
        </w:tc>
        <w:tc>
          <w:tcPr>
            <w:tcW w:w="1705" w:type="dxa"/>
            <w:shd w:val="clear" w:color="auto" w:fill="auto"/>
            <w:vAlign w:val="center"/>
          </w:tcPr>
          <w:p w14:paraId="62D2EEF0">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65.2%</w:t>
            </w:r>
          </w:p>
        </w:tc>
        <w:tc>
          <w:tcPr>
            <w:tcW w:w="1705" w:type="dxa"/>
            <w:shd w:val="clear" w:color="auto" w:fill="auto"/>
            <w:vAlign w:val="center"/>
          </w:tcPr>
          <w:p w14:paraId="063058F7">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18.2%</w:t>
            </w:r>
          </w:p>
        </w:tc>
      </w:tr>
      <w:tr w14:paraId="46651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48CC39C9">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2025年</w:t>
            </w:r>
          </w:p>
        </w:tc>
        <w:tc>
          <w:tcPr>
            <w:tcW w:w="1850" w:type="dxa"/>
            <w:shd w:val="clear" w:color="auto" w:fill="auto"/>
            <w:vAlign w:val="center"/>
          </w:tcPr>
          <w:p w14:paraId="511DE8A5">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6400</w:t>
            </w:r>
          </w:p>
        </w:tc>
        <w:tc>
          <w:tcPr>
            <w:tcW w:w="1558" w:type="dxa"/>
            <w:shd w:val="clear" w:color="auto" w:fill="auto"/>
            <w:vAlign w:val="center"/>
          </w:tcPr>
          <w:p w14:paraId="4EB3AA58">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34.9%</w:t>
            </w:r>
          </w:p>
        </w:tc>
        <w:tc>
          <w:tcPr>
            <w:tcW w:w="1705" w:type="dxa"/>
            <w:shd w:val="clear" w:color="auto" w:fill="auto"/>
            <w:vAlign w:val="center"/>
          </w:tcPr>
          <w:p w14:paraId="1B1BAC8F">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74.0%</w:t>
            </w:r>
          </w:p>
        </w:tc>
        <w:tc>
          <w:tcPr>
            <w:tcW w:w="1705" w:type="dxa"/>
            <w:shd w:val="clear" w:color="auto" w:fill="auto"/>
            <w:vAlign w:val="center"/>
          </w:tcPr>
          <w:p w14:paraId="3907093A">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39.5%</w:t>
            </w:r>
          </w:p>
        </w:tc>
      </w:tr>
      <w:tr w14:paraId="6559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auto"/>
            <w:vAlign w:val="center"/>
          </w:tcPr>
          <w:p w14:paraId="3163D63D">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2026年Q1</w:t>
            </w:r>
          </w:p>
        </w:tc>
        <w:tc>
          <w:tcPr>
            <w:tcW w:w="1850" w:type="dxa"/>
            <w:shd w:val="clear" w:color="auto" w:fill="auto"/>
            <w:vAlign w:val="center"/>
          </w:tcPr>
          <w:p w14:paraId="14706080">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同比暴增51.1%</w:t>
            </w:r>
          </w:p>
        </w:tc>
        <w:tc>
          <w:tcPr>
            <w:tcW w:w="1558" w:type="dxa"/>
            <w:shd w:val="clear" w:color="auto" w:fill="auto"/>
            <w:vAlign w:val="center"/>
          </w:tcPr>
          <w:p w14:paraId="416D214A">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w:t>
            </w:r>
          </w:p>
        </w:tc>
        <w:tc>
          <w:tcPr>
            <w:tcW w:w="1705" w:type="dxa"/>
            <w:shd w:val="clear" w:color="auto" w:fill="auto"/>
            <w:vAlign w:val="center"/>
          </w:tcPr>
          <w:p w14:paraId="742C9A95">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约80%（估计）</w:t>
            </w:r>
          </w:p>
        </w:tc>
        <w:tc>
          <w:tcPr>
            <w:tcW w:w="1705" w:type="dxa"/>
            <w:shd w:val="clear" w:color="auto" w:fill="auto"/>
            <w:vAlign w:val="center"/>
          </w:tcPr>
          <w:p w14:paraId="2D7BB415">
            <w:pPr>
              <w:keepNext w:val="0"/>
              <w:keepLines w:val="0"/>
              <w:widowControl/>
              <w:suppressLineNumbers w:val="0"/>
              <w:spacing w:after="0" w:line="240" w:lineRule="auto"/>
              <w:jc w:val="left"/>
              <w:rPr>
                <w:rFonts w:hint="eastAsia" w:ascii="仿宋_GB2312" w:hAnsi="仿宋_GB2312" w:eastAsia="仿宋_GB2312" w:cs="仿宋_GB2312"/>
                <w:b w:val="0"/>
                <w:bCs w:val="0"/>
                <w:kern w:val="2"/>
                <w:sz w:val="24"/>
                <w:szCs w:val="24"/>
                <w:lang w:val="en-US" w:eastAsia="zh-CN" w:bidi="ar-SA"/>
              </w:rPr>
            </w:pPr>
            <w:r>
              <w:rPr>
                <w:rFonts w:hint="eastAsia" w:ascii="仿宋_GB2312" w:hAnsi="仿宋_GB2312" w:eastAsia="仿宋_GB2312" w:cs="仿宋_GB2312"/>
                <w:b w:val="0"/>
                <w:bCs w:val="0"/>
                <w:kern w:val="0"/>
                <w:sz w:val="24"/>
                <w:szCs w:val="24"/>
                <w:lang w:val="en-US" w:eastAsia="zh-CN" w:bidi="ar"/>
              </w:rPr>
              <w:t>约55%（估计）</w:t>
            </w:r>
          </w:p>
        </w:tc>
      </w:tr>
    </w:tbl>
    <w:p w14:paraId="27E5E316">
      <w:pPr>
        <w:keepNext w:val="0"/>
        <w:keepLines w:val="0"/>
        <w:pageBreakBefore w:val="0"/>
        <w:widowControl w:val="0"/>
        <w:kinsoku/>
        <w:wordWrap/>
        <w:overflowPunct/>
        <w:topLinePunct w:val="0"/>
        <w:autoSpaceDE/>
        <w:autoSpaceDN/>
        <w:bidi w:val="0"/>
        <w:adjustRightInd/>
        <w:snapToGrid/>
        <w:spacing w:line="520" w:lineRule="exact"/>
        <w:ind w:firstLine="1960" w:firstLineChars="70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数据来源：台湾财政部统计处</w:t>
      </w:r>
    </w:p>
    <w:p w14:paraId="1088FA5D">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上表传递出一个极为清晰的信号：</w:t>
      </w:r>
      <w:r>
        <w:rPr>
          <w:rFonts w:hint="eastAsia" w:ascii="仿宋_GB2312" w:hAnsi="仿宋_GB2312" w:eastAsia="仿宋_GB2312" w:cs="仿宋_GB2312"/>
          <w:b/>
          <w:bCs/>
          <w:sz w:val="28"/>
          <w:szCs w:val="28"/>
          <w:lang w:val="en-US" w:eastAsia="zh-CN"/>
        </w:rPr>
        <w:t>电子及信息通信产品在总出口中的占比从2022年的55.2%持续攀升至2025年的74.0%，2026年一季度估计已逼近80%。</w:t>
      </w:r>
      <w:r>
        <w:rPr>
          <w:rFonts w:hint="eastAsia" w:ascii="仿宋_GB2312" w:hAnsi="仿宋_GB2312" w:eastAsia="仿宋_GB2312" w:cs="仿宋_GB2312"/>
          <w:sz w:val="28"/>
          <w:szCs w:val="28"/>
          <w:lang w:val="en-US" w:eastAsia="zh-CN"/>
        </w:rPr>
        <w:t>与之对应的是，总量数字越是亮眼，结构越是向单一方向集中。这不是一个正在走向多元化的经济体，而是一个正在以越来越快的速度走向单极化的经济体。</w:t>
      </w:r>
    </w:p>
    <w:p w14:paraId="5C5BB6E2">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（二）增长贡献率的极化：85%与15%</w:t>
      </w:r>
    </w:p>
    <w:p w14:paraId="17950BE3">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sz w:val="28"/>
          <w:szCs w:val="28"/>
          <w:lang w:val="en-US" w:eastAsia="zh-CN"/>
        </w:rPr>
        <w:t>将产品维度数据综合测算，可以得出一个较为清晰的结论：</w:t>
      </w:r>
      <w:r>
        <w:rPr>
          <w:rFonts w:hint="eastAsia" w:ascii="仿宋_GB2312" w:hAnsi="仿宋_GB2312" w:eastAsia="仿宋_GB2312" w:cs="仿宋_GB2312"/>
          <w:b/>
          <w:bCs/>
          <w:sz w:val="28"/>
          <w:szCs w:val="28"/>
          <w:lang w:val="en-US" w:eastAsia="zh-CN"/>
        </w:rPr>
        <w:t>信息电子工业（以半导体、AI服务器为核心）对2025年台湾经济增长的贡献率高达约85%，其余几百个行业合计仅贡献约15%。</w:t>
      </w:r>
    </w:p>
    <w:p w14:paraId="364B2814">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这正是经济学界所称的“K型复苏”（K-shaped Recovery）的极端形态：宏观统计数字光鲜亮丽，但增长的分配极度不均，一部分行业坐火箭上升，另一部分行业在原地甚至向下滑落。就增长结构而言，这种85%与15%的极化，已接近单一产业驱动的临界状态，其潜在的系统性风险不容忽视。就像一个字母“K”——上面那一撇朝上翘，下面那一撇朝下弯，中间的差距越来越大。</w:t>
      </w:r>
    </w:p>
    <w:p w14:paraId="43CB4F9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drawing>
          <wp:inline distT="0" distB="0" distL="114300" distR="114300">
            <wp:extent cx="5267325" cy="3005455"/>
            <wp:effectExtent l="0" t="0" r="3175" b="4445"/>
            <wp:docPr id="4" name="图片 4" descr="cae9bc38-1823-401e-9939-2f7ab1c5e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ae9bc38-1823-401e-9939-2f7ab1c5e0a1"/>
                    <pic:cNvPicPr>
                      <a:picLocks noChangeAspect="1"/>
                    </pic:cNvPicPr>
                  </pic:nvPicPr>
                  <pic:blipFill>
                    <a:blip r:embed="rId4"/>
                    <a:stretch>
                      <a:fillRect/>
                    </a:stretch>
                  </pic:blipFill>
                  <pic:spPr>
                    <a:xfrm>
                      <a:off x="0" y="0"/>
                      <a:ext cx="5267325" cy="3005455"/>
                    </a:xfrm>
                    <a:prstGeom prst="rect">
                      <a:avLst/>
                    </a:prstGeom>
                  </pic:spPr>
                </pic:pic>
              </a:graphicData>
            </a:graphic>
          </wp:inline>
        </w:drawing>
      </w:r>
    </w:p>
    <w:p w14:paraId="378DFFE4">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黑体" w:hAnsi="黑体" w:eastAsia="黑体" w:cs="黑体"/>
          <w:b/>
          <w:bCs/>
          <w:sz w:val="28"/>
          <w:szCs w:val="28"/>
          <w:lang w:val="en-US" w:eastAsia="zh-CN"/>
        </w:rPr>
      </w:pPr>
    </w:p>
    <w:p w14:paraId="04FD13C9">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二、出口结构的深度解剖</w:t>
      </w:r>
    </w:p>
    <w:p w14:paraId="7B035E42">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（一）电子信息产品：一枝独秀的支柱</w:t>
      </w:r>
    </w:p>
    <w:p w14:paraId="78A738FF">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2025年台湾电子产品各品类出口呈现全面爆发态势，驱动这一爆发的</w:t>
      </w:r>
      <w:r>
        <w:rPr>
          <w:rFonts w:hint="eastAsia" w:ascii="仿宋_GB2312" w:hAnsi="仿宋_GB2312" w:eastAsia="仿宋_GB2312" w:cs="仿宋_GB2312"/>
          <w:b/>
          <w:bCs/>
          <w:sz w:val="28"/>
          <w:szCs w:val="28"/>
          <w:lang w:val="en-US" w:eastAsia="zh-CN"/>
        </w:rPr>
        <w:t>核心逻辑只有一条：全球AI算力建设在2025年进入最高强度阶段。</w:t>
      </w:r>
      <w:r>
        <w:rPr>
          <w:rFonts w:hint="eastAsia" w:ascii="仿宋_GB2312" w:hAnsi="仿宋_GB2312" w:eastAsia="仿宋_GB2312" w:cs="仿宋_GB2312"/>
          <w:sz w:val="28"/>
          <w:szCs w:val="28"/>
          <w:lang w:val="en-US" w:eastAsia="zh-CN"/>
        </w:rPr>
        <w:t>美国微软、谷歌、亚马逊等科技巨头在2025年的AI基础设施资本开支合计超过3000亿美元，其中绝大部分转化为对英伟达GPU及相关AI服务器的采购，而这些芯片均由台积电代工生产，AI服务器整机则由鸿海、广达等台湾厂商组装。这条资金链的末端，就是台湾出口数据的垂直跃升。具体品类增速如下：</w:t>
      </w:r>
    </w:p>
    <w:p w14:paraId="3C257CC2">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集成电路：</w:t>
      </w:r>
      <w:r>
        <w:rPr>
          <w:rFonts w:hint="eastAsia" w:ascii="仿宋_GB2312" w:hAnsi="仿宋_GB2312" w:eastAsia="仿宋_GB2312" w:cs="仿宋_GB2312"/>
          <w:sz w:val="28"/>
          <w:szCs w:val="28"/>
          <w:lang w:val="en-US" w:eastAsia="zh-CN"/>
        </w:rPr>
        <w:t>出口额约2092亿美元，年增26.7%。单一品类出口额已占台湾总出口的约32%，高端AI芯片是主力增量。</w:t>
      </w:r>
    </w:p>
    <w:p w14:paraId="07FD029D">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印刷电路板：</w:t>
      </w:r>
      <w:r>
        <w:rPr>
          <w:rFonts w:hint="eastAsia" w:ascii="仿宋_GB2312" w:hAnsi="仿宋_GB2312" w:eastAsia="仿宋_GB2312" w:cs="仿宋_GB2312"/>
          <w:sz w:val="28"/>
          <w:szCs w:val="28"/>
          <w:lang w:val="en-US" w:eastAsia="zh-CN"/>
        </w:rPr>
        <w:t>年增率高达115.3%。AI服务器对高端电路板的需求爆炸性增长，一台AI服务器所用电路板价值量是普通服务器的5至10倍。</w:t>
      </w:r>
    </w:p>
    <w:p w14:paraId="1F93072B">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计算机及其附属设备：</w:t>
      </w:r>
      <w:r>
        <w:rPr>
          <w:rFonts w:hint="eastAsia" w:ascii="仿宋_GB2312" w:hAnsi="仿宋_GB2312" w:eastAsia="仿宋_GB2312" w:cs="仿宋_GB2312"/>
          <w:sz w:val="28"/>
          <w:szCs w:val="28"/>
          <w:lang w:val="en-US" w:eastAsia="zh-CN"/>
        </w:rPr>
        <w:t>年增116.9%。主要为AI服务器整机出口，鸿海、广达、纬创等台湾厂商是英伟达、微软服务器的核心组装商。</w:t>
      </w:r>
    </w:p>
    <w:p w14:paraId="2575B4BF">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电容器及其他电器零件：</w:t>
      </w:r>
      <w:r>
        <w:rPr>
          <w:rFonts w:hint="eastAsia" w:ascii="仿宋_GB2312" w:hAnsi="仿宋_GB2312" w:eastAsia="仿宋_GB2312" w:cs="仿宋_GB2312"/>
          <w:sz w:val="28"/>
          <w:szCs w:val="28"/>
          <w:lang w:val="en-US" w:eastAsia="zh-CN"/>
        </w:rPr>
        <w:t>年增102.9%。被动元件随AI服务器放量大幅增长，相关台湾厂商产能接近满载。</w:t>
      </w:r>
    </w:p>
    <w:p w14:paraId="4D30E723">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p>
    <w:p w14:paraId="3F1F17F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drawing>
          <wp:inline distT="0" distB="0" distL="114300" distR="114300">
            <wp:extent cx="5257800" cy="2280285"/>
            <wp:effectExtent l="0" t="0" r="0" b="5715"/>
            <wp:docPr id="1" name="图片 1" descr="b6bcdcbf-8938-40f0-924c-e2909e528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6bcdcbf-8938-40f0-924c-e2909e528737"/>
                    <pic:cNvPicPr>
                      <a:picLocks noChangeAspect="1"/>
                    </pic:cNvPicPr>
                  </pic:nvPicPr>
                  <pic:blipFill>
                    <a:blip r:embed="rId5"/>
                    <a:stretch>
                      <a:fillRect/>
                    </a:stretch>
                  </pic:blipFill>
                  <pic:spPr>
                    <a:xfrm>
                      <a:off x="0" y="0"/>
                      <a:ext cx="5257800" cy="2280285"/>
                    </a:xfrm>
                    <a:prstGeom prst="rect">
                      <a:avLst/>
                    </a:prstGeom>
                  </pic:spPr>
                </pic:pic>
              </a:graphicData>
            </a:graphic>
          </wp:inline>
        </w:drawing>
      </w:r>
    </w:p>
    <w:p w14:paraId="4ED9E5BC">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（二）传统制造业：被遗忘的另一面</w:t>
      </w:r>
    </w:p>
    <w:p w14:paraId="5DAC27D4">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与电子产品的高歌猛进形成鲜明对比，</w:t>
      </w:r>
      <w:r>
        <w:rPr>
          <w:rFonts w:hint="eastAsia" w:ascii="仿宋_GB2312" w:hAnsi="仿宋_GB2312" w:eastAsia="仿宋_GB2312" w:cs="仿宋_GB2312"/>
          <w:b w:val="0"/>
          <w:bCs w:val="0"/>
          <w:sz w:val="28"/>
          <w:szCs w:val="28"/>
          <w:lang w:val="en-US" w:eastAsia="zh-CN"/>
        </w:rPr>
        <w:t>台湾传统制造业出口在同一时期几乎陷入停滞乃至萎缩，形成明显的“剪刀差”结构。</w:t>
      </w:r>
    </w:p>
    <w:p w14:paraId="6732209A">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金属加工工具机：</w:t>
      </w:r>
      <w:r>
        <w:rPr>
          <w:rFonts w:hint="eastAsia" w:ascii="仿宋_GB2312" w:hAnsi="仿宋_GB2312" w:eastAsia="仿宋_GB2312" w:cs="仿宋_GB2312"/>
          <w:sz w:val="28"/>
          <w:szCs w:val="28"/>
          <w:lang w:val="en-US" w:eastAsia="zh-CN"/>
        </w:rPr>
        <w:t>年增率接近零，部分月份录得负增长。台中精密机械聚落的中小企业受到大陆同类产品价格竞争的持续冲压，市场份额持续流失。</w:t>
      </w:r>
    </w:p>
    <w:p w14:paraId="191E26B8">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基本金属及其制品：</w:t>
      </w:r>
      <w:r>
        <w:rPr>
          <w:rFonts w:hint="eastAsia" w:ascii="仿宋_GB2312" w:hAnsi="仿宋_GB2312" w:eastAsia="仿宋_GB2312" w:cs="仿宋_GB2312"/>
          <w:sz w:val="28"/>
          <w:szCs w:val="28"/>
          <w:lang w:val="en-US" w:eastAsia="zh-CN"/>
        </w:rPr>
        <w:t>小幅负增长。国际钢铁价格波动与大陆产能充裕的双重压制，使台湾钢铁及金属加工业处境艰难。</w:t>
      </w:r>
    </w:p>
    <w:p w14:paraId="6E1C73D1">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纺织品：</w:t>
      </w:r>
      <w:r>
        <w:rPr>
          <w:rFonts w:hint="eastAsia" w:ascii="仿宋_GB2312" w:hAnsi="仿宋_GB2312" w:eastAsia="仿宋_GB2312" w:cs="仿宋_GB2312"/>
          <w:sz w:val="28"/>
          <w:szCs w:val="28"/>
          <w:lang w:val="en-US" w:eastAsia="zh-CN"/>
        </w:rPr>
        <w:t>萎缩趋势延续。东南亚人力成本优势叠加大陆产品品质升级，使台湾纺织出口腹背受敌。</w:t>
      </w:r>
    </w:p>
    <w:p w14:paraId="344C7062">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石油橡胶制品：</w:t>
      </w:r>
      <w:r>
        <w:rPr>
          <w:rFonts w:hint="eastAsia" w:ascii="仿宋_GB2312" w:hAnsi="仿宋_GB2312" w:eastAsia="仿宋_GB2312" w:cs="仿宋_GB2312"/>
          <w:sz w:val="28"/>
          <w:szCs w:val="28"/>
          <w:lang w:val="en-US" w:eastAsia="zh-CN"/>
        </w:rPr>
        <w:t>持续负增长。大陆在橡塑制品领域的产能扩张已从低端蔓延至中高端，台湾相关企业订单被大量替代。</w:t>
      </w:r>
    </w:p>
    <w:p w14:paraId="43B265B6">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sz w:val="28"/>
          <w:szCs w:val="28"/>
          <w:lang w:val="en-US" w:eastAsia="zh-CN"/>
        </w:rPr>
        <w:t>这组数据揭示出一个结构性事实：</w:t>
      </w:r>
      <w:r>
        <w:rPr>
          <w:rFonts w:hint="eastAsia" w:ascii="仿宋_GB2312" w:hAnsi="仿宋_GB2312" w:eastAsia="仿宋_GB2312" w:cs="仿宋_GB2312"/>
          <w:b/>
          <w:bCs/>
          <w:sz w:val="28"/>
          <w:szCs w:val="28"/>
          <w:lang w:val="en-US" w:eastAsia="zh-CN"/>
        </w:rPr>
        <w:t>台湾传统制造业的出口竞争力正在系统性衰退，而这一衰退过程在2025年的“大繁荣”中被总量数据完全掩盖。</w:t>
      </w:r>
    </w:p>
    <w:p w14:paraId="3B1F15E8">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p>
    <w:p w14:paraId="7EAB2CD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drawing>
          <wp:inline distT="0" distB="0" distL="114300" distR="114300">
            <wp:extent cx="5270500" cy="2821305"/>
            <wp:effectExtent l="0" t="0" r="0" b="10795"/>
            <wp:docPr id="3" name="图片 3" descr="18b2a5ff-86e7-43dc-be55-e768525dc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8b2a5ff-86e7-43dc-be55-e768525dc576"/>
                    <pic:cNvPicPr>
                      <a:picLocks noChangeAspect="1"/>
                    </pic:cNvPicPr>
                  </pic:nvPicPr>
                  <pic:blipFill>
                    <a:blip r:embed="rId6"/>
                    <a:stretch>
                      <a:fillRect/>
                    </a:stretch>
                  </pic:blipFill>
                  <pic:spPr>
                    <a:xfrm>
                      <a:off x="0" y="0"/>
                      <a:ext cx="5270500" cy="2821305"/>
                    </a:xfrm>
                    <a:prstGeom prst="rect">
                      <a:avLst/>
                    </a:prstGeom>
                  </pic:spPr>
                </pic:pic>
              </a:graphicData>
            </a:graphic>
          </wp:inline>
        </w:drawing>
      </w:r>
    </w:p>
    <w:p w14:paraId="27E47E5C">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黑体" w:hAnsi="黑体" w:eastAsia="黑体" w:cs="黑体"/>
          <w:sz w:val="28"/>
          <w:szCs w:val="28"/>
          <w:lang w:val="en-US" w:eastAsia="zh-CN"/>
        </w:rPr>
      </w:pPr>
    </w:p>
    <w:p w14:paraId="0704C6C3">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三、出口市场的结构性重组</w:t>
      </w:r>
    </w:p>
    <w:p w14:paraId="63DD2344">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（一）对美依赖的加速形成</w:t>
      </w:r>
    </w:p>
    <w:p w14:paraId="5557F81A">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黑体" w:hAnsi="黑体" w:eastAsia="黑体" w:cs="黑体"/>
          <w:b/>
          <w:bCs/>
          <w:sz w:val="28"/>
          <w:szCs w:val="28"/>
          <w:lang w:val="en-US" w:eastAsia="zh-CN"/>
        </w:rPr>
      </w:pPr>
      <w:r>
        <w:rPr>
          <w:rFonts w:hint="eastAsia" w:ascii="仿宋_GB2312" w:hAnsi="仿宋_GB2312" w:eastAsia="仿宋_GB2312" w:cs="仿宋_GB2312"/>
          <w:sz w:val="28"/>
          <w:szCs w:val="28"/>
          <w:lang w:val="en-US" w:eastAsia="zh-CN"/>
        </w:rPr>
        <w:t>台湾出口市场格局在过去三年发生了根本性重组，对美出口从第二大市场跃升为第一大市场，构成本轮出口繁荣在市场维度的核心特征。</w:t>
      </w:r>
      <w:r>
        <w:rPr>
          <w:rFonts w:hint="eastAsia" w:ascii="仿宋_GB2312" w:hAnsi="仿宋_GB2312" w:eastAsia="仿宋_GB2312" w:cs="仿宋_GB2312"/>
          <w:b/>
          <w:bCs/>
          <w:sz w:val="28"/>
          <w:szCs w:val="28"/>
          <w:lang w:val="en-US" w:eastAsia="zh-CN"/>
        </w:rPr>
        <w:t>对美贸易顺差从2024年的647亿美元暴增至2025年的1438亿美元，一年之内翻了一倍有余。</w:t>
      </w:r>
    </w:p>
    <w:p w14:paraId="6E771A17">
      <w:pPr>
        <w:keepNext w:val="0"/>
        <w:keepLines w:val="0"/>
        <w:pageBreakBefore w:val="0"/>
        <w:widowControl w:val="0"/>
        <w:kinsoku/>
        <w:wordWrap/>
        <w:overflowPunct/>
        <w:topLinePunct w:val="0"/>
        <w:autoSpaceDE/>
        <w:autoSpaceDN/>
        <w:bidi w:val="0"/>
        <w:adjustRightInd/>
        <w:snapToGrid/>
        <w:spacing w:line="520" w:lineRule="exact"/>
        <w:ind w:firstLine="281" w:firstLineChars="1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表2：台湾对美出口规模演变</w:t>
      </w:r>
    </w:p>
    <w:tbl>
      <w:tblPr>
        <w:tblStyle w:val="6"/>
        <w:tblW w:w="0" w:type="auto"/>
        <w:tblInd w:w="3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4"/>
        <w:gridCol w:w="2130"/>
        <w:gridCol w:w="2546"/>
        <w:gridCol w:w="1329"/>
      </w:tblGrid>
      <w:tr w14:paraId="4879C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4" w:type="dxa"/>
          </w:tcPr>
          <w:p w14:paraId="7AE1FFCC">
            <w:pPr>
              <w:keepNext w:val="0"/>
              <w:keepLines w:val="0"/>
              <w:pageBreakBefore w:val="0"/>
              <w:widowControl w:val="0"/>
              <w:kinsoku/>
              <w:wordWrap/>
              <w:overflowPunct/>
              <w:topLinePunct w:val="0"/>
              <w:autoSpaceDE/>
              <w:autoSpaceDN/>
              <w:bidi w:val="0"/>
              <w:adjustRightInd/>
              <w:snapToGrid/>
              <w:spacing w:after="0" w:line="520" w:lineRule="exact"/>
              <w:jc w:val="both"/>
              <w:textAlignment w:val="auto"/>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kern w:val="0"/>
                <w:sz w:val="24"/>
                <w:szCs w:val="24"/>
                <w:lang w:val="en-US" w:eastAsia="zh-CN" w:bidi="ar"/>
              </w:rPr>
              <w:t>年度</w:t>
            </w:r>
          </w:p>
        </w:tc>
        <w:tc>
          <w:tcPr>
            <w:tcW w:w="2130" w:type="dxa"/>
          </w:tcPr>
          <w:p w14:paraId="138BC346">
            <w:pPr>
              <w:keepNext w:val="0"/>
              <w:keepLines w:val="0"/>
              <w:pageBreakBefore w:val="0"/>
              <w:widowControl w:val="0"/>
              <w:kinsoku/>
              <w:wordWrap/>
              <w:overflowPunct/>
              <w:topLinePunct w:val="0"/>
              <w:autoSpaceDE/>
              <w:autoSpaceDN/>
              <w:bidi w:val="0"/>
              <w:adjustRightInd/>
              <w:snapToGrid/>
              <w:spacing w:after="0" w:line="520" w:lineRule="exact"/>
              <w:jc w:val="both"/>
              <w:textAlignment w:val="auto"/>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kern w:val="0"/>
                <w:sz w:val="24"/>
                <w:szCs w:val="24"/>
                <w:lang w:val="en-US" w:eastAsia="zh-CN" w:bidi="ar"/>
              </w:rPr>
              <w:t>对美出口额</w:t>
            </w:r>
          </w:p>
        </w:tc>
        <w:tc>
          <w:tcPr>
            <w:tcW w:w="2546" w:type="dxa"/>
          </w:tcPr>
          <w:p w14:paraId="6E2AE111">
            <w:pPr>
              <w:keepNext w:val="0"/>
              <w:keepLines w:val="0"/>
              <w:pageBreakBefore w:val="0"/>
              <w:widowControl w:val="0"/>
              <w:kinsoku/>
              <w:wordWrap/>
              <w:overflowPunct/>
              <w:topLinePunct w:val="0"/>
              <w:autoSpaceDE/>
              <w:autoSpaceDN/>
              <w:bidi w:val="0"/>
              <w:adjustRightInd/>
              <w:snapToGrid/>
              <w:spacing w:after="0" w:line="520" w:lineRule="exact"/>
              <w:jc w:val="both"/>
              <w:textAlignment w:val="auto"/>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kern w:val="0"/>
                <w:sz w:val="24"/>
                <w:szCs w:val="24"/>
                <w:lang w:val="en-US" w:eastAsia="zh-CN" w:bidi="ar"/>
              </w:rPr>
              <w:t>占台湾总出口比重</w:t>
            </w:r>
          </w:p>
        </w:tc>
        <w:tc>
          <w:tcPr>
            <w:tcW w:w="1329" w:type="dxa"/>
          </w:tcPr>
          <w:p w14:paraId="306586D7">
            <w:pPr>
              <w:keepNext w:val="0"/>
              <w:keepLines w:val="0"/>
              <w:pageBreakBefore w:val="0"/>
              <w:widowControl w:val="0"/>
              <w:kinsoku/>
              <w:wordWrap/>
              <w:overflowPunct/>
              <w:topLinePunct w:val="0"/>
              <w:autoSpaceDE/>
              <w:autoSpaceDN/>
              <w:bidi w:val="0"/>
              <w:adjustRightInd/>
              <w:snapToGrid/>
              <w:spacing w:after="0" w:line="520" w:lineRule="exact"/>
              <w:jc w:val="both"/>
              <w:textAlignment w:val="auto"/>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kern w:val="0"/>
                <w:sz w:val="24"/>
                <w:szCs w:val="24"/>
                <w:lang w:val="en-US" w:eastAsia="zh-CN" w:bidi="ar"/>
              </w:rPr>
              <w:t>年增率</w:t>
            </w:r>
          </w:p>
        </w:tc>
      </w:tr>
      <w:tr w14:paraId="03C16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4" w:type="dxa"/>
          </w:tcPr>
          <w:p w14:paraId="7E619874">
            <w:pPr>
              <w:keepNext w:val="0"/>
              <w:keepLines w:val="0"/>
              <w:pageBreakBefore w:val="0"/>
              <w:widowControl w:val="0"/>
              <w:kinsoku/>
              <w:wordWrap/>
              <w:overflowPunct/>
              <w:topLinePunct w:val="0"/>
              <w:autoSpaceDE/>
              <w:autoSpaceDN/>
              <w:bidi w:val="0"/>
              <w:adjustRightInd/>
              <w:snapToGrid/>
              <w:spacing w:after="0" w:line="520" w:lineRule="exact"/>
              <w:jc w:val="both"/>
              <w:textAlignment w:val="auto"/>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2023</w:t>
            </w:r>
          </w:p>
        </w:tc>
        <w:tc>
          <w:tcPr>
            <w:tcW w:w="2130" w:type="dxa"/>
          </w:tcPr>
          <w:p w14:paraId="1ED9DE1C">
            <w:pPr>
              <w:keepNext w:val="0"/>
              <w:keepLines w:val="0"/>
              <w:pageBreakBefore w:val="0"/>
              <w:widowControl w:val="0"/>
              <w:kinsoku/>
              <w:wordWrap/>
              <w:overflowPunct/>
              <w:topLinePunct w:val="0"/>
              <w:autoSpaceDE/>
              <w:autoSpaceDN/>
              <w:bidi w:val="0"/>
              <w:adjustRightInd/>
              <w:snapToGrid/>
              <w:spacing w:after="0" w:line="520" w:lineRule="exact"/>
              <w:jc w:val="both"/>
              <w:textAlignment w:val="auto"/>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kern w:val="0"/>
                <w:sz w:val="24"/>
                <w:szCs w:val="24"/>
                <w:lang w:val="en-US" w:eastAsia="zh-CN" w:bidi="ar"/>
              </w:rPr>
              <w:t>约750亿美元</w:t>
            </w:r>
          </w:p>
        </w:tc>
        <w:tc>
          <w:tcPr>
            <w:tcW w:w="2546" w:type="dxa"/>
          </w:tcPr>
          <w:p w14:paraId="3FCAD4D9">
            <w:pPr>
              <w:keepNext w:val="0"/>
              <w:keepLines w:val="0"/>
              <w:pageBreakBefore w:val="0"/>
              <w:widowControl w:val="0"/>
              <w:kinsoku/>
              <w:wordWrap/>
              <w:overflowPunct/>
              <w:topLinePunct w:val="0"/>
              <w:autoSpaceDE/>
              <w:autoSpaceDN/>
              <w:bidi w:val="0"/>
              <w:adjustRightInd/>
              <w:snapToGrid/>
              <w:spacing w:after="0" w:line="520" w:lineRule="exact"/>
              <w:jc w:val="both"/>
              <w:textAlignment w:val="auto"/>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kern w:val="0"/>
                <w:sz w:val="24"/>
                <w:szCs w:val="24"/>
                <w:lang w:val="en-US" w:eastAsia="zh-CN" w:bidi="ar"/>
              </w:rPr>
              <w:t>约17.3%</w:t>
            </w:r>
          </w:p>
        </w:tc>
        <w:tc>
          <w:tcPr>
            <w:tcW w:w="1329" w:type="dxa"/>
          </w:tcPr>
          <w:p w14:paraId="79773457">
            <w:pPr>
              <w:keepNext w:val="0"/>
              <w:keepLines w:val="0"/>
              <w:pageBreakBefore w:val="0"/>
              <w:widowControl w:val="0"/>
              <w:kinsoku/>
              <w:wordWrap/>
              <w:overflowPunct/>
              <w:topLinePunct w:val="0"/>
              <w:autoSpaceDE/>
              <w:autoSpaceDN/>
              <w:bidi w:val="0"/>
              <w:adjustRightInd/>
              <w:snapToGrid/>
              <w:spacing w:after="0" w:line="520" w:lineRule="exact"/>
              <w:jc w:val="both"/>
              <w:textAlignment w:val="auto"/>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kern w:val="0"/>
                <w:sz w:val="24"/>
                <w:szCs w:val="24"/>
                <w:lang w:val="en-US" w:eastAsia="zh-CN" w:bidi="ar"/>
              </w:rPr>
              <w:t>-5%</w:t>
            </w:r>
          </w:p>
        </w:tc>
      </w:tr>
      <w:tr w14:paraId="7DC33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4" w:type="dxa"/>
          </w:tcPr>
          <w:p w14:paraId="29CAC2EE">
            <w:pPr>
              <w:keepNext w:val="0"/>
              <w:keepLines w:val="0"/>
              <w:pageBreakBefore w:val="0"/>
              <w:widowControl w:val="0"/>
              <w:kinsoku/>
              <w:wordWrap/>
              <w:overflowPunct/>
              <w:topLinePunct w:val="0"/>
              <w:autoSpaceDE/>
              <w:autoSpaceDN/>
              <w:bidi w:val="0"/>
              <w:adjustRightInd/>
              <w:snapToGrid/>
              <w:spacing w:after="0" w:line="520" w:lineRule="exact"/>
              <w:jc w:val="both"/>
              <w:textAlignment w:val="auto"/>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2024</w:t>
            </w:r>
          </w:p>
        </w:tc>
        <w:tc>
          <w:tcPr>
            <w:tcW w:w="2130" w:type="dxa"/>
          </w:tcPr>
          <w:p w14:paraId="6611FF67">
            <w:pPr>
              <w:keepNext w:val="0"/>
              <w:keepLines w:val="0"/>
              <w:pageBreakBefore w:val="0"/>
              <w:widowControl w:val="0"/>
              <w:kinsoku/>
              <w:wordWrap/>
              <w:overflowPunct/>
              <w:topLinePunct w:val="0"/>
              <w:autoSpaceDE/>
              <w:autoSpaceDN/>
              <w:bidi w:val="0"/>
              <w:adjustRightInd/>
              <w:snapToGrid/>
              <w:spacing w:after="0" w:line="520" w:lineRule="exact"/>
              <w:jc w:val="both"/>
              <w:textAlignment w:val="auto"/>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kern w:val="0"/>
                <w:sz w:val="24"/>
                <w:szCs w:val="24"/>
                <w:lang w:val="en-US" w:eastAsia="zh-CN" w:bidi="ar"/>
              </w:rPr>
              <w:t>约1050亿美元</w:t>
            </w:r>
          </w:p>
        </w:tc>
        <w:tc>
          <w:tcPr>
            <w:tcW w:w="2546" w:type="dxa"/>
          </w:tcPr>
          <w:p w14:paraId="38D057F3">
            <w:pPr>
              <w:keepNext w:val="0"/>
              <w:keepLines w:val="0"/>
              <w:pageBreakBefore w:val="0"/>
              <w:widowControl w:val="0"/>
              <w:kinsoku/>
              <w:wordWrap/>
              <w:overflowPunct/>
              <w:topLinePunct w:val="0"/>
              <w:autoSpaceDE/>
              <w:autoSpaceDN/>
              <w:bidi w:val="0"/>
              <w:adjustRightInd/>
              <w:snapToGrid/>
              <w:spacing w:after="0" w:line="520" w:lineRule="exact"/>
              <w:jc w:val="both"/>
              <w:textAlignment w:val="auto"/>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kern w:val="0"/>
                <w:sz w:val="24"/>
                <w:szCs w:val="24"/>
                <w:lang w:val="en-US" w:eastAsia="zh-CN" w:bidi="ar"/>
              </w:rPr>
              <w:t>约22.1%</w:t>
            </w:r>
          </w:p>
        </w:tc>
        <w:tc>
          <w:tcPr>
            <w:tcW w:w="1329" w:type="dxa"/>
          </w:tcPr>
          <w:p w14:paraId="38503871">
            <w:pPr>
              <w:keepNext w:val="0"/>
              <w:keepLines w:val="0"/>
              <w:pageBreakBefore w:val="0"/>
              <w:widowControl w:val="0"/>
              <w:kinsoku/>
              <w:wordWrap/>
              <w:overflowPunct/>
              <w:topLinePunct w:val="0"/>
              <w:autoSpaceDE/>
              <w:autoSpaceDN/>
              <w:bidi w:val="0"/>
              <w:adjustRightInd/>
              <w:snapToGrid/>
              <w:spacing w:after="0" w:line="520" w:lineRule="exact"/>
              <w:jc w:val="both"/>
              <w:textAlignment w:val="auto"/>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kern w:val="0"/>
                <w:sz w:val="24"/>
                <w:szCs w:val="24"/>
                <w:lang w:val="en-US" w:eastAsia="zh-CN" w:bidi="ar"/>
              </w:rPr>
              <w:t>+40%</w:t>
            </w:r>
          </w:p>
        </w:tc>
      </w:tr>
      <w:tr w14:paraId="3BED9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4" w:type="dxa"/>
          </w:tcPr>
          <w:p w14:paraId="7CE24DDF">
            <w:pPr>
              <w:keepNext w:val="0"/>
              <w:keepLines w:val="0"/>
              <w:pageBreakBefore w:val="0"/>
              <w:widowControl w:val="0"/>
              <w:kinsoku/>
              <w:wordWrap/>
              <w:overflowPunct/>
              <w:topLinePunct w:val="0"/>
              <w:autoSpaceDE/>
              <w:autoSpaceDN/>
              <w:bidi w:val="0"/>
              <w:adjustRightInd/>
              <w:snapToGrid/>
              <w:spacing w:after="0" w:line="520" w:lineRule="exact"/>
              <w:jc w:val="both"/>
              <w:textAlignment w:val="auto"/>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b/>
                <w:bCs/>
                <w:sz w:val="24"/>
                <w:szCs w:val="24"/>
                <w:vertAlign w:val="baseline"/>
                <w:lang w:val="en-US" w:eastAsia="zh-CN"/>
              </w:rPr>
              <w:t>2025</w:t>
            </w:r>
          </w:p>
        </w:tc>
        <w:tc>
          <w:tcPr>
            <w:tcW w:w="2130" w:type="dxa"/>
          </w:tcPr>
          <w:p w14:paraId="554C8194">
            <w:pPr>
              <w:keepNext w:val="0"/>
              <w:keepLines w:val="0"/>
              <w:pageBreakBefore w:val="0"/>
              <w:widowControl w:val="0"/>
              <w:kinsoku/>
              <w:wordWrap/>
              <w:overflowPunct/>
              <w:topLinePunct w:val="0"/>
              <w:autoSpaceDE/>
              <w:autoSpaceDN/>
              <w:bidi w:val="0"/>
              <w:adjustRightInd/>
              <w:snapToGrid/>
              <w:spacing w:after="0" w:line="520" w:lineRule="exact"/>
              <w:jc w:val="both"/>
              <w:textAlignment w:val="auto"/>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kern w:val="0"/>
                <w:sz w:val="24"/>
                <w:szCs w:val="24"/>
                <w:lang w:val="en-US" w:eastAsia="zh-CN" w:bidi="ar"/>
              </w:rPr>
              <w:t>约1800亿美元</w:t>
            </w:r>
          </w:p>
        </w:tc>
        <w:tc>
          <w:tcPr>
            <w:tcW w:w="2546" w:type="dxa"/>
          </w:tcPr>
          <w:p w14:paraId="6E465318">
            <w:pPr>
              <w:keepNext w:val="0"/>
              <w:keepLines w:val="0"/>
              <w:pageBreakBefore w:val="0"/>
              <w:widowControl w:val="0"/>
              <w:kinsoku/>
              <w:wordWrap/>
              <w:overflowPunct/>
              <w:topLinePunct w:val="0"/>
              <w:autoSpaceDE/>
              <w:autoSpaceDN/>
              <w:bidi w:val="0"/>
              <w:adjustRightInd/>
              <w:snapToGrid/>
              <w:spacing w:after="0" w:line="520" w:lineRule="exact"/>
              <w:jc w:val="both"/>
              <w:textAlignment w:val="auto"/>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kern w:val="0"/>
                <w:sz w:val="24"/>
                <w:szCs w:val="24"/>
                <w:lang w:val="en-US" w:eastAsia="zh-CN" w:bidi="ar"/>
              </w:rPr>
              <w:t>约28.1%</w:t>
            </w:r>
          </w:p>
        </w:tc>
        <w:tc>
          <w:tcPr>
            <w:tcW w:w="1329" w:type="dxa"/>
          </w:tcPr>
          <w:p w14:paraId="1469D38F">
            <w:pPr>
              <w:keepNext w:val="0"/>
              <w:keepLines w:val="0"/>
              <w:pageBreakBefore w:val="0"/>
              <w:widowControl w:val="0"/>
              <w:kinsoku/>
              <w:wordWrap/>
              <w:overflowPunct/>
              <w:topLinePunct w:val="0"/>
              <w:autoSpaceDE/>
              <w:autoSpaceDN/>
              <w:bidi w:val="0"/>
              <w:adjustRightInd/>
              <w:snapToGrid/>
              <w:spacing w:after="0" w:line="520" w:lineRule="exact"/>
              <w:jc w:val="both"/>
              <w:textAlignment w:val="auto"/>
              <w:rPr>
                <w:rFonts w:hint="eastAsia" w:ascii="仿宋_GB2312" w:hAnsi="仿宋_GB2312" w:eastAsia="仿宋_GB2312" w:cs="仿宋_GB2312"/>
                <w:b/>
                <w:bCs/>
                <w:sz w:val="24"/>
                <w:szCs w:val="24"/>
                <w:vertAlign w:val="baseline"/>
                <w:lang w:val="en-US" w:eastAsia="zh-CN"/>
              </w:rPr>
            </w:pPr>
            <w:r>
              <w:rPr>
                <w:rFonts w:hint="eastAsia" w:ascii="仿宋_GB2312" w:hAnsi="仿宋_GB2312" w:eastAsia="仿宋_GB2312" w:cs="仿宋_GB2312"/>
                <w:kern w:val="0"/>
                <w:sz w:val="24"/>
                <w:szCs w:val="24"/>
                <w:lang w:val="en-US" w:eastAsia="zh-CN" w:bidi="ar"/>
              </w:rPr>
              <w:t>+71%</w:t>
            </w:r>
          </w:p>
        </w:tc>
      </w:tr>
    </w:tbl>
    <w:p w14:paraId="13BE0310">
      <w:pPr>
        <w:keepNext w:val="0"/>
        <w:keepLines w:val="0"/>
        <w:pageBreakBefore w:val="0"/>
        <w:widowControl w:val="0"/>
        <w:kinsoku/>
        <w:wordWrap/>
        <w:overflowPunct/>
        <w:topLinePunct w:val="0"/>
        <w:autoSpaceDE/>
        <w:autoSpaceDN/>
        <w:bidi w:val="0"/>
        <w:adjustRightInd/>
        <w:snapToGrid/>
        <w:spacing w:line="520" w:lineRule="exact"/>
        <w:ind w:firstLine="1400" w:firstLineChars="5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sz w:val="28"/>
          <w:szCs w:val="28"/>
          <w:lang w:val="en-US" w:eastAsia="zh-CN"/>
        </w:rPr>
        <w:t>数据来源：台湾财政部、经济部</w:t>
      </w:r>
    </w:p>
    <w:p w14:paraId="6D5E7866">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（二）对大陆及香港出口比重的持续下滑</w:t>
      </w:r>
    </w:p>
    <w:p w14:paraId="1AB585CB">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表3：台湾对大陆及香港出口规模演变</w:t>
      </w:r>
    </w:p>
    <w:tbl>
      <w:tblPr>
        <w:tblStyle w:val="6"/>
        <w:tblW w:w="0" w:type="auto"/>
        <w:tblInd w:w="3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3497"/>
        <w:gridCol w:w="2643"/>
      </w:tblGrid>
      <w:tr w14:paraId="13392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797" w:type="dxa"/>
            <w:shd w:val="clear" w:color="auto" w:fill="auto"/>
            <w:vAlign w:val="center"/>
          </w:tcPr>
          <w:p w14:paraId="3E7D1755">
            <w:pPr>
              <w:keepNext w:val="0"/>
              <w:keepLines w:val="0"/>
              <w:widowControl/>
              <w:suppressLineNumbers w:val="0"/>
              <w:spacing w:after="0" w:line="240" w:lineRule="auto"/>
              <w:jc w:val="left"/>
              <w:rPr>
                <w:rFonts w:hint="eastAsia" w:ascii="仿宋_GB2312" w:hAnsi="仿宋_GB2312" w:eastAsia="仿宋_GB2312" w:cs="仿宋_GB2312"/>
                <w:b/>
                <w:bCs/>
                <w:kern w:val="2"/>
                <w:sz w:val="24"/>
                <w:szCs w:val="24"/>
                <w:lang w:val="en-US" w:eastAsia="zh-CN" w:bidi="ar-SA"/>
              </w:rPr>
            </w:pPr>
            <w:r>
              <w:rPr>
                <w:rFonts w:hint="eastAsia" w:ascii="仿宋_GB2312" w:hAnsi="仿宋_GB2312" w:eastAsia="仿宋_GB2312" w:cs="仿宋_GB2312"/>
                <w:b/>
                <w:bCs/>
                <w:kern w:val="0"/>
                <w:sz w:val="24"/>
                <w:szCs w:val="24"/>
                <w:lang w:val="en-US" w:eastAsia="zh-CN" w:bidi="ar"/>
              </w:rPr>
              <w:t>年度</w:t>
            </w:r>
          </w:p>
        </w:tc>
        <w:tc>
          <w:tcPr>
            <w:tcW w:w="3497" w:type="dxa"/>
            <w:shd w:val="clear" w:color="auto" w:fill="auto"/>
            <w:vAlign w:val="center"/>
          </w:tcPr>
          <w:p w14:paraId="18E5429B">
            <w:pPr>
              <w:keepNext w:val="0"/>
              <w:keepLines w:val="0"/>
              <w:widowControl/>
              <w:suppressLineNumbers w:val="0"/>
              <w:spacing w:after="0" w:line="240" w:lineRule="auto"/>
              <w:jc w:val="left"/>
              <w:rPr>
                <w:rFonts w:hint="eastAsia" w:ascii="仿宋_GB2312" w:hAnsi="仿宋_GB2312" w:eastAsia="仿宋_GB2312" w:cs="仿宋_GB2312"/>
                <w:b/>
                <w:bCs/>
                <w:kern w:val="2"/>
                <w:sz w:val="24"/>
                <w:szCs w:val="24"/>
                <w:lang w:val="en-US" w:eastAsia="zh-CN" w:bidi="ar-SA"/>
              </w:rPr>
            </w:pPr>
            <w:r>
              <w:rPr>
                <w:rFonts w:hint="eastAsia" w:ascii="仿宋_GB2312" w:hAnsi="仿宋_GB2312" w:eastAsia="仿宋_GB2312" w:cs="仿宋_GB2312"/>
                <w:b/>
                <w:bCs/>
                <w:kern w:val="0"/>
                <w:sz w:val="24"/>
                <w:szCs w:val="24"/>
                <w:lang w:val="en-US" w:eastAsia="zh-CN" w:bidi="ar"/>
              </w:rPr>
              <w:t>对大陆及香港出口额</w:t>
            </w:r>
          </w:p>
        </w:tc>
        <w:tc>
          <w:tcPr>
            <w:tcW w:w="2643" w:type="dxa"/>
            <w:shd w:val="clear" w:color="auto" w:fill="auto"/>
            <w:vAlign w:val="center"/>
          </w:tcPr>
          <w:p w14:paraId="3233EB8E">
            <w:pPr>
              <w:keepNext w:val="0"/>
              <w:keepLines w:val="0"/>
              <w:widowControl/>
              <w:suppressLineNumbers w:val="0"/>
              <w:spacing w:after="0" w:line="240" w:lineRule="auto"/>
              <w:jc w:val="left"/>
              <w:rPr>
                <w:rFonts w:hint="eastAsia" w:ascii="仿宋_GB2312" w:hAnsi="仿宋_GB2312" w:eastAsia="仿宋_GB2312" w:cs="仿宋_GB2312"/>
                <w:b/>
                <w:bCs/>
                <w:kern w:val="2"/>
                <w:sz w:val="24"/>
                <w:szCs w:val="24"/>
                <w:lang w:val="en-US" w:eastAsia="zh-CN" w:bidi="ar-SA"/>
              </w:rPr>
            </w:pPr>
            <w:r>
              <w:rPr>
                <w:rFonts w:hint="eastAsia" w:ascii="仿宋_GB2312" w:hAnsi="仿宋_GB2312" w:eastAsia="仿宋_GB2312" w:cs="仿宋_GB2312"/>
                <w:b/>
                <w:bCs/>
                <w:kern w:val="0"/>
                <w:sz w:val="24"/>
                <w:szCs w:val="24"/>
                <w:lang w:val="en-US" w:eastAsia="zh-CN" w:bidi="ar"/>
              </w:rPr>
              <w:t>占台湾总出口比重</w:t>
            </w:r>
          </w:p>
        </w:tc>
      </w:tr>
      <w:tr w14:paraId="6F9FD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1797" w:type="dxa"/>
            <w:shd w:val="clear" w:color="auto" w:fill="auto"/>
            <w:vAlign w:val="center"/>
          </w:tcPr>
          <w:p w14:paraId="753AC500">
            <w:pPr>
              <w:keepNext w:val="0"/>
              <w:keepLines w:val="0"/>
              <w:widowControl/>
              <w:suppressLineNumbers w:val="0"/>
              <w:spacing w:after="0" w:line="240" w:lineRule="auto"/>
              <w:jc w:val="left"/>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0"/>
                <w:sz w:val="24"/>
                <w:szCs w:val="24"/>
                <w:lang w:val="en-US" w:eastAsia="zh-CN" w:bidi="ar"/>
              </w:rPr>
              <w:t>2022年</w:t>
            </w:r>
          </w:p>
        </w:tc>
        <w:tc>
          <w:tcPr>
            <w:tcW w:w="3497" w:type="dxa"/>
            <w:shd w:val="clear" w:color="auto" w:fill="auto"/>
            <w:vAlign w:val="center"/>
          </w:tcPr>
          <w:p w14:paraId="1AD6B8ED">
            <w:pPr>
              <w:keepNext w:val="0"/>
              <w:keepLines w:val="0"/>
              <w:widowControl/>
              <w:suppressLineNumbers w:val="0"/>
              <w:spacing w:after="0" w:line="240" w:lineRule="auto"/>
              <w:jc w:val="left"/>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0"/>
                <w:sz w:val="24"/>
                <w:szCs w:val="24"/>
                <w:lang w:val="en-US" w:eastAsia="zh-CN" w:bidi="ar"/>
              </w:rPr>
              <w:t>约1889亿美元</w:t>
            </w:r>
          </w:p>
        </w:tc>
        <w:tc>
          <w:tcPr>
            <w:tcW w:w="2643" w:type="dxa"/>
            <w:shd w:val="clear" w:color="auto" w:fill="auto"/>
            <w:vAlign w:val="center"/>
          </w:tcPr>
          <w:p w14:paraId="2C453D2A">
            <w:pPr>
              <w:keepNext w:val="0"/>
              <w:keepLines w:val="0"/>
              <w:widowControl/>
              <w:suppressLineNumbers w:val="0"/>
              <w:spacing w:after="0" w:line="240" w:lineRule="auto"/>
              <w:jc w:val="left"/>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0"/>
                <w:sz w:val="24"/>
                <w:szCs w:val="24"/>
                <w:lang w:val="en-US" w:eastAsia="zh-CN" w:bidi="ar"/>
              </w:rPr>
              <w:t>约39.4%</w:t>
            </w:r>
          </w:p>
        </w:tc>
      </w:tr>
      <w:tr w14:paraId="51416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797" w:type="dxa"/>
            <w:shd w:val="clear" w:color="auto" w:fill="auto"/>
            <w:vAlign w:val="center"/>
          </w:tcPr>
          <w:p w14:paraId="1CAB7BA6">
            <w:pPr>
              <w:keepNext w:val="0"/>
              <w:keepLines w:val="0"/>
              <w:widowControl/>
              <w:suppressLineNumbers w:val="0"/>
              <w:spacing w:after="0" w:line="240" w:lineRule="auto"/>
              <w:jc w:val="left"/>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0"/>
                <w:sz w:val="24"/>
                <w:szCs w:val="24"/>
                <w:lang w:val="en-US" w:eastAsia="zh-CN" w:bidi="ar"/>
              </w:rPr>
              <w:t>2023年</w:t>
            </w:r>
          </w:p>
        </w:tc>
        <w:tc>
          <w:tcPr>
            <w:tcW w:w="3497" w:type="dxa"/>
            <w:shd w:val="clear" w:color="auto" w:fill="auto"/>
            <w:vAlign w:val="center"/>
          </w:tcPr>
          <w:p w14:paraId="78344F17">
            <w:pPr>
              <w:keepNext w:val="0"/>
              <w:keepLines w:val="0"/>
              <w:widowControl/>
              <w:suppressLineNumbers w:val="0"/>
              <w:spacing w:after="0" w:line="240" w:lineRule="auto"/>
              <w:jc w:val="left"/>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0"/>
                <w:sz w:val="24"/>
                <w:szCs w:val="24"/>
                <w:lang w:val="en-US" w:eastAsia="zh-CN" w:bidi="ar"/>
              </w:rPr>
              <w:t>约1555亿美元</w:t>
            </w:r>
          </w:p>
        </w:tc>
        <w:tc>
          <w:tcPr>
            <w:tcW w:w="2643" w:type="dxa"/>
            <w:shd w:val="clear" w:color="auto" w:fill="auto"/>
            <w:vAlign w:val="center"/>
          </w:tcPr>
          <w:p w14:paraId="672E3AF3">
            <w:pPr>
              <w:keepNext w:val="0"/>
              <w:keepLines w:val="0"/>
              <w:widowControl/>
              <w:suppressLineNumbers w:val="0"/>
              <w:spacing w:after="0" w:line="240" w:lineRule="auto"/>
              <w:jc w:val="left"/>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0"/>
                <w:sz w:val="24"/>
                <w:szCs w:val="24"/>
                <w:lang w:val="en-US" w:eastAsia="zh-CN" w:bidi="ar"/>
              </w:rPr>
              <w:t>约35.9%</w:t>
            </w:r>
          </w:p>
        </w:tc>
      </w:tr>
      <w:tr w14:paraId="3E928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797" w:type="dxa"/>
            <w:shd w:val="clear" w:color="auto" w:fill="auto"/>
            <w:vAlign w:val="center"/>
          </w:tcPr>
          <w:p w14:paraId="109E2116">
            <w:pPr>
              <w:keepNext w:val="0"/>
              <w:keepLines w:val="0"/>
              <w:widowControl/>
              <w:suppressLineNumbers w:val="0"/>
              <w:spacing w:after="0" w:line="240" w:lineRule="auto"/>
              <w:jc w:val="left"/>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0"/>
                <w:sz w:val="24"/>
                <w:szCs w:val="24"/>
                <w:lang w:val="en-US" w:eastAsia="zh-CN" w:bidi="ar"/>
              </w:rPr>
              <w:t>2024年</w:t>
            </w:r>
          </w:p>
        </w:tc>
        <w:tc>
          <w:tcPr>
            <w:tcW w:w="3497" w:type="dxa"/>
            <w:shd w:val="clear" w:color="auto" w:fill="auto"/>
            <w:vAlign w:val="center"/>
          </w:tcPr>
          <w:p w14:paraId="02BD3A09">
            <w:pPr>
              <w:keepNext w:val="0"/>
              <w:keepLines w:val="0"/>
              <w:widowControl/>
              <w:suppressLineNumbers w:val="0"/>
              <w:spacing w:after="0" w:line="240" w:lineRule="auto"/>
              <w:jc w:val="left"/>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0"/>
                <w:sz w:val="24"/>
                <w:szCs w:val="24"/>
                <w:lang w:val="en-US" w:eastAsia="zh-CN" w:bidi="ar"/>
              </w:rPr>
              <w:t>约1520亿美元</w:t>
            </w:r>
          </w:p>
        </w:tc>
        <w:tc>
          <w:tcPr>
            <w:tcW w:w="2643" w:type="dxa"/>
            <w:shd w:val="clear" w:color="auto" w:fill="auto"/>
            <w:vAlign w:val="center"/>
          </w:tcPr>
          <w:p w14:paraId="3CA2CF71">
            <w:pPr>
              <w:keepNext w:val="0"/>
              <w:keepLines w:val="0"/>
              <w:widowControl/>
              <w:suppressLineNumbers w:val="0"/>
              <w:spacing w:after="0" w:line="240" w:lineRule="auto"/>
              <w:jc w:val="left"/>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0"/>
                <w:sz w:val="24"/>
                <w:szCs w:val="24"/>
                <w:lang w:val="en-US" w:eastAsia="zh-CN" w:bidi="ar"/>
              </w:rPr>
              <w:t>约32.0%</w:t>
            </w:r>
          </w:p>
        </w:tc>
      </w:tr>
      <w:tr w14:paraId="24F2E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1797" w:type="dxa"/>
            <w:shd w:val="clear" w:color="auto" w:fill="auto"/>
            <w:vAlign w:val="center"/>
          </w:tcPr>
          <w:p w14:paraId="6F5CE83B">
            <w:pPr>
              <w:keepNext w:val="0"/>
              <w:keepLines w:val="0"/>
              <w:widowControl/>
              <w:suppressLineNumbers w:val="0"/>
              <w:spacing w:after="0" w:line="240" w:lineRule="auto"/>
              <w:jc w:val="left"/>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0"/>
                <w:sz w:val="24"/>
                <w:szCs w:val="24"/>
                <w:lang w:val="en-US" w:eastAsia="zh-CN" w:bidi="ar"/>
              </w:rPr>
              <w:t>2025年</w:t>
            </w:r>
          </w:p>
        </w:tc>
        <w:tc>
          <w:tcPr>
            <w:tcW w:w="3497" w:type="dxa"/>
            <w:shd w:val="clear" w:color="auto" w:fill="auto"/>
            <w:vAlign w:val="center"/>
          </w:tcPr>
          <w:p w14:paraId="03F0136F">
            <w:pPr>
              <w:keepNext w:val="0"/>
              <w:keepLines w:val="0"/>
              <w:widowControl/>
              <w:suppressLineNumbers w:val="0"/>
              <w:spacing w:after="0" w:line="240" w:lineRule="auto"/>
              <w:jc w:val="left"/>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0"/>
                <w:sz w:val="24"/>
                <w:szCs w:val="24"/>
                <w:lang w:val="en-US" w:eastAsia="zh-CN" w:bidi="ar"/>
              </w:rPr>
              <w:t>约1792亿美元</w:t>
            </w:r>
          </w:p>
        </w:tc>
        <w:tc>
          <w:tcPr>
            <w:tcW w:w="2643" w:type="dxa"/>
            <w:shd w:val="clear" w:color="auto" w:fill="auto"/>
            <w:vAlign w:val="center"/>
          </w:tcPr>
          <w:p w14:paraId="070AA065">
            <w:pPr>
              <w:keepNext w:val="0"/>
              <w:keepLines w:val="0"/>
              <w:widowControl/>
              <w:suppressLineNumbers w:val="0"/>
              <w:spacing w:after="0" w:line="240" w:lineRule="auto"/>
              <w:jc w:val="left"/>
              <w:rPr>
                <w:rFonts w:hint="eastAsia" w:ascii="仿宋_GB2312" w:hAnsi="仿宋_GB2312" w:eastAsia="仿宋_GB2312" w:cs="仿宋_GB2312"/>
                <w:kern w:val="2"/>
                <w:sz w:val="24"/>
                <w:szCs w:val="24"/>
                <w:lang w:val="en-US" w:eastAsia="zh-CN" w:bidi="ar-SA"/>
              </w:rPr>
            </w:pPr>
            <w:r>
              <w:rPr>
                <w:rFonts w:hint="eastAsia" w:ascii="仿宋_GB2312" w:hAnsi="仿宋_GB2312" w:eastAsia="仿宋_GB2312" w:cs="仿宋_GB2312"/>
                <w:kern w:val="0"/>
                <w:sz w:val="24"/>
                <w:szCs w:val="24"/>
                <w:lang w:val="en-US" w:eastAsia="zh-CN" w:bidi="ar"/>
              </w:rPr>
              <w:t>约28.0%</w:t>
            </w:r>
          </w:p>
        </w:tc>
      </w:tr>
    </w:tbl>
    <w:p w14:paraId="56C3117B">
      <w:pPr>
        <w:keepNext w:val="0"/>
        <w:keepLines w:val="0"/>
        <w:pageBreakBefore w:val="0"/>
        <w:widowControl w:val="0"/>
        <w:kinsoku/>
        <w:wordWrap/>
        <w:overflowPunct/>
        <w:topLinePunct w:val="0"/>
        <w:autoSpaceDE/>
        <w:autoSpaceDN/>
        <w:bidi w:val="0"/>
        <w:adjustRightInd/>
        <w:snapToGrid/>
        <w:spacing w:line="520" w:lineRule="exact"/>
        <w:ind w:firstLine="2240" w:firstLineChars="8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数据来源：台湾经济部</w:t>
      </w:r>
    </w:p>
    <w:p w14:paraId="7C3315C5">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sz w:val="28"/>
          <w:szCs w:val="28"/>
          <w:lang w:val="en-US" w:eastAsia="zh-CN"/>
        </w:rPr>
        <w:t>尽管对大陆及香港出口的绝对额在2025年因集成电路需求回暖有所反弹，但占比从2022年的近40%持续下降至约28%，首次被对美出口超越。</w:t>
      </w:r>
      <w:r>
        <w:rPr>
          <w:rFonts w:hint="eastAsia" w:ascii="仿宋_GB2312" w:hAnsi="仿宋_GB2312" w:eastAsia="仿宋_GB2312" w:cs="仿宋_GB2312"/>
          <w:b/>
          <w:bCs/>
          <w:sz w:val="28"/>
          <w:szCs w:val="28"/>
          <w:lang w:val="en-US" w:eastAsia="zh-CN"/>
        </w:rPr>
        <w:t>这是台湾出口市场格局数十年来的结构性历史转变。</w:t>
      </w:r>
    </w:p>
    <w:p w14:paraId="3E07022D">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值得关注的是，这一市场结构的调整，只是将依赖对象从一个大国换成了另一个大国。</w:t>
      </w:r>
      <w:r>
        <w:rPr>
          <w:rFonts w:hint="eastAsia" w:ascii="仿宋_GB2312" w:hAnsi="仿宋_GB2312" w:eastAsia="仿宋_GB2312" w:cs="仿宋_GB2312"/>
          <w:b/>
          <w:bCs/>
          <w:sz w:val="28"/>
          <w:szCs w:val="28"/>
          <w:lang w:val="en-US" w:eastAsia="zh-CN"/>
        </w:rPr>
        <w:t>对大陆出口</w:t>
      </w:r>
      <w:r>
        <w:rPr>
          <w:rFonts w:hint="eastAsia" w:ascii="仿宋_GB2312" w:hAnsi="仿宋_GB2312" w:eastAsia="仿宋_GB2312" w:cs="仿宋_GB2312"/>
          <w:sz w:val="28"/>
          <w:szCs w:val="28"/>
          <w:lang w:val="en-US" w:eastAsia="zh-CN"/>
        </w:rPr>
        <w:t>，台湾在电子产品、精密零件等领域具有较强的不可替代性；</w:t>
      </w:r>
      <w:r>
        <w:rPr>
          <w:rFonts w:hint="eastAsia" w:ascii="仿宋_GB2312" w:hAnsi="仿宋_GB2312" w:eastAsia="仿宋_GB2312" w:cs="仿宋_GB2312"/>
          <w:b/>
          <w:bCs/>
          <w:sz w:val="28"/>
          <w:szCs w:val="28"/>
          <w:lang w:val="en-US" w:eastAsia="zh-CN"/>
        </w:rPr>
        <w:t>对美出口</w:t>
      </w:r>
      <w:r>
        <w:rPr>
          <w:rFonts w:hint="eastAsia" w:ascii="仿宋_GB2312" w:hAnsi="仿宋_GB2312" w:eastAsia="仿宋_GB2312" w:cs="仿宋_GB2312"/>
          <w:sz w:val="28"/>
          <w:szCs w:val="28"/>
          <w:lang w:val="en-US" w:eastAsia="zh-CN"/>
        </w:rPr>
        <w:t>，台湾本质上是美国科技巨头产业链的下游制造环节，其主动权和议价能力相对有限。台积电被要求赴美大规模建厂（投资规模被要求扩大至3500亿至5500亿美元），这一事实已清晰说明：当美国认为有必要时，可以要求台湾将最核心的产业优势向本土转移，且台湾的回旋空间极为有限。</w:t>
      </w:r>
    </w:p>
    <w:p w14:paraId="350B35C3">
      <w:pPr>
        <w:keepNext w:val="0"/>
        <w:keepLines w:val="0"/>
        <w:pageBreakBefore w:val="0"/>
        <w:widowControl w:val="0"/>
        <w:kinsoku/>
        <w:wordWrap/>
        <w:overflowPunct/>
        <w:topLinePunct w:val="0"/>
        <w:autoSpaceDE/>
        <w:autoSpaceDN/>
        <w:bidi w:val="0"/>
        <w:adjustRightInd/>
        <w:snapToGrid/>
        <w:spacing w:line="520" w:lineRule="exact"/>
        <w:ind w:firstLine="281" w:firstLineChars="100"/>
        <w:textAlignment w:val="auto"/>
        <w:rPr>
          <w:rFonts w:hint="default"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表4：台湾出口对市场结构性调整</w:t>
      </w:r>
    </w:p>
    <w:tbl>
      <w:tblPr>
        <w:tblStyle w:val="6"/>
        <w:tblW w:w="8419" w:type="dxa"/>
        <w:tblInd w:w="3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9"/>
        <w:gridCol w:w="3056"/>
        <w:gridCol w:w="3524"/>
      </w:tblGrid>
      <w:tr w14:paraId="2C12A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1839" w:type="dxa"/>
          </w:tcPr>
          <w:p w14:paraId="471755F7">
            <w:pPr>
              <w:keepNext w:val="0"/>
              <w:keepLines w:val="0"/>
              <w:widowControl/>
              <w:suppressLineNumbers w:val="0"/>
              <w:spacing w:after="0" w:line="240" w:lineRule="auto"/>
              <w:jc w:val="left"/>
              <w:rPr>
                <w:rFonts w:hint="eastAsia" w:ascii="仿宋_GB2312" w:hAnsi="仿宋_GB2312" w:eastAsia="仿宋_GB2312" w:cs="仿宋_GB2312"/>
                <w:b w:val="0"/>
                <w:bCs w:val="0"/>
                <w:kern w:val="0"/>
                <w:sz w:val="24"/>
                <w:szCs w:val="24"/>
                <w:lang w:val="en-US" w:eastAsia="zh-CN" w:bidi="ar"/>
              </w:rPr>
            </w:pPr>
          </w:p>
        </w:tc>
        <w:tc>
          <w:tcPr>
            <w:tcW w:w="3056" w:type="dxa"/>
          </w:tcPr>
          <w:p w14:paraId="6F124DCF">
            <w:pPr>
              <w:keepNext w:val="0"/>
              <w:keepLines w:val="0"/>
              <w:widowControl/>
              <w:suppressLineNumbers w:val="0"/>
              <w:spacing w:after="0" w:line="240" w:lineRule="auto"/>
              <w:jc w:val="left"/>
              <w:rPr>
                <w:rFonts w:hint="default" w:ascii="仿宋_GB2312" w:hAnsi="仿宋_GB2312" w:eastAsia="仿宋_GB2312" w:cs="仿宋_GB2312"/>
                <w:b w:val="0"/>
                <w:bCs w:val="0"/>
                <w:kern w:val="0"/>
                <w:sz w:val="24"/>
                <w:szCs w:val="24"/>
                <w:lang w:val="en-US" w:eastAsia="zh-CN" w:bidi="ar"/>
              </w:rPr>
            </w:pPr>
            <w:r>
              <w:rPr>
                <w:rFonts w:hint="eastAsia" w:ascii="仿宋_GB2312" w:hAnsi="仿宋_GB2312" w:eastAsia="仿宋_GB2312" w:cs="仿宋_GB2312"/>
                <w:b/>
                <w:bCs/>
                <w:color w:val="auto"/>
                <w:kern w:val="0"/>
                <w:sz w:val="28"/>
                <w:szCs w:val="28"/>
                <w:lang w:val="en-US" w:eastAsia="zh-CN" w:bidi="ar"/>
              </w:rPr>
              <w:t>旧依赖：对大陆出口</w:t>
            </w:r>
          </w:p>
        </w:tc>
        <w:tc>
          <w:tcPr>
            <w:tcW w:w="3524" w:type="dxa"/>
          </w:tcPr>
          <w:p w14:paraId="6938C2EE">
            <w:pPr>
              <w:keepNext w:val="0"/>
              <w:keepLines w:val="0"/>
              <w:widowControl/>
              <w:suppressLineNumbers w:val="0"/>
              <w:spacing w:after="0" w:line="240" w:lineRule="auto"/>
              <w:jc w:val="left"/>
              <w:rPr>
                <w:rFonts w:hint="default" w:ascii="仿宋_GB2312" w:hAnsi="仿宋_GB2312" w:eastAsia="仿宋_GB2312" w:cs="仿宋_GB2312"/>
                <w:b w:val="0"/>
                <w:bCs w:val="0"/>
                <w:kern w:val="0"/>
                <w:sz w:val="24"/>
                <w:szCs w:val="24"/>
                <w:lang w:val="en-US" w:eastAsia="zh-CN" w:bidi="ar"/>
              </w:rPr>
            </w:pPr>
            <w:r>
              <w:rPr>
                <w:rFonts w:hint="eastAsia" w:ascii="仿宋_GB2312" w:hAnsi="仿宋_GB2312" w:eastAsia="仿宋_GB2312" w:cs="仿宋_GB2312"/>
                <w:b/>
                <w:bCs/>
                <w:color w:val="auto"/>
                <w:kern w:val="0"/>
                <w:sz w:val="28"/>
                <w:szCs w:val="28"/>
                <w:lang w:val="en-US" w:eastAsia="zh-CN" w:bidi="ar"/>
              </w:rPr>
              <w:t>新依赖：对美出口</w:t>
            </w:r>
          </w:p>
        </w:tc>
      </w:tr>
      <w:tr w14:paraId="65C00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9" w:type="dxa"/>
          </w:tcPr>
          <w:p w14:paraId="7E96F983">
            <w:pPr>
              <w:keepNext w:val="0"/>
              <w:keepLines w:val="0"/>
              <w:widowControl/>
              <w:suppressLineNumbers w:val="0"/>
              <w:spacing w:after="0" w:line="240" w:lineRule="auto"/>
              <w:jc w:val="left"/>
              <w:rPr>
                <w:rFonts w:hint="default" w:ascii="仿宋_GB2312" w:hAnsi="仿宋_GB2312" w:eastAsia="仿宋_GB2312" w:cs="仿宋_GB2312"/>
                <w:b w:val="0"/>
                <w:bCs w:val="0"/>
                <w:kern w:val="0"/>
                <w:sz w:val="24"/>
                <w:szCs w:val="24"/>
                <w:lang w:val="en-US" w:eastAsia="zh-CN" w:bidi="ar"/>
              </w:rPr>
            </w:pPr>
            <w:r>
              <w:rPr>
                <w:rFonts w:hint="eastAsia" w:ascii="仿宋_GB2312" w:hAnsi="仿宋_GB2312" w:eastAsia="仿宋_GB2312" w:cs="仿宋_GB2312"/>
                <w:b/>
                <w:bCs/>
                <w:kern w:val="0"/>
                <w:sz w:val="24"/>
                <w:szCs w:val="24"/>
                <w:lang w:val="en-US" w:eastAsia="zh-CN" w:bidi="ar"/>
              </w:rPr>
              <w:t>核心特征</w:t>
            </w:r>
          </w:p>
        </w:tc>
        <w:tc>
          <w:tcPr>
            <w:tcW w:w="3056" w:type="dxa"/>
          </w:tcPr>
          <w:p w14:paraId="2CB1E571">
            <w:pPr>
              <w:keepNext w:val="0"/>
              <w:keepLines w:val="0"/>
              <w:widowControl/>
              <w:suppressLineNumbers w:val="0"/>
              <w:spacing w:after="0" w:line="240" w:lineRule="auto"/>
              <w:jc w:val="left"/>
              <w:rPr>
                <w:rFonts w:hint="default" w:ascii="仿宋_GB2312" w:hAnsi="仿宋_GB2312" w:eastAsia="仿宋_GB2312" w:cs="仿宋_GB2312"/>
                <w:b w:val="0"/>
                <w:bCs w:val="0"/>
                <w:kern w:val="0"/>
                <w:sz w:val="24"/>
                <w:szCs w:val="24"/>
                <w:lang w:val="en-US" w:eastAsia="zh-CN" w:bidi="ar"/>
              </w:rPr>
            </w:pPr>
            <w:r>
              <w:rPr>
                <w:rFonts w:hint="eastAsia" w:ascii="仿宋_GB2312" w:hAnsi="仿宋_GB2312" w:eastAsia="仿宋_GB2312" w:cs="仿宋_GB2312"/>
                <w:b w:val="0"/>
                <w:bCs w:val="0"/>
                <w:kern w:val="0"/>
                <w:sz w:val="24"/>
                <w:szCs w:val="24"/>
                <w:lang w:val="en-US" w:eastAsia="zh-CN" w:bidi="ar"/>
              </w:rPr>
              <w:t>电子产品、精密零件</w:t>
            </w:r>
          </w:p>
        </w:tc>
        <w:tc>
          <w:tcPr>
            <w:tcW w:w="3524" w:type="dxa"/>
          </w:tcPr>
          <w:p w14:paraId="27765236">
            <w:pPr>
              <w:keepNext w:val="0"/>
              <w:keepLines w:val="0"/>
              <w:widowControl/>
              <w:suppressLineNumbers w:val="0"/>
              <w:spacing w:after="0" w:line="240" w:lineRule="auto"/>
              <w:jc w:val="left"/>
              <w:rPr>
                <w:rFonts w:hint="default" w:ascii="仿宋_GB2312" w:hAnsi="仿宋_GB2312" w:eastAsia="仿宋_GB2312" w:cs="仿宋_GB2312"/>
                <w:b w:val="0"/>
                <w:bCs w:val="0"/>
                <w:kern w:val="0"/>
                <w:sz w:val="24"/>
                <w:szCs w:val="24"/>
                <w:lang w:val="en-US" w:eastAsia="zh-CN" w:bidi="ar"/>
              </w:rPr>
            </w:pPr>
            <w:r>
              <w:rPr>
                <w:rFonts w:hint="eastAsia" w:ascii="仿宋_GB2312" w:hAnsi="仿宋_GB2312" w:eastAsia="仿宋_GB2312" w:cs="仿宋_GB2312"/>
                <w:b w:val="0"/>
                <w:bCs w:val="0"/>
                <w:kern w:val="0"/>
                <w:sz w:val="24"/>
                <w:szCs w:val="24"/>
                <w:lang w:val="en-US" w:eastAsia="zh-CN" w:bidi="ar"/>
              </w:rPr>
              <w:t>美系科技巨头供应链下游制造环节</w:t>
            </w:r>
          </w:p>
        </w:tc>
      </w:tr>
      <w:tr w14:paraId="59305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9" w:type="dxa"/>
          </w:tcPr>
          <w:p w14:paraId="5FFB149A">
            <w:pPr>
              <w:keepNext w:val="0"/>
              <w:keepLines w:val="0"/>
              <w:widowControl/>
              <w:suppressLineNumbers w:val="0"/>
              <w:spacing w:after="0" w:line="240" w:lineRule="auto"/>
              <w:jc w:val="left"/>
              <w:rPr>
                <w:rFonts w:hint="default" w:ascii="仿宋_GB2312" w:hAnsi="仿宋_GB2312" w:eastAsia="仿宋_GB2312" w:cs="仿宋_GB2312"/>
                <w:b w:val="0"/>
                <w:bCs w:val="0"/>
                <w:kern w:val="0"/>
                <w:sz w:val="24"/>
                <w:szCs w:val="24"/>
                <w:lang w:val="en-US" w:eastAsia="zh-CN" w:bidi="ar"/>
              </w:rPr>
            </w:pPr>
            <w:r>
              <w:rPr>
                <w:rFonts w:hint="eastAsia" w:ascii="仿宋_GB2312" w:hAnsi="仿宋_GB2312" w:eastAsia="仿宋_GB2312" w:cs="仿宋_GB2312"/>
                <w:b/>
                <w:bCs/>
                <w:kern w:val="0"/>
                <w:sz w:val="24"/>
                <w:szCs w:val="24"/>
                <w:lang w:val="en-US" w:eastAsia="zh-CN" w:bidi="ar"/>
              </w:rPr>
              <w:t>产业链地位</w:t>
            </w:r>
          </w:p>
        </w:tc>
        <w:tc>
          <w:tcPr>
            <w:tcW w:w="3056" w:type="dxa"/>
          </w:tcPr>
          <w:p w14:paraId="47BC2EA6">
            <w:pPr>
              <w:keepNext w:val="0"/>
              <w:keepLines w:val="0"/>
              <w:widowControl/>
              <w:suppressLineNumbers w:val="0"/>
              <w:spacing w:after="0" w:line="240" w:lineRule="auto"/>
              <w:jc w:val="left"/>
              <w:rPr>
                <w:rFonts w:hint="default" w:ascii="仿宋_GB2312" w:hAnsi="仿宋_GB2312" w:eastAsia="仿宋_GB2312" w:cs="仿宋_GB2312"/>
                <w:b w:val="0"/>
                <w:bCs w:val="0"/>
                <w:kern w:val="0"/>
                <w:sz w:val="24"/>
                <w:szCs w:val="24"/>
                <w:lang w:val="en-US" w:eastAsia="zh-CN" w:bidi="ar"/>
              </w:rPr>
            </w:pPr>
            <w:r>
              <w:rPr>
                <w:rFonts w:hint="eastAsia" w:ascii="仿宋_GB2312" w:hAnsi="仿宋_GB2312" w:eastAsia="仿宋_GB2312" w:cs="仿宋_GB2312"/>
                <w:b w:val="0"/>
                <w:bCs w:val="0"/>
                <w:kern w:val="0"/>
                <w:sz w:val="24"/>
                <w:szCs w:val="24"/>
                <w:lang w:val="en-US" w:eastAsia="zh-CN" w:bidi="ar"/>
              </w:rPr>
              <w:t>具备较强技术不可替代性</w:t>
            </w:r>
          </w:p>
        </w:tc>
        <w:tc>
          <w:tcPr>
            <w:tcW w:w="3524" w:type="dxa"/>
          </w:tcPr>
          <w:p w14:paraId="783C632C">
            <w:pPr>
              <w:keepNext w:val="0"/>
              <w:keepLines w:val="0"/>
              <w:widowControl/>
              <w:suppressLineNumbers w:val="0"/>
              <w:spacing w:after="0" w:line="240" w:lineRule="auto"/>
              <w:jc w:val="left"/>
              <w:rPr>
                <w:rFonts w:hint="eastAsia" w:ascii="仿宋_GB2312" w:hAnsi="仿宋_GB2312" w:eastAsia="仿宋_GB2312" w:cs="仿宋_GB2312"/>
                <w:b w:val="0"/>
                <w:bCs w:val="0"/>
                <w:kern w:val="0"/>
                <w:sz w:val="24"/>
                <w:szCs w:val="24"/>
                <w:lang w:val="en-US" w:eastAsia="zh-CN" w:bidi="ar"/>
              </w:rPr>
            </w:pPr>
            <w:r>
              <w:rPr>
                <w:rFonts w:hint="eastAsia" w:ascii="仿宋_GB2312" w:hAnsi="仿宋_GB2312" w:eastAsia="仿宋_GB2312" w:cs="仿宋_GB2312"/>
                <w:b w:val="0"/>
                <w:bCs w:val="0"/>
                <w:kern w:val="0"/>
                <w:sz w:val="24"/>
                <w:szCs w:val="24"/>
                <w:lang w:val="en-US" w:eastAsia="zh-CN" w:bidi="ar"/>
              </w:rPr>
              <w:t>依附性代工与组装</w:t>
            </w:r>
          </w:p>
          <w:p w14:paraId="68E4544C">
            <w:pPr>
              <w:keepNext w:val="0"/>
              <w:keepLines w:val="0"/>
              <w:widowControl/>
              <w:suppressLineNumbers w:val="0"/>
              <w:spacing w:after="0" w:line="240" w:lineRule="auto"/>
              <w:jc w:val="left"/>
              <w:rPr>
                <w:rFonts w:hint="default" w:ascii="仿宋_GB2312" w:hAnsi="仿宋_GB2312" w:eastAsia="仿宋_GB2312" w:cs="仿宋_GB2312"/>
                <w:b w:val="0"/>
                <w:bCs w:val="0"/>
                <w:kern w:val="0"/>
                <w:sz w:val="24"/>
                <w:szCs w:val="24"/>
                <w:lang w:val="en-US" w:eastAsia="zh-CN" w:bidi="ar"/>
              </w:rPr>
            </w:pPr>
          </w:p>
        </w:tc>
      </w:tr>
      <w:tr w14:paraId="48250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1839" w:type="dxa"/>
          </w:tcPr>
          <w:p w14:paraId="0889F687">
            <w:pPr>
              <w:keepNext w:val="0"/>
              <w:keepLines w:val="0"/>
              <w:widowControl/>
              <w:suppressLineNumbers w:val="0"/>
              <w:spacing w:after="0" w:line="240" w:lineRule="auto"/>
              <w:jc w:val="left"/>
              <w:rPr>
                <w:rFonts w:hint="default" w:ascii="仿宋_GB2312" w:hAnsi="仿宋_GB2312" w:eastAsia="仿宋_GB2312" w:cs="仿宋_GB2312"/>
                <w:b w:val="0"/>
                <w:bCs w:val="0"/>
                <w:kern w:val="0"/>
                <w:sz w:val="24"/>
                <w:szCs w:val="24"/>
                <w:lang w:val="en-US" w:eastAsia="zh-CN" w:bidi="ar"/>
              </w:rPr>
            </w:pPr>
            <w:r>
              <w:rPr>
                <w:rFonts w:hint="eastAsia" w:ascii="仿宋_GB2312" w:hAnsi="仿宋_GB2312" w:eastAsia="仿宋_GB2312" w:cs="仿宋_GB2312"/>
                <w:b/>
                <w:bCs/>
                <w:kern w:val="0"/>
                <w:sz w:val="24"/>
                <w:szCs w:val="24"/>
                <w:lang w:val="en-US" w:eastAsia="zh-CN" w:bidi="ar"/>
              </w:rPr>
              <w:t>议价能力</w:t>
            </w:r>
          </w:p>
        </w:tc>
        <w:tc>
          <w:tcPr>
            <w:tcW w:w="3056" w:type="dxa"/>
          </w:tcPr>
          <w:p w14:paraId="1390CE8D">
            <w:pPr>
              <w:keepNext w:val="0"/>
              <w:keepLines w:val="0"/>
              <w:widowControl/>
              <w:suppressLineNumbers w:val="0"/>
              <w:spacing w:after="0" w:line="240" w:lineRule="auto"/>
              <w:jc w:val="left"/>
              <w:rPr>
                <w:rFonts w:hint="default" w:ascii="仿宋_GB2312" w:hAnsi="仿宋_GB2312" w:eastAsia="仿宋_GB2312" w:cs="仿宋_GB2312"/>
                <w:b w:val="0"/>
                <w:bCs w:val="0"/>
                <w:kern w:val="0"/>
                <w:sz w:val="24"/>
                <w:szCs w:val="24"/>
                <w:lang w:val="en-US" w:eastAsia="zh-CN" w:bidi="ar"/>
              </w:rPr>
            </w:pPr>
            <w:r>
              <w:rPr>
                <w:rFonts w:hint="eastAsia" w:ascii="仿宋_GB2312" w:hAnsi="仿宋_GB2312" w:eastAsia="仿宋_GB2312" w:cs="仿宋_GB2312"/>
                <w:b w:val="0"/>
                <w:bCs w:val="0"/>
                <w:kern w:val="0"/>
                <w:sz w:val="24"/>
                <w:szCs w:val="24"/>
                <w:lang w:val="en-US" w:eastAsia="zh-CN" w:bidi="ar"/>
              </w:rPr>
              <w:t>较高</w:t>
            </w:r>
          </w:p>
        </w:tc>
        <w:tc>
          <w:tcPr>
            <w:tcW w:w="3524" w:type="dxa"/>
          </w:tcPr>
          <w:p w14:paraId="6CC10D64">
            <w:pPr>
              <w:keepNext w:val="0"/>
              <w:keepLines w:val="0"/>
              <w:widowControl/>
              <w:suppressLineNumbers w:val="0"/>
              <w:spacing w:after="0" w:line="240" w:lineRule="auto"/>
              <w:jc w:val="left"/>
              <w:rPr>
                <w:rFonts w:hint="default" w:ascii="仿宋_GB2312" w:hAnsi="仿宋_GB2312" w:eastAsia="仿宋_GB2312" w:cs="仿宋_GB2312"/>
                <w:b w:val="0"/>
                <w:bCs w:val="0"/>
                <w:kern w:val="0"/>
                <w:sz w:val="24"/>
                <w:szCs w:val="24"/>
                <w:lang w:val="en-US" w:eastAsia="zh-CN" w:bidi="ar"/>
              </w:rPr>
            </w:pPr>
            <w:r>
              <w:rPr>
                <w:rFonts w:hint="eastAsia" w:ascii="仿宋_GB2312" w:hAnsi="仿宋_GB2312" w:eastAsia="仿宋_GB2312" w:cs="仿宋_GB2312"/>
                <w:b w:val="0"/>
                <w:bCs w:val="0"/>
                <w:kern w:val="0"/>
                <w:sz w:val="24"/>
                <w:szCs w:val="24"/>
                <w:lang w:val="en-US" w:eastAsia="zh-CN" w:bidi="ar"/>
              </w:rPr>
              <w:t>受限、缺乏主动权</w:t>
            </w:r>
          </w:p>
        </w:tc>
      </w:tr>
      <w:tr w14:paraId="72DD7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9" w:type="dxa"/>
          </w:tcPr>
          <w:p w14:paraId="3E719C3A">
            <w:pPr>
              <w:keepNext w:val="0"/>
              <w:keepLines w:val="0"/>
              <w:widowControl/>
              <w:suppressLineNumbers w:val="0"/>
              <w:spacing w:after="0" w:line="240" w:lineRule="auto"/>
              <w:jc w:val="left"/>
              <w:rPr>
                <w:rFonts w:hint="default" w:ascii="仿宋_GB2312" w:hAnsi="仿宋_GB2312" w:eastAsia="仿宋_GB2312" w:cs="仿宋_GB2312"/>
                <w:b w:val="0"/>
                <w:bCs w:val="0"/>
                <w:kern w:val="0"/>
                <w:sz w:val="24"/>
                <w:szCs w:val="24"/>
                <w:lang w:val="en-US" w:eastAsia="zh-CN" w:bidi="ar"/>
              </w:rPr>
            </w:pPr>
            <w:r>
              <w:rPr>
                <w:rFonts w:hint="eastAsia" w:ascii="仿宋_GB2312" w:hAnsi="仿宋_GB2312" w:eastAsia="仿宋_GB2312" w:cs="仿宋_GB2312"/>
                <w:b/>
                <w:bCs/>
                <w:kern w:val="0"/>
                <w:sz w:val="24"/>
                <w:szCs w:val="24"/>
                <w:lang w:val="en-US" w:eastAsia="zh-CN" w:bidi="ar"/>
              </w:rPr>
              <w:t>核心系统风险</w:t>
            </w:r>
          </w:p>
        </w:tc>
        <w:tc>
          <w:tcPr>
            <w:tcW w:w="3056" w:type="dxa"/>
          </w:tcPr>
          <w:p w14:paraId="003E6476">
            <w:pPr>
              <w:keepNext w:val="0"/>
              <w:keepLines w:val="0"/>
              <w:widowControl/>
              <w:suppressLineNumbers w:val="0"/>
              <w:spacing w:after="0" w:line="240" w:lineRule="auto"/>
              <w:jc w:val="left"/>
              <w:rPr>
                <w:rFonts w:hint="default" w:ascii="仿宋_GB2312" w:hAnsi="仿宋_GB2312" w:eastAsia="仿宋_GB2312" w:cs="仿宋_GB2312"/>
                <w:b w:val="0"/>
                <w:bCs w:val="0"/>
                <w:kern w:val="0"/>
                <w:sz w:val="24"/>
                <w:szCs w:val="24"/>
                <w:lang w:val="en-US" w:eastAsia="zh-CN" w:bidi="ar"/>
              </w:rPr>
            </w:pPr>
            <w:r>
              <w:rPr>
                <w:rFonts w:hint="eastAsia" w:ascii="仿宋_GB2312" w:hAnsi="仿宋_GB2312" w:eastAsia="仿宋_GB2312" w:cs="仿宋_GB2312"/>
                <w:b w:val="0"/>
                <w:bCs w:val="0"/>
                <w:kern w:val="0"/>
                <w:sz w:val="24"/>
                <w:szCs w:val="24"/>
                <w:lang w:val="en-US" w:eastAsia="zh-CN" w:bidi="ar"/>
              </w:rPr>
              <w:t>比重下滑至28%</w:t>
            </w:r>
          </w:p>
        </w:tc>
        <w:tc>
          <w:tcPr>
            <w:tcW w:w="3524" w:type="dxa"/>
          </w:tcPr>
          <w:p w14:paraId="730E6233">
            <w:pPr>
              <w:keepNext w:val="0"/>
              <w:keepLines w:val="0"/>
              <w:widowControl/>
              <w:suppressLineNumbers w:val="0"/>
              <w:spacing w:after="0" w:line="240" w:lineRule="auto"/>
              <w:jc w:val="left"/>
              <w:rPr>
                <w:rFonts w:hint="default" w:ascii="仿宋_GB2312" w:hAnsi="仿宋_GB2312" w:eastAsia="仿宋_GB2312" w:cs="仿宋_GB2312"/>
                <w:b w:val="0"/>
                <w:bCs w:val="0"/>
                <w:kern w:val="0"/>
                <w:sz w:val="24"/>
                <w:szCs w:val="24"/>
                <w:lang w:val="en-US" w:eastAsia="zh-CN" w:bidi="ar"/>
              </w:rPr>
            </w:pPr>
            <w:r>
              <w:rPr>
                <w:rFonts w:hint="eastAsia" w:ascii="仿宋_GB2312" w:hAnsi="仿宋_GB2312" w:eastAsia="仿宋_GB2312" w:cs="仿宋_GB2312"/>
                <w:b w:val="0"/>
                <w:bCs w:val="0"/>
                <w:kern w:val="0"/>
                <w:sz w:val="24"/>
                <w:szCs w:val="24"/>
                <w:lang w:val="en-US" w:eastAsia="zh-CN" w:bidi="ar"/>
              </w:rPr>
              <w:t>被迫核心技术外迁（台积电赴美建厂规模被要求扩大至3500亿-5500亿美元）</w:t>
            </w:r>
          </w:p>
        </w:tc>
      </w:tr>
    </w:tbl>
    <w:p w14:paraId="48712B3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sz w:val="28"/>
          <w:szCs w:val="28"/>
          <w:lang w:val="en-US" w:eastAsia="zh-CN"/>
        </w:rPr>
      </w:pPr>
      <w:bookmarkStart w:id="0" w:name="_GoBack"/>
      <w:bookmarkEnd w:id="0"/>
    </w:p>
    <w:p w14:paraId="740D5B67">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四、出口繁荣映射的社会问题</w:t>
      </w:r>
    </w:p>
    <w:p w14:paraId="5DBA422E">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（一）产业分化向收入分化的传导</w:t>
      </w:r>
    </w:p>
    <w:p w14:paraId="55FD2401">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出口结构的极化，必然通过就业和收入分配渠道转化为社会层面的贫富分化。</w:t>
      </w:r>
      <w:r>
        <w:rPr>
          <w:rFonts w:hint="eastAsia" w:ascii="仿宋_GB2312" w:hAnsi="仿宋_GB2312" w:eastAsia="仿宋_GB2312" w:cs="仿宋_GB2312"/>
          <w:sz w:val="28"/>
          <w:szCs w:val="28"/>
          <w:lang w:val="en-US" w:eastAsia="zh-CN"/>
        </w:rPr>
        <w:t>台湾股票市场数据显示：台积电市值占台湾全市场总市值的44.3%，排名第二的台达电仅占3.47%，第三的鸿海占2.54%。台积电一家公司的市值，超过台湾资本市场其余五百多只成分股的总和。这种市值集中度，意味着台湾社会的财富效应、养老金安全、保险资金稳健性，都与台积电这一家公司高度绑定。</w:t>
      </w:r>
    </w:p>
    <w:p w14:paraId="0A3B0A09">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在就业收入层面，分化更为直观</w:t>
      </w:r>
      <w:r>
        <w:rPr>
          <w:rFonts w:hint="eastAsia" w:ascii="仿宋_GB2312" w:hAnsi="仿宋_GB2312" w:eastAsia="仿宋_GB2312" w:cs="仿宋_GB2312"/>
          <w:sz w:val="28"/>
          <w:szCs w:val="28"/>
          <w:lang w:val="en-US" w:eastAsia="zh-CN"/>
        </w:rPr>
        <w:t>：台积电基层工程师年薪约200至300万新台币（折合人民币约45至70万元），传统制造业一般工人年薪约50至60万新台币（折合人民币约11至13万元），服务业从业者年薪约35至50万新台币（折合人民币约8至11万元）。</w:t>
      </w:r>
      <w:r>
        <w:rPr>
          <w:rFonts w:hint="eastAsia" w:ascii="仿宋_GB2312" w:hAnsi="仿宋_GB2312" w:eastAsia="仿宋_GB2312" w:cs="仿宋_GB2312"/>
          <w:b/>
          <w:bCs/>
          <w:sz w:val="28"/>
          <w:szCs w:val="28"/>
          <w:lang w:val="en-US" w:eastAsia="zh-CN"/>
        </w:rPr>
        <w:t>科技产业与传统产业之间已形成4至10倍的年收入差距，且差距仍在扩大。</w:t>
      </w:r>
    </w:p>
    <w:p w14:paraId="0940CF5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drawing>
          <wp:inline distT="0" distB="0" distL="114300" distR="114300">
            <wp:extent cx="5265420" cy="2406015"/>
            <wp:effectExtent l="0" t="0" r="5080" b="6985"/>
            <wp:docPr id="11" name="图片 11" descr="05c627de-5569-4cd5-876a-45b40fc4c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5c627de-5569-4cd5-876a-45b40fc4cd87"/>
                    <pic:cNvPicPr>
                      <a:picLocks noChangeAspect="1"/>
                    </pic:cNvPicPr>
                  </pic:nvPicPr>
                  <pic:blipFill>
                    <a:blip r:embed="rId7"/>
                    <a:stretch>
                      <a:fillRect/>
                    </a:stretch>
                  </pic:blipFill>
                  <pic:spPr>
                    <a:xfrm>
                      <a:off x="0" y="0"/>
                      <a:ext cx="5265420" cy="2406015"/>
                    </a:xfrm>
                    <a:prstGeom prst="rect">
                      <a:avLst/>
                    </a:prstGeom>
                  </pic:spPr>
                </pic:pic>
              </a:graphicData>
            </a:graphic>
          </wp:inline>
        </w:drawing>
      </w:r>
    </w:p>
    <w:p w14:paraId="27E14452">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（二）无薪假：被数字掩盖的基层困境</w:t>
      </w:r>
    </w:p>
    <w:p w14:paraId="1477903E">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在2025年台湾GDP增速超过8%、出口暴增近35%的同一时期，</w:t>
      </w:r>
      <w:r>
        <w:rPr>
          <w:rFonts w:hint="eastAsia" w:ascii="仿宋_GB2312" w:hAnsi="仿宋_GB2312" w:eastAsia="仿宋_GB2312" w:cs="仿宋_GB2312"/>
          <w:b/>
          <w:bCs/>
          <w:sz w:val="28"/>
          <w:szCs w:val="28"/>
          <w:lang w:val="en-US" w:eastAsia="zh-CN"/>
        </w:rPr>
        <w:t>2025年下半年台湾有数千家传统制造业企业的员工开始放“无薪假”</w:t>
      </w:r>
      <w:r>
        <w:rPr>
          <w:rFonts w:hint="eastAsia" w:ascii="仿宋_GB2312" w:hAnsi="仿宋_GB2312" w:eastAsia="仿宋_GB2312" w:cs="仿宋_GB2312"/>
          <w:sz w:val="28"/>
          <w:szCs w:val="28"/>
          <w:lang w:val="en-US" w:eastAsia="zh-CN"/>
        </w:rPr>
        <w:t>——即企业在不正式裁员的前提下，要求员工休假但不支付工资，相当于变相降薪。</w:t>
      </w:r>
    </w:p>
    <w:p w14:paraId="72C0C7B8">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sz w:val="28"/>
          <w:szCs w:val="28"/>
          <w:lang w:val="en-US" w:eastAsia="zh-CN"/>
        </w:rPr>
        <w:t>放无薪假的企业主要集中</w:t>
      </w:r>
      <w:r>
        <w:rPr>
          <w:rFonts w:hint="eastAsia" w:ascii="仿宋_GB2312" w:hAnsi="仿宋_GB2312" w:eastAsia="仿宋_GB2312" w:cs="仿宋_GB2312"/>
          <w:b w:val="0"/>
          <w:bCs w:val="0"/>
          <w:sz w:val="28"/>
          <w:szCs w:val="28"/>
          <w:lang w:val="en-US" w:eastAsia="zh-CN"/>
        </w:rPr>
        <w:t>在纺织及服装业、金属加工及机械业、塑料橡胶制品业、石化中下游等行业</w:t>
      </w:r>
      <w:r>
        <w:rPr>
          <w:rFonts w:hint="eastAsia" w:ascii="仿宋_GB2312" w:hAnsi="仿宋_GB2312" w:eastAsia="仿宋_GB2312" w:cs="仿宋_GB2312"/>
          <w:sz w:val="28"/>
          <w:szCs w:val="28"/>
          <w:lang w:val="en-US" w:eastAsia="zh-CN"/>
        </w:rPr>
        <w:t>，共同特征是：</w:t>
      </w:r>
      <w:r>
        <w:rPr>
          <w:rFonts w:hint="eastAsia" w:ascii="仿宋_GB2312" w:hAnsi="仿宋_GB2312" w:eastAsia="仿宋_GB2312" w:cs="仿宋_GB2312"/>
          <w:b/>
          <w:bCs/>
          <w:sz w:val="28"/>
          <w:szCs w:val="28"/>
          <w:lang w:val="en-US" w:eastAsia="zh-CN"/>
        </w:rPr>
        <w:t>与AI算力供应链关联度低、面临来自大陆的竞争压力、内需市场疲软、新台币升值进一步侵蚀出口竞争力。</w:t>
      </w:r>
    </w:p>
    <w:p w14:paraId="79E8D05B">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sz w:val="28"/>
          <w:szCs w:val="28"/>
          <w:lang w:val="en-US" w:eastAsia="zh-CN"/>
        </w:rPr>
        <w:t>更值得关注的是，这些企业在地理分布上高度集中于台中、台南、彰化、云林等中南部县市——这些地区恰恰是台湾传统制造业的聚集地，也是相对于新竹、台北等北部科技重镇更为弱势的经济区域。</w:t>
      </w:r>
      <w:r>
        <w:rPr>
          <w:rFonts w:hint="eastAsia" w:ascii="仿宋_GB2312" w:hAnsi="仿宋_GB2312" w:eastAsia="仿宋_GB2312" w:cs="仿宋_GB2312"/>
          <w:b/>
          <w:bCs/>
          <w:sz w:val="28"/>
          <w:szCs w:val="28"/>
          <w:lang w:val="en-US" w:eastAsia="zh-CN"/>
        </w:rPr>
        <w:t>台湾的南北经济差距，正在AI经济的助推下进一步拉大。</w:t>
      </w:r>
    </w:p>
    <w:p w14:paraId="5DA988BF">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（三）服务业的隐性困境</w:t>
      </w:r>
    </w:p>
    <w:p w14:paraId="22CEF45E">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餐饮、旅游、零售等内需导向型服务业的困境，同样被GDP总量数据所掩盖。</w:t>
      </w:r>
      <w:r>
        <w:rPr>
          <w:rFonts w:hint="eastAsia" w:ascii="仿宋_GB2312" w:hAnsi="仿宋_GB2312" w:eastAsia="仿宋_GB2312" w:cs="仿宋_GB2312"/>
          <w:sz w:val="28"/>
          <w:szCs w:val="28"/>
          <w:lang w:val="en-US" w:eastAsia="zh-CN"/>
        </w:rPr>
        <w:t>受两岸关系持续紧张影响，大陆赴台旅游人数较2019年峰值（约270万人次）大幅萎缩，台湾夜市、酒店、旅游景点收入锐减。与此同时，K型分化导致高收入科技从业者消费能力强但人数有限，低收入传统产业从业者消费意愿受薪资停滞压制，内需市场整体扩张有限。</w:t>
      </w:r>
    </w:p>
    <w:p w14:paraId="1563B728">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这解释了为什么在GDP增长超过8%、出口暴增的2025年，中南部服务业从业者仍然生意惨淡——宏观数字的强劲，完全传递不到他们的日常营收上。繁荣是别人的繁荣，和他们没什么关系。</w:t>
      </w:r>
    </w:p>
    <w:p w14:paraId="5C7774C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drawing>
          <wp:inline distT="0" distB="0" distL="114300" distR="114300">
            <wp:extent cx="5265420" cy="2185035"/>
            <wp:effectExtent l="0" t="0" r="5080" b="12065"/>
            <wp:docPr id="9" name="图片 9" descr="edea2454-0c6c-4d8c-b2e9-11f0c5f11b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dea2454-0c6c-4d8c-b2e9-11f0c5f11b13"/>
                    <pic:cNvPicPr>
                      <a:picLocks noChangeAspect="1"/>
                    </pic:cNvPicPr>
                  </pic:nvPicPr>
                  <pic:blipFill>
                    <a:blip r:embed="rId8"/>
                    <a:stretch>
                      <a:fillRect/>
                    </a:stretch>
                  </pic:blipFill>
                  <pic:spPr>
                    <a:xfrm>
                      <a:off x="0" y="0"/>
                      <a:ext cx="5265420" cy="2185035"/>
                    </a:xfrm>
                    <a:prstGeom prst="rect">
                      <a:avLst/>
                    </a:prstGeom>
                  </pic:spPr>
                </pic:pic>
              </a:graphicData>
            </a:graphic>
          </wp:inline>
        </w:drawing>
      </w:r>
    </w:p>
    <w:p w14:paraId="323DA39E">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五、台湾出口经济面临的深层挑战</w:t>
      </w:r>
    </w:p>
    <w:p w14:paraId="534925C6">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（一）单一产业高度集中的周期性风险</w:t>
      </w:r>
    </w:p>
    <w:p w14:paraId="568152A0">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当信息电子工业对经济增长的贡献率从2020年的约60%攀升至2025年的约85%，</w:t>
      </w:r>
      <w:r>
        <w:rPr>
          <w:rFonts w:hint="eastAsia" w:ascii="仿宋_GB2312" w:hAnsi="仿宋_GB2312" w:eastAsia="仿宋_GB2312" w:cs="仿宋_GB2312"/>
          <w:b/>
          <w:bCs/>
          <w:sz w:val="28"/>
          <w:szCs w:val="28"/>
          <w:lang w:val="en-US" w:eastAsia="zh-CN"/>
        </w:rPr>
        <w:t>台湾实际上已将整个经济的命运押注在一条产业赛道上。</w:t>
      </w:r>
      <w:r>
        <w:rPr>
          <w:rFonts w:hint="eastAsia" w:ascii="仿宋_GB2312" w:hAnsi="仿宋_GB2312" w:eastAsia="仿宋_GB2312" w:cs="仿宋_GB2312"/>
          <w:sz w:val="28"/>
          <w:szCs w:val="28"/>
          <w:lang w:val="en-US" w:eastAsia="zh-CN"/>
        </w:rPr>
        <w:t>历史经验表明，这种极度集中的产业结构，在顺风时能创造惊人的增速，但在逆风时同样能制造惊人的跌幅。2023年的-9.8%出口增速，正是半导体单一周期下行的直接结果。而下一次周期调整到来时，由于集中度比2023年更高，冲击也将更大。</w:t>
      </w:r>
    </w:p>
    <w:p w14:paraId="105AD45F">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从技术层面看，</w:t>
      </w:r>
      <w:r>
        <w:rPr>
          <w:rFonts w:hint="eastAsia" w:ascii="仿宋_GB2312" w:hAnsi="仿宋_GB2312" w:eastAsia="仿宋_GB2312" w:cs="仿宋_GB2312"/>
          <w:sz w:val="28"/>
          <w:szCs w:val="28"/>
          <w:lang w:val="en-US" w:eastAsia="zh-CN"/>
        </w:rPr>
        <w:t>当前AI算力爆发周期面临若干内在不确定性：AI大模型的算力需求是否会在某阶段趋于平稳？现有GPU并行计算架构是否会被新型计算架构所替代？美国科技巨头的AI资本开支能否维持当前增速？任何一个问题出现负面答案，都会直接传导至台湾出口的大幅下滑。</w:t>
      </w:r>
    </w:p>
    <w:p w14:paraId="2200C7A7">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（二）产业结构单极化的“荷兰病”效应</w:t>
      </w:r>
    </w:p>
    <w:p w14:paraId="721CA6DE">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经济学中有一个著名概念叫“荷兰病”：1960年代荷兰因北海天然气出口暴增，大量外汇涌入导致本币大幅升值，制造业出口竞争力急剧丧失，其他产业在资源红利的光芒下逐步萎缩。台湾当前的处境，是荷兰病的技术产业版本。</w:t>
      </w:r>
    </w:p>
    <w:p w14:paraId="54CBA526">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半导体和AI服务器出口的暴增，带动新台币承受持续的升值压力，直接侵蚀了纺织、机械、石化等传统出口产业的价格竞争力；与此同时，半导体产业的高薪就业将台湾最优秀的理工人才持续吸引，使其他产业陷入人才短缺的困境。这种人才配置的极化，会在长期形成恶性循环：半导体人才越集中，其他产业的创新能力越弱；其他产业越弱，年轻人越倾向于进入半导体。荷兰病的教训是：</w:t>
      </w:r>
      <w:r>
        <w:rPr>
          <w:rFonts w:hint="eastAsia" w:ascii="仿宋_GB2312" w:hAnsi="仿宋_GB2312" w:eastAsia="仿宋_GB2312" w:cs="仿宋_GB2312"/>
          <w:b/>
          <w:bCs/>
          <w:sz w:val="28"/>
          <w:szCs w:val="28"/>
          <w:lang w:val="en-US" w:eastAsia="zh-CN"/>
        </w:rPr>
        <w:t>单一繁荣不会永远持续，而当繁荣退潮时，被侵蚀的其他产业往往已经难以重建。</w:t>
      </w:r>
    </w:p>
    <w:p w14:paraId="2A4147A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drawing>
          <wp:inline distT="0" distB="0" distL="114300" distR="114300">
            <wp:extent cx="5271770" cy="2089785"/>
            <wp:effectExtent l="0" t="0" r="11430" b="5715"/>
            <wp:docPr id="8" name="图片 8" descr="6dafcdd4-2814-4c39-8227-4517093c5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dafcdd4-2814-4c39-8227-4517093c5e73"/>
                    <pic:cNvPicPr>
                      <a:picLocks noChangeAspect="1"/>
                    </pic:cNvPicPr>
                  </pic:nvPicPr>
                  <pic:blipFill>
                    <a:blip r:embed="rId9"/>
                    <a:stretch>
                      <a:fillRect/>
                    </a:stretch>
                  </pic:blipFill>
                  <pic:spPr>
                    <a:xfrm>
                      <a:off x="0" y="0"/>
                      <a:ext cx="5271770" cy="2089785"/>
                    </a:xfrm>
                    <a:prstGeom prst="rect">
                      <a:avLst/>
                    </a:prstGeom>
                  </pic:spPr>
                </pic:pic>
              </a:graphicData>
            </a:graphic>
          </wp:inline>
        </w:drawing>
      </w:r>
    </w:p>
    <w:p w14:paraId="4E874833">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（三）经济社会结构的内生矛盾积累</w:t>
      </w:r>
    </w:p>
    <w:p w14:paraId="21914793">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K型经济结构在长期积累后，会产生三个层面的内生矛盾，并对社会稳定形成持续压力：</w:t>
      </w:r>
    </w:p>
    <w:p w14:paraId="1FABF6E0">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收入矛盾：</w:t>
      </w:r>
      <w:r>
        <w:rPr>
          <w:rFonts w:hint="eastAsia" w:ascii="仿宋_GB2312" w:hAnsi="仿宋_GB2312" w:eastAsia="仿宋_GB2312" w:cs="仿宋_GB2312"/>
          <w:sz w:val="28"/>
          <w:szCs w:val="28"/>
          <w:lang w:val="en-US" w:eastAsia="zh-CN"/>
        </w:rPr>
        <w:t>科技精英与传统从业者之间的收入鸿沟持续扩大，社会流动性降低，阶层固化加剧。台积电市值占全市场44.3%这一数字，使台湾退休基金、保险资金的安全性与一家公司的经营状况高度绑定，系统性风险高度集中。</w:t>
      </w:r>
    </w:p>
    <w:p w14:paraId="0FD744B8">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空间矛盾：</w:t>
      </w:r>
      <w:r>
        <w:rPr>
          <w:rFonts w:hint="eastAsia" w:ascii="仿宋_GB2312" w:hAnsi="仿宋_GB2312" w:eastAsia="仿宋_GB2312" w:cs="仿宋_GB2312"/>
          <w:sz w:val="28"/>
          <w:szCs w:val="28"/>
          <w:lang w:val="en-US" w:eastAsia="zh-CN"/>
        </w:rPr>
        <w:t>北部科技重镇（新竹、台北）与中南部传统产业聚集地之间的区域经济差距持续扩大，形成明显的“双速台湾”格局，区域发展不均衡问题日趋突出。</w:t>
      </w:r>
    </w:p>
    <w:p w14:paraId="7CF5E06F">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社会信任矛盾：</w:t>
      </w:r>
      <w:r>
        <w:rPr>
          <w:rFonts w:hint="eastAsia" w:ascii="仿宋_GB2312" w:hAnsi="仿宋_GB2312" w:eastAsia="仿宋_GB2312" w:cs="仿宋_GB2312"/>
          <w:sz w:val="28"/>
          <w:szCs w:val="28"/>
          <w:lang w:val="en-US" w:eastAsia="zh-CN"/>
        </w:rPr>
        <w:t>经济上的极化投射为社会心理的分裂。高科技从业者对“现状”有强烈的维护意愿；传统产业从业者、低收入群体则对主流叙事产生疏离感，开始质疑“繁荣”究竟给自己带来了什么。这种社会心理的撕裂，对社会凝聚力和稳定性的侵蚀是长期性的。</w:t>
      </w:r>
    </w:p>
    <w:p w14:paraId="090F528A">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六、结论</w:t>
      </w:r>
    </w:p>
    <w:p w14:paraId="7EB50C76">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总体而言，2026年一季度51.1%的出口增速、13.69%的GDP增速，是真实存在的经济现象，其背后台积电等企业的技术能力积累值得认真对待。但繁荣数字背后的三重结构性警示，同样需要清醒认识。</w:t>
      </w:r>
    </w:p>
    <w:p w14:paraId="5A92E19B">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第一，这是一种“总量上升、结构恶化”的繁荣。</w:t>
      </w:r>
      <w:r>
        <w:rPr>
          <w:rFonts w:hint="eastAsia" w:ascii="仿宋_GB2312" w:hAnsi="仿宋_GB2312" w:eastAsia="仿宋_GB2312" w:cs="仿宋_GB2312"/>
          <w:sz w:val="28"/>
          <w:szCs w:val="28"/>
          <w:lang w:val="en-US" w:eastAsia="zh-CN"/>
        </w:rPr>
        <w:t xml:space="preserve"> 85%的经济增长来自一条产业链，产业集中度已接近单极化临界状态。单极爆发在周期上行时令人眩目，在周期下行时则可能引发系统性调整，2023年-9.8%的出口跌幅已是前车之鉴。</w:t>
      </w:r>
    </w:p>
    <w:p w14:paraId="452DED47">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第二，这是一种“替换依赖对象而非摆脱依赖”的结构性转移。</w:t>
      </w:r>
      <w:r>
        <w:rPr>
          <w:rFonts w:hint="eastAsia" w:ascii="仿宋_GB2312" w:hAnsi="仿宋_GB2312" w:eastAsia="仿宋_GB2312" w:cs="仿宋_GB2312"/>
          <w:sz w:val="28"/>
          <w:szCs w:val="28"/>
          <w:lang w:val="en-US" w:eastAsia="zh-CN"/>
        </w:rPr>
        <w:t xml:space="preserve"> 出口市场从依赖大陆转向依赖美国，并未解决单一市场依赖的根本问题，且新的依赖关系更具不对称性。台积电被要求赴美建厂这一事实清楚表明，台湾核心产业优势的系统性外迁风险已是现实压力，而非远期隐患。</w:t>
      </w:r>
    </w:p>
    <w:p w14:paraId="6262A805">
      <w:pPr>
        <w:keepNext w:val="0"/>
        <w:keepLines w:val="0"/>
        <w:pageBreakBefore w:val="0"/>
        <w:widowControl w:val="0"/>
        <w:kinsoku/>
        <w:wordWrap/>
        <w:overflowPunct/>
        <w:topLinePunct w:val="0"/>
        <w:autoSpaceDE/>
        <w:autoSpaceDN/>
        <w:bidi w:val="0"/>
        <w:adjustRightInd/>
        <w:snapToGrid/>
        <w:spacing w:line="520" w:lineRule="exact"/>
        <w:ind w:firstLine="562"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第三，这是一种“经济增长与社会撕裂同步扩张”的失衡状态。</w:t>
      </w:r>
      <w:r>
        <w:rPr>
          <w:rFonts w:hint="eastAsia" w:ascii="仿宋_GB2312" w:hAnsi="仿宋_GB2312" w:eastAsia="仿宋_GB2312" w:cs="仿宋_GB2312"/>
          <w:sz w:val="28"/>
          <w:szCs w:val="28"/>
          <w:lang w:val="en-US" w:eastAsia="zh-CN"/>
        </w:rPr>
        <w:t>当增长的果实高度集中于科技精英阶层，传统产业从业者、服务业人员、低收入群体被系统性排斥在增长红利之外，社会内部的结构性矛盾将以难以预测的方式持续积累。K型分化所产生的社会矛盾，其深远后果可能远比经济指标下滑更值得关注。</w:t>
      </w:r>
    </w:p>
    <w:p w14:paraId="3CEA9581">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若上述结构性问题长期得不到缓解，台湾出口经济的单行道走向，可能由当前的高速繁荣演变为更大幅度的周期性震荡，并对社会稳定及区域经济环境产生持续影响。</w:t>
      </w:r>
    </w:p>
    <w:p w14:paraId="2C6CA78A">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p>
    <w:p w14:paraId="48F76029">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p>
    <w:p w14:paraId="1E1E05B4">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rPr>
          <w:rFonts w:hint="eastAsia" w:ascii="仿宋_GB2312" w:hAnsi="仿宋_GB2312" w:eastAsia="仿宋_GB2312" w:cs="仿宋_GB2312"/>
          <w:i w:val="0"/>
          <w:iCs w:val="0"/>
          <w:caps w:val="0"/>
          <w:color w:val="000000"/>
          <w:spacing w:val="0"/>
          <w:sz w:val="28"/>
          <w:szCs w:val="28"/>
          <w:shd w:val="clear" w:color="auto" w:fill="FFFFFF"/>
        </w:rPr>
      </w:pPr>
      <w:r>
        <w:rPr>
          <w:rFonts w:hint="eastAsia" w:ascii="仿宋_GB2312" w:hAnsi="仿宋_GB2312" w:eastAsia="仿宋_GB2312" w:cs="仿宋_GB2312"/>
          <w:b/>
          <w:bCs/>
          <w:sz w:val="28"/>
          <w:szCs w:val="28"/>
          <w:lang w:val="en-US" w:eastAsia="zh-CN"/>
        </w:rPr>
        <w:t xml:space="preserve">                  </w:t>
      </w:r>
      <w:r>
        <w:rPr>
          <w:rFonts w:hint="eastAsia" w:ascii="仿宋_GB2312" w:hAnsi="仿宋_GB2312" w:eastAsia="仿宋_GB2312" w:cs="仿宋_GB2312"/>
          <w:i w:val="0"/>
          <w:iCs w:val="0"/>
          <w:caps w:val="0"/>
          <w:color w:val="000000"/>
          <w:spacing w:val="0"/>
          <w:sz w:val="28"/>
          <w:szCs w:val="28"/>
          <w:shd w:val="clear" w:color="auto" w:fill="FFFFFF"/>
          <w:lang w:val="en-US" w:eastAsia="zh-CN"/>
        </w:rPr>
        <w:t xml:space="preserve"> </w:t>
      </w:r>
      <w:r>
        <w:rPr>
          <w:rFonts w:hint="eastAsia" w:ascii="仿宋_GB2312" w:hAnsi="仿宋_GB2312" w:eastAsia="仿宋_GB2312" w:cs="仿宋_GB2312"/>
          <w:i w:val="0"/>
          <w:iCs w:val="0"/>
          <w:caps w:val="0"/>
          <w:color w:val="000000"/>
          <w:spacing w:val="0"/>
          <w:sz w:val="28"/>
          <w:szCs w:val="28"/>
          <w:shd w:val="clear" w:color="auto" w:fill="FFFFFF"/>
        </w:rPr>
        <w:t>编制单位：厦大平潭研究院台情研究中心</w:t>
      </w:r>
    </w:p>
    <w:p w14:paraId="62C23DA3">
      <w:pPr>
        <w:keepNext w:val="0"/>
        <w:keepLines w:val="0"/>
        <w:pageBreakBefore w:val="0"/>
        <w:widowControl w:val="0"/>
        <w:kinsoku/>
        <w:wordWrap/>
        <w:overflowPunct/>
        <w:topLinePunct w:val="0"/>
        <w:autoSpaceDE/>
        <w:autoSpaceDN/>
        <w:bidi w:val="0"/>
        <w:adjustRightInd/>
        <w:snapToGrid/>
        <w:spacing w:line="240" w:lineRule="auto"/>
        <w:ind w:firstLine="4200" w:firstLineChars="1500"/>
        <w:textAlignment w:val="auto"/>
        <w:rPr>
          <w:rFonts w:hint="default" w:ascii="仿宋_GB2312" w:hAnsi="仿宋_GB2312" w:eastAsia="仿宋_GB2312" w:cs="仿宋_GB2312"/>
          <w:i w:val="0"/>
          <w:iCs w:val="0"/>
          <w:caps w:val="0"/>
          <w:color w:val="000000"/>
          <w:spacing w:val="0"/>
          <w:sz w:val="28"/>
          <w:szCs w:val="28"/>
          <w:shd w:val="clear" w:color="auto" w:fill="FFFFFF"/>
          <w:lang w:val="en-US" w:eastAsia="zh-CN"/>
        </w:rPr>
      </w:pPr>
      <w:r>
        <w:rPr>
          <w:rFonts w:hint="eastAsia" w:ascii="仿宋_GB2312" w:hAnsi="仿宋_GB2312" w:eastAsia="仿宋_GB2312" w:cs="仿宋_GB2312"/>
          <w:i w:val="0"/>
          <w:iCs w:val="0"/>
          <w:caps w:val="0"/>
          <w:color w:val="000000"/>
          <w:spacing w:val="0"/>
          <w:sz w:val="28"/>
          <w:szCs w:val="28"/>
          <w:shd w:val="clear" w:color="auto" w:fill="FFFFFF"/>
        </w:rPr>
        <w:t>编</w:t>
      </w:r>
      <w:r>
        <w:rPr>
          <w:rFonts w:hint="eastAsia" w:ascii="仿宋_GB2312" w:hAnsi="仿宋_GB2312" w:eastAsia="仿宋_GB2312" w:cs="仿宋_GB2312"/>
          <w:i w:val="0"/>
          <w:iCs w:val="0"/>
          <w:caps w:val="0"/>
          <w:color w:val="000000"/>
          <w:spacing w:val="0"/>
          <w:sz w:val="28"/>
          <w:szCs w:val="28"/>
          <w:shd w:val="clear" w:color="auto" w:fill="FFFFFF"/>
          <w:lang w:val="en-US" w:eastAsia="zh-CN"/>
        </w:rPr>
        <w:t xml:space="preserve"> </w:t>
      </w:r>
      <w:r>
        <w:rPr>
          <w:rFonts w:hint="eastAsia" w:ascii="仿宋_GB2312" w:hAnsi="仿宋_GB2312" w:eastAsia="仿宋_GB2312" w:cs="仿宋_GB2312"/>
          <w:i w:val="0"/>
          <w:iCs w:val="0"/>
          <w:caps w:val="0"/>
          <w:color w:val="000000"/>
          <w:spacing w:val="0"/>
          <w:sz w:val="28"/>
          <w:szCs w:val="28"/>
          <w:shd w:val="clear" w:color="auto" w:fill="FFFFFF"/>
        </w:rPr>
        <w:t>写</w:t>
      </w:r>
      <w:r>
        <w:rPr>
          <w:rFonts w:hint="eastAsia" w:ascii="仿宋_GB2312" w:hAnsi="仿宋_GB2312" w:eastAsia="仿宋_GB2312" w:cs="仿宋_GB2312"/>
          <w:i w:val="0"/>
          <w:iCs w:val="0"/>
          <w:caps w:val="0"/>
          <w:color w:val="000000"/>
          <w:spacing w:val="0"/>
          <w:sz w:val="28"/>
          <w:szCs w:val="28"/>
          <w:shd w:val="clear" w:color="auto" w:fill="FFFFFF"/>
          <w:lang w:val="en-US" w:eastAsia="zh-CN"/>
        </w:rPr>
        <w:t xml:space="preserve"> </w:t>
      </w:r>
      <w:r>
        <w:rPr>
          <w:rFonts w:hint="eastAsia" w:ascii="仿宋_GB2312" w:hAnsi="仿宋_GB2312" w:eastAsia="仿宋_GB2312" w:cs="仿宋_GB2312"/>
          <w:i w:val="0"/>
          <w:iCs w:val="0"/>
          <w:caps w:val="0"/>
          <w:color w:val="000000"/>
          <w:spacing w:val="0"/>
          <w:sz w:val="28"/>
          <w:szCs w:val="28"/>
          <w:shd w:val="clear" w:color="auto" w:fill="FFFFFF"/>
        </w:rPr>
        <w:t>人：</w:t>
      </w:r>
      <w:r>
        <w:rPr>
          <w:rFonts w:hint="eastAsia" w:ascii="仿宋_GB2312" w:hAnsi="仿宋_GB2312" w:eastAsia="仿宋_GB2312" w:cs="仿宋_GB2312"/>
          <w:i w:val="0"/>
          <w:iCs w:val="0"/>
          <w:caps w:val="0"/>
          <w:color w:val="000000"/>
          <w:spacing w:val="0"/>
          <w:sz w:val="28"/>
          <w:szCs w:val="28"/>
          <w:shd w:val="clear" w:color="auto" w:fill="FFFFFF"/>
          <w:lang w:val="en-US" w:eastAsia="zh-CN"/>
        </w:rPr>
        <w:t>王露琳</w:t>
      </w:r>
    </w:p>
    <w:p w14:paraId="05A6122B">
      <w:pPr>
        <w:keepNext w:val="0"/>
        <w:keepLines w:val="0"/>
        <w:pageBreakBefore w:val="0"/>
        <w:widowControl w:val="0"/>
        <w:kinsoku/>
        <w:wordWrap/>
        <w:overflowPunct/>
        <w:topLinePunct w:val="0"/>
        <w:autoSpaceDE/>
        <w:autoSpaceDN/>
        <w:bidi w:val="0"/>
        <w:adjustRightInd/>
        <w:snapToGrid/>
        <w:spacing w:line="240" w:lineRule="auto"/>
        <w:ind w:firstLine="4200" w:firstLineChars="1500"/>
        <w:textAlignment w:val="auto"/>
        <w:rPr>
          <w:rFonts w:hint="eastAsia" w:ascii="仿宋_GB2312" w:hAnsi="仿宋_GB2312" w:eastAsia="仿宋_GB2312" w:cs="仿宋_GB2312"/>
          <w:i w:val="0"/>
          <w:iCs w:val="0"/>
          <w:caps w:val="0"/>
          <w:color w:val="000000"/>
          <w:spacing w:val="0"/>
          <w:sz w:val="28"/>
          <w:szCs w:val="28"/>
          <w:shd w:val="clear" w:color="auto" w:fill="FFFFFF"/>
        </w:rPr>
      </w:pPr>
      <w:r>
        <w:rPr>
          <w:rFonts w:hint="eastAsia" w:ascii="仿宋_GB2312" w:hAnsi="仿宋_GB2312" w:eastAsia="仿宋_GB2312" w:cs="仿宋_GB2312"/>
          <w:i w:val="0"/>
          <w:iCs w:val="0"/>
          <w:caps w:val="0"/>
          <w:color w:val="000000"/>
          <w:spacing w:val="0"/>
          <w:sz w:val="28"/>
          <w:szCs w:val="28"/>
          <w:shd w:val="clear" w:color="auto" w:fill="FFFFFF"/>
        </w:rPr>
        <w:t>审</w:t>
      </w:r>
      <w:r>
        <w:rPr>
          <w:rFonts w:hint="eastAsia" w:ascii="仿宋_GB2312" w:hAnsi="仿宋_GB2312" w:eastAsia="仿宋_GB2312" w:cs="仿宋_GB2312"/>
          <w:i w:val="0"/>
          <w:iCs w:val="0"/>
          <w:caps w:val="0"/>
          <w:color w:val="000000"/>
          <w:spacing w:val="0"/>
          <w:sz w:val="28"/>
          <w:szCs w:val="28"/>
          <w:shd w:val="clear" w:color="auto" w:fill="FFFFFF"/>
          <w:lang w:val="en-US" w:eastAsia="zh-CN"/>
        </w:rPr>
        <w:t xml:space="preserve"> </w:t>
      </w:r>
      <w:r>
        <w:rPr>
          <w:rFonts w:hint="eastAsia" w:ascii="仿宋_GB2312" w:hAnsi="仿宋_GB2312" w:eastAsia="仿宋_GB2312" w:cs="仿宋_GB2312"/>
          <w:i w:val="0"/>
          <w:iCs w:val="0"/>
          <w:caps w:val="0"/>
          <w:color w:val="000000"/>
          <w:spacing w:val="0"/>
          <w:sz w:val="28"/>
          <w:szCs w:val="28"/>
          <w:shd w:val="clear" w:color="auto" w:fill="FFFFFF"/>
        </w:rPr>
        <w:t>核</w:t>
      </w:r>
      <w:r>
        <w:rPr>
          <w:rFonts w:hint="eastAsia" w:ascii="仿宋_GB2312" w:hAnsi="仿宋_GB2312" w:eastAsia="仿宋_GB2312" w:cs="仿宋_GB2312"/>
          <w:i w:val="0"/>
          <w:iCs w:val="0"/>
          <w:caps w:val="0"/>
          <w:color w:val="000000"/>
          <w:spacing w:val="0"/>
          <w:sz w:val="28"/>
          <w:szCs w:val="28"/>
          <w:shd w:val="clear" w:color="auto" w:fill="FFFFFF"/>
          <w:lang w:val="en-US" w:eastAsia="zh-CN"/>
        </w:rPr>
        <w:t xml:space="preserve"> </w:t>
      </w:r>
      <w:r>
        <w:rPr>
          <w:rFonts w:hint="eastAsia" w:ascii="仿宋_GB2312" w:hAnsi="仿宋_GB2312" w:eastAsia="仿宋_GB2312" w:cs="仿宋_GB2312"/>
          <w:i w:val="0"/>
          <w:iCs w:val="0"/>
          <w:caps w:val="0"/>
          <w:color w:val="000000"/>
          <w:spacing w:val="0"/>
          <w:sz w:val="28"/>
          <w:szCs w:val="28"/>
          <w:shd w:val="clear" w:color="auto" w:fill="FFFFFF"/>
        </w:rPr>
        <w:t xml:space="preserve">人：陈章辉 </w:t>
      </w:r>
    </w:p>
    <w:p w14:paraId="3A0AF456">
      <w:pPr>
        <w:keepNext w:val="0"/>
        <w:keepLines w:val="0"/>
        <w:pageBreakBefore w:val="0"/>
        <w:widowControl w:val="0"/>
        <w:kinsoku/>
        <w:wordWrap/>
        <w:overflowPunct/>
        <w:topLinePunct w:val="0"/>
        <w:autoSpaceDE/>
        <w:autoSpaceDN/>
        <w:bidi w:val="0"/>
        <w:adjustRightInd/>
        <w:snapToGrid/>
        <w:spacing w:line="240" w:lineRule="auto"/>
        <w:ind w:firstLine="4200" w:firstLineChars="1500"/>
        <w:textAlignment w:val="auto"/>
        <w:rPr>
          <w:rFonts w:hint="eastAsia" w:ascii="仿宋_GB2312" w:hAnsi="仿宋_GB2312" w:eastAsia="仿宋_GB2312" w:cs="仿宋_GB2312"/>
          <w:i w:val="0"/>
          <w:iCs w:val="0"/>
          <w:caps w:val="0"/>
          <w:color w:val="000000"/>
          <w:spacing w:val="0"/>
          <w:sz w:val="28"/>
          <w:szCs w:val="28"/>
          <w:shd w:val="clear" w:color="auto" w:fill="FFFFFF"/>
        </w:rPr>
      </w:pPr>
      <w:r>
        <w:rPr>
          <w:rFonts w:hint="eastAsia" w:ascii="仿宋_GB2312" w:hAnsi="仿宋_GB2312" w:eastAsia="仿宋_GB2312" w:cs="仿宋_GB2312"/>
          <w:i w:val="0"/>
          <w:iCs w:val="0"/>
          <w:caps w:val="0"/>
          <w:color w:val="000000"/>
          <w:spacing w:val="0"/>
          <w:sz w:val="28"/>
          <w:szCs w:val="28"/>
          <w:shd w:val="clear" w:color="auto" w:fill="FFFFFF"/>
        </w:rPr>
        <w:t>联</w:t>
      </w:r>
      <w:r>
        <w:rPr>
          <w:rFonts w:hint="eastAsia" w:ascii="仿宋_GB2312" w:hAnsi="仿宋_GB2312" w:eastAsia="仿宋_GB2312" w:cs="仿宋_GB2312"/>
          <w:i w:val="0"/>
          <w:iCs w:val="0"/>
          <w:caps w:val="0"/>
          <w:color w:val="000000"/>
          <w:spacing w:val="0"/>
          <w:sz w:val="28"/>
          <w:szCs w:val="28"/>
          <w:shd w:val="clear" w:color="auto" w:fill="FFFFFF"/>
          <w:lang w:val="en-US" w:eastAsia="zh-CN"/>
        </w:rPr>
        <w:t xml:space="preserve"> </w:t>
      </w:r>
      <w:r>
        <w:rPr>
          <w:rFonts w:hint="eastAsia" w:ascii="仿宋_GB2312" w:hAnsi="仿宋_GB2312" w:eastAsia="仿宋_GB2312" w:cs="仿宋_GB2312"/>
          <w:i w:val="0"/>
          <w:iCs w:val="0"/>
          <w:caps w:val="0"/>
          <w:color w:val="000000"/>
          <w:spacing w:val="0"/>
          <w:sz w:val="28"/>
          <w:szCs w:val="28"/>
          <w:shd w:val="clear" w:color="auto" w:fill="FFFFFF"/>
        </w:rPr>
        <w:t>系</w:t>
      </w:r>
      <w:r>
        <w:rPr>
          <w:rFonts w:hint="eastAsia" w:ascii="仿宋_GB2312" w:hAnsi="仿宋_GB2312" w:eastAsia="仿宋_GB2312" w:cs="仿宋_GB2312"/>
          <w:i w:val="0"/>
          <w:iCs w:val="0"/>
          <w:caps w:val="0"/>
          <w:color w:val="000000"/>
          <w:spacing w:val="0"/>
          <w:sz w:val="28"/>
          <w:szCs w:val="28"/>
          <w:shd w:val="clear" w:color="auto" w:fill="FFFFFF"/>
          <w:lang w:val="en-US" w:eastAsia="zh-CN"/>
        </w:rPr>
        <w:t xml:space="preserve"> </w:t>
      </w:r>
      <w:r>
        <w:rPr>
          <w:rFonts w:hint="eastAsia" w:ascii="仿宋_GB2312" w:hAnsi="仿宋_GB2312" w:eastAsia="仿宋_GB2312" w:cs="仿宋_GB2312"/>
          <w:i w:val="0"/>
          <w:iCs w:val="0"/>
          <w:caps w:val="0"/>
          <w:color w:val="000000"/>
          <w:spacing w:val="0"/>
          <w:sz w:val="28"/>
          <w:szCs w:val="28"/>
          <w:shd w:val="clear" w:color="auto" w:fill="FFFFFF"/>
        </w:rPr>
        <w:t>人：欧小琴</w:t>
      </w:r>
      <w:r>
        <w:rPr>
          <w:rFonts w:hint="eastAsia" w:ascii="仿宋_GB2312" w:hAnsi="仿宋_GB2312" w:eastAsia="仿宋_GB2312" w:cs="仿宋_GB2312"/>
          <w:i w:val="0"/>
          <w:iCs w:val="0"/>
          <w:caps w:val="0"/>
          <w:color w:val="000000"/>
          <w:spacing w:val="0"/>
          <w:sz w:val="28"/>
          <w:szCs w:val="28"/>
          <w:shd w:val="clear" w:color="auto" w:fill="FFFFFF"/>
          <w:lang w:val="en-US" w:eastAsia="zh-CN"/>
        </w:rPr>
        <w:t xml:space="preserve"> </w:t>
      </w:r>
      <w:r>
        <w:rPr>
          <w:rFonts w:hint="eastAsia" w:ascii="仿宋_GB2312" w:hAnsi="仿宋_GB2312" w:eastAsia="仿宋_GB2312" w:cs="仿宋_GB2312"/>
          <w:i w:val="0"/>
          <w:iCs w:val="0"/>
          <w:caps w:val="0"/>
          <w:color w:val="000000"/>
          <w:spacing w:val="0"/>
          <w:sz w:val="28"/>
          <w:szCs w:val="28"/>
          <w:shd w:val="clear" w:color="auto" w:fill="FFFFFF"/>
        </w:rPr>
        <w:t>13550969666</w:t>
      </w:r>
    </w:p>
    <w:p w14:paraId="7645CC17">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diMDcyMDk3OWM1ZjgwMGE3N2U4MDZiMTgxMDQ1NjYifQ=="/>
  </w:docVars>
  <w:rsids>
    <w:rsidRoot w:val="00000000"/>
    <w:rsid w:val="00672E2D"/>
    <w:rsid w:val="00B42C11"/>
    <w:rsid w:val="010B4073"/>
    <w:rsid w:val="0212546F"/>
    <w:rsid w:val="02255C76"/>
    <w:rsid w:val="05443364"/>
    <w:rsid w:val="05E7509A"/>
    <w:rsid w:val="068C7EA3"/>
    <w:rsid w:val="08B54AD9"/>
    <w:rsid w:val="08FB286E"/>
    <w:rsid w:val="096E0948"/>
    <w:rsid w:val="09F41B3F"/>
    <w:rsid w:val="0AC27AB4"/>
    <w:rsid w:val="0C0E5521"/>
    <w:rsid w:val="0D0550DE"/>
    <w:rsid w:val="0FAA5F2C"/>
    <w:rsid w:val="0FD909AF"/>
    <w:rsid w:val="115C304B"/>
    <w:rsid w:val="119859AC"/>
    <w:rsid w:val="13370DA3"/>
    <w:rsid w:val="13A823A0"/>
    <w:rsid w:val="168C1242"/>
    <w:rsid w:val="172328D2"/>
    <w:rsid w:val="174F1F61"/>
    <w:rsid w:val="18F70720"/>
    <w:rsid w:val="19882A4F"/>
    <w:rsid w:val="1A751621"/>
    <w:rsid w:val="1A765C58"/>
    <w:rsid w:val="1B351FAC"/>
    <w:rsid w:val="1C9812DE"/>
    <w:rsid w:val="1D206D8E"/>
    <w:rsid w:val="1FA05A9F"/>
    <w:rsid w:val="1FE741BD"/>
    <w:rsid w:val="219608B9"/>
    <w:rsid w:val="223B4829"/>
    <w:rsid w:val="25496D80"/>
    <w:rsid w:val="27E44456"/>
    <w:rsid w:val="284D4486"/>
    <w:rsid w:val="2B11333D"/>
    <w:rsid w:val="2BD63337"/>
    <w:rsid w:val="2C0D1C52"/>
    <w:rsid w:val="2D362C5E"/>
    <w:rsid w:val="2DA661CE"/>
    <w:rsid w:val="2F1D4533"/>
    <w:rsid w:val="31B77104"/>
    <w:rsid w:val="34D5552B"/>
    <w:rsid w:val="35384DBC"/>
    <w:rsid w:val="35924D26"/>
    <w:rsid w:val="38FA4F61"/>
    <w:rsid w:val="393F1B17"/>
    <w:rsid w:val="3B870252"/>
    <w:rsid w:val="3BAB07ED"/>
    <w:rsid w:val="3CBC32F7"/>
    <w:rsid w:val="3E650D02"/>
    <w:rsid w:val="3F302B2D"/>
    <w:rsid w:val="3F3101B5"/>
    <w:rsid w:val="3F8140F1"/>
    <w:rsid w:val="3FCD3C9A"/>
    <w:rsid w:val="41E610FA"/>
    <w:rsid w:val="4239045F"/>
    <w:rsid w:val="4276470B"/>
    <w:rsid w:val="42C34DCA"/>
    <w:rsid w:val="43876A55"/>
    <w:rsid w:val="43C46D30"/>
    <w:rsid w:val="44DD0E35"/>
    <w:rsid w:val="453E3228"/>
    <w:rsid w:val="4646138E"/>
    <w:rsid w:val="46A3509D"/>
    <w:rsid w:val="473956DA"/>
    <w:rsid w:val="48C81A9C"/>
    <w:rsid w:val="493440B0"/>
    <w:rsid w:val="4ABE237D"/>
    <w:rsid w:val="4CD6689C"/>
    <w:rsid w:val="4D1E48F5"/>
    <w:rsid w:val="4D775DF2"/>
    <w:rsid w:val="4F175FFB"/>
    <w:rsid w:val="4F987C70"/>
    <w:rsid w:val="50151B8F"/>
    <w:rsid w:val="50280D50"/>
    <w:rsid w:val="50D270AC"/>
    <w:rsid w:val="50E27F05"/>
    <w:rsid w:val="51404BCF"/>
    <w:rsid w:val="515678E9"/>
    <w:rsid w:val="51976F41"/>
    <w:rsid w:val="530733CB"/>
    <w:rsid w:val="538F1662"/>
    <w:rsid w:val="552C4101"/>
    <w:rsid w:val="566537FB"/>
    <w:rsid w:val="58736D39"/>
    <w:rsid w:val="594B23BF"/>
    <w:rsid w:val="598A113A"/>
    <w:rsid w:val="60F1469B"/>
    <w:rsid w:val="60F668A1"/>
    <w:rsid w:val="6210294C"/>
    <w:rsid w:val="628506F0"/>
    <w:rsid w:val="6377539F"/>
    <w:rsid w:val="6439580B"/>
    <w:rsid w:val="66D07A5D"/>
    <w:rsid w:val="67F9750B"/>
    <w:rsid w:val="690F14C9"/>
    <w:rsid w:val="6A6063CD"/>
    <w:rsid w:val="6ADB0545"/>
    <w:rsid w:val="6DBA2121"/>
    <w:rsid w:val="6E8219C3"/>
    <w:rsid w:val="6F285B39"/>
    <w:rsid w:val="70710506"/>
    <w:rsid w:val="709D472F"/>
    <w:rsid w:val="70CB0993"/>
    <w:rsid w:val="70DF72B6"/>
    <w:rsid w:val="72D03C09"/>
    <w:rsid w:val="745F2676"/>
    <w:rsid w:val="761C7BC6"/>
    <w:rsid w:val="768072C4"/>
    <w:rsid w:val="783B0758"/>
    <w:rsid w:val="79490272"/>
    <w:rsid w:val="7A403276"/>
    <w:rsid w:val="7C264DF2"/>
    <w:rsid w:val="7D4E131F"/>
    <w:rsid w:val="7DAE0FEB"/>
    <w:rsid w:val="7E0C5521"/>
    <w:rsid w:val="7E8C48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spacing w:line="240" w:lineRule="auto"/>
      <w:jc w:val="left"/>
    </w:pPr>
    <w:rPr>
      <w:sz w:val="18"/>
      <w:szCs w:val="18"/>
    </w:rPr>
  </w:style>
  <w:style w:type="paragraph" w:styleId="3">
    <w:name w:val="header"/>
    <w:basedOn w:val="1"/>
    <w:unhideWhenUsed/>
    <w:qFormat/>
    <w:uiPriority w:val="99"/>
    <w:pPr>
      <w:tabs>
        <w:tab w:val="center" w:pos="4153"/>
        <w:tab w:val="right" w:pos="8306"/>
      </w:tabs>
      <w:snapToGrid w:val="0"/>
      <w:spacing w:line="240" w:lineRule="auto"/>
      <w:jc w:val="center"/>
    </w:pPr>
    <w:rPr>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4933</Words>
  <Characters>5393</Characters>
  <Lines>0</Lines>
  <Paragraphs>0</Paragraphs>
  <TotalTime>19</TotalTime>
  <ScaleCrop>false</ScaleCrop>
  <LinksUpToDate>false</LinksUpToDate>
  <CharactersWithSpaces>5423</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2026-04-30T01:19:00Z</dcterms:created>
  <dc:creator>86158</dc:creator>
  <cp:lastModifiedBy>Celine</cp:lastModifiedBy>
  <dcterms:modified xsi:type="dcterms:W3CDTF">2026-05-13T08:03:32Z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F3ECC6513F6B499B9DD2BA268D64DD38_12</vt:lpwstr>
  </property>
</Properties>
</file>