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Rule="auto" w:line="276"/>
        <w:jc w:val="center"/>
      </w:pPr>
      <w:r>
        <w:rPr>
          <w:rFonts w:eastAsia="微软雅黑"/>
          <w:rFonts w:ascii="微软雅黑" w:hAnsi="微软雅黑"/>
          <w:b/>
          <w:sz w:val="40"/>
        </w:rPr>
        <w:t>菲律宾 · 中文教育指标体系完整数据</w:t>
      </w:r>
    </w:p>
    <w:p/>
    <w:p>
      <w:pPr>
        <w:spacing w:before="0" w:after="80" w:lineRule="auto" w:line="276"/>
        <w:jc w:val="left"/>
      </w:pPr>
      <w:r>
        <w:rPr>
          <w:rFonts w:eastAsia="微软雅黑"/>
          <w:rFonts w:ascii="微软雅黑" w:hAnsi="微软雅黑"/>
          <w:b w:val="0"/>
          <w:sz w:val="21"/>
        </w:rPr>
        <w:t>国家：菲律宾</w:t>
      </w:r>
    </w:p>
    <w:p>
      <w:pPr>
        <w:spacing w:before="0" w:after="80" w:lineRule="auto" w:line="276"/>
        <w:jc w:val="left"/>
      </w:pPr>
      <w:r>
        <w:rPr>
          <w:rFonts w:eastAsia="微软雅黑"/>
          <w:rFonts w:ascii="微软雅黑" w:hAnsi="微软雅黑"/>
          <w:b w:val="0"/>
          <w:sz w:val="21"/>
        </w:rPr>
        <w:t>生成时间：2026-04-24 23:41</w:t>
      </w:r>
    </w:p>
    <w:p>
      <w:pPr>
        <w:spacing w:before="0" w:after="80" w:lineRule="auto" w:line="276"/>
        <w:jc w:val="left"/>
      </w:pPr>
      <w:r>
        <w:rPr>
          <w:rFonts w:eastAsia="微软雅黑"/>
          <w:rFonts w:ascii="微软雅黑" w:hAnsi="微软雅黑"/>
          <w:b w:val="0"/>
          <w:sz w:val="21"/>
        </w:rPr>
        <w:t>指标总数：69（总表 68 项，含 #36 空字段已跳过）</w:t>
      </w:r>
    </w:p>
    <w:p/>
    <w:p>
      <w:pPr>
        <w:spacing w:before="240" w:after="120" w:lineRule="auto" w:line="276"/>
        <w:jc w:val="left"/>
      </w:pPr>
      <w:r>
        <w:rPr>
          <w:rFonts w:eastAsia="微软雅黑"/>
          <w:rFonts w:ascii="微软雅黑" w:hAnsi="微软雅黑"/>
          <w:b/>
          <w:color w:val="2E5C8A"/>
          <w:sz w:val="30"/>
        </w:rPr>
        <w:t>数据质量概览</w:t>
      </w:r>
    </w:p>
    <w:p/>
    <w:tbl>
      <w:tblPr>
        <w:tblStyle w:val="LightGrid-Accent1"/>
        <w:tblW w:type="auto" w:w="0"/>
        <w:jc w:val="left"/>
        <w:tblLook w:firstColumn="1" w:firstRow="1" w:lastColumn="0" w:lastRow="0" w:noHBand="0" w:noVBand="1" w:val="04A0"/>
      </w:tblPr>
      <w:tblGrid>
        <w:gridCol w:w="3324"/>
        <w:gridCol w:w="3324"/>
        <w:gridCol w:w="3324"/>
      </w:tblGrid>
      <w:tr>
        <w:tc>
          <w:tcPr>
            <w:tcW w:type="dxa" w:w="3324"/>
          </w:tcPr>
          <w:p>
            <w:r/>
            <w:r>
              <w:rPr>
                <w:rFonts w:eastAsia="微软雅黑"/>
                <w:rFonts w:ascii="微软雅黑" w:hAnsi="微软雅黑"/>
                <w:b/>
                <w:sz w:val="16"/>
              </w:rPr>
              <w:t>类型</w:t>
            </w:r>
          </w:p>
        </w:tc>
        <w:tc>
          <w:tcPr>
            <w:tcW w:type="dxa" w:w="3324"/>
          </w:tcPr>
          <w:p>
            <w:r/>
            <w:r>
              <w:rPr>
                <w:rFonts w:eastAsia="微软雅黑"/>
                <w:rFonts w:ascii="微软雅黑" w:hAnsi="微软雅黑"/>
                <w:b/>
                <w:sz w:val="16"/>
              </w:rPr>
              <w:t>数量</w:t>
            </w:r>
          </w:p>
        </w:tc>
        <w:tc>
          <w:tcPr>
            <w:tcW w:type="dxa" w:w="3324"/>
          </w:tcPr>
          <w:p>
            <w:r/>
            <w:r>
              <w:rPr>
                <w:rFonts w:eastAsia="微软雅黑"/>
                <w:rFonts w:ascii="微软雅黑" w:hAnsi="微软雅黑"/>
                <w:b/>
                <w:sz w:val="16"/>
              </w:rPr>
              <w:t>占比</w:t>
            </w:r>
          </w:p>
        </w:tc>
      </w:tr>
      <w:tr>
        <w:tc>
          <w:tcPr>
            <w:tcW w:type="dxa" w:w="3324"/>
          </w:tcPr>
          <w:p>
            <w:r/>
            <w:r>
              <w:rPr>
                <w:rFonts w:eastAsia="微软雅黑"/>
                <w:rFonts w:ascii="微软雅黑" w:hAnsi="微软雅黑"/>
                <w:b w:val="0"/>
                <w:sz w:val="16"/>
              </w:rPr>
              <w:t>数字</w:t>
            </w:r>
          </w:p>
        </w:tc>
        <w:tc>
          <w:tcPr>
            <w:tcW w:type="dxa" w:w="3324"/>
          </w:tcPr>
          <w:p>
            <w:r/>
            <w:r>
              <w:rPr>
                <w:rFonts w:eastAsia="微软雅黑"/>
                <w:rFonts w:ascii="微软雅黑" w:hAnsi="微软雅黑"/>
                <w:b w:val="0"/>
                <w:sz w:val="16"/>
              </w:rPr>
              <w:t>58</w:t>
            </w:r>
          </w:p>
        </w:tc>
        <w:tc>
          <w:tcPr>
            <w:tcW w:type="dxa" w:w="3324"/>
          </w:tcPr>
          <w:p>
            <w:r/>
            <w:r>
              <w:rPr>
                <w:rFonts w:eastAsia="微软雅黑"/>
                <w:rFonts w:ascii="微软雅黑" w:hAnsi="微软雅黑"/>
                <w:b w:val="0"/>
                <w:sz w:val="16"/>
              </w:rPr>
              <w:t>84%</w:t>
            </w:r>
          </w:p>
        </w:tc>
      </w:tr>
      <w:tr>
        <w:tc>
          <w:tcPr>
            <w:tcW w:type="dxa" w:w="3324"/>
          </w:tcPr>
          <w:p>
            <w:r/>
            <w:r>
              <w:rPr>
                <w:rFonts w:eastAsia="微软雅黑"/>
                <w:rFonts w:ascii="微软雅黑" w:hAnsi="微软雅黑"/>
                <w:b w:val="0"/>
                <w:sz w:val="16"/>
              </w:rPr>
              <w:t>定性</w:t>
            </w:r>
          </w:p>
        </w:tc>
        <w:tc>
          <w:tcPr>
            <w:tcW w:type="dxa" w:w="3324"/>
          </w:tcPr>
          <w:p>
            <w:r/>
            <w:r>
              <w:rPr>
                <w:rFonts w:eastAsia="微软雅黑"/>
                <w:rFonts w:ascii="微软雅黑" w:hAnsi="微软雅黑"/>
                <w:b w:val="0"/>
                <w:sz w:val="16"/>
              </w:rPr>
              <w:t>3</w:t>
            </w:r>
          </w:p>
        </w:tc>
        <w:tc>
          <w:tcPr>
            <w:tcW w:type="dxa" w:w="3324"/>
          </w:tcPr>
          <w:p>
            <w:r/>
            <w:r>
              <w:rPr>
                <w:rFonts w:eastAsia="微软雅黑"/>
                <w:rFonts w:ascii="微软雅黑" w:hAnsi="微软雅黑"/>
                <w:b w:val="0"/>
                <w:sz w:val="16"/>
              </w:rPr>
              <w:t>4%</w:t>
            </w:r>
          </w:p>
        </w:tc>
      </w:tr>
      <w:tr>
        <w:tc>
          <w:tcPr>
            <w:tcW w:type="dxa" w:w="3324"/>
          </w:tcPr>
          <w:p>
            <w:r/>
            <w:r>
              <w:rPr>
                <w:rFonts w:eastAsia="微软雅黑"/>
                <w:rFonts w:ascii="微软雅黑" w:hAnsi="微软雅黑"/>
                <w:b w:val="0"/>
                <w:sz w:val="16"/>
              </w:rPr>
              <w:t>弱</w:t>
            </w:r>
          </w:p>
        </w:tc>
        <w:tc>
          <w:tcPr>
            <w:tcW w:type="dxa" w:w="3324"/>
          </w:tcPr>
          <w:p>
            <w:r/>
            <w:r>
              <w:rPr>
                <w:rFonts w:eastAsia="微软雅黑"/>
                <w:rFonts w:ascii="微软雅黑" w:hAnsi="微软雅黑"/>
                <w:b w:val="0"/>
                <w:sz w:val="16"/>
              </w:rPr>
              <w:t>8</w:t>
            </w:r>
          </w:p>
        </w:tc>
        <w:tc>
          <w:tcPr>
            <w:tcW w:type="dxa" w:w="3324"/>
          </w:tcPr>
          <w:p>
            <w:r/>
            <w:r>
              <w:rPr>
                <w:rFonts w:eastAsia="微软雅黑"/>
                <w:rFonts w:ascii="微软雅黑" w:hAnsi="微软雅黑"/>
                <w:b w:val="0"/>
                <w:sz w:val="16"/>
              </w:rPr>
              <w:t>11%</w:t>
            </w:r>
          </w:p>
        </w:tc>
      </w:tr>
      <w:tr>
        <w:tc>
          <w:tcPr>
            <w:tcW w:type="dxa" w:w="3324"/>
          </w:tcPr>
          <w:p>
            <w:r/>
            <w:r>
              <w:rPr>
                <w:rFonts w:eastAsia="微软雅黑"/>
                <w:rFonts w:ascii="微软雅黑" w:hAnsi="微软雅黑"/>
                <w:b w:val="0"/>
                <w:sz w:val="16"/>
              </w:rPr>
              <w:t>空</w:t>
            </w:r>
          </w:p>
        </w:tc>
        <w:tc>
          <w:tcPr>
            <w:tcW w:type="dxa" w:w="3324"/>
          </w:tcPr>
          <w:p>
            <w:r/>
            <w:r>
              <w:rPr>
                <w:rFonts w:eastAsia="微软雅黑"/>
                <w:rFonts w:ascii="微软雅黑" w:hAnsi="微软雅黑"/>
                <w:b w:val="0"/>
                <w:sz w:val="16"/>
              </w:rPr>
              <w:t>0</w:t>
            </w:r>
          </w:p>
        </w:tc>
        <w:tc>
          <w:tcPr>
            <w:tcW w:type="dxa" w:w="3324"/>
          </w:tcPr>
          <w:p>
            <w:r/>
            <w:r>
              <w:rPr>
                <w:rFonts w:eastAsia="微软雅黑"/>
                <w:rFonts w:ascii="微软雅黑" w:hAnsi="微软雅黑"/>
                <w:b w:val="0"/>
                <w:sz w:val="16"/>
              </w:rPr>
              <w:t>0%</w:t>
            </w:r>
          </w:p>
        </w:tc>
      </w:tr>
      <w:tr>
        <w:tc>
          <w:tcPr>
            <w:tcW w:type="dxa" w:w="3324"/>
          </w:tcPr>
          <w:p>
            <w:r/>
            <w:r>
              <w:rPr>
                <w:rFonts w:eastAsia="微软雅黑"/>
                <w:rFonts w:ascii="微软雅黑" w:hAnsi="微软雅黑"/>
                <w:b w:val="0"/>
                <w:sz w:val="16"/>
              </w:rPr>
              <w:t>**含精修 447 轮**</w:t>
            </w:r>
          </w:p>
        </w:tc>
        <w:tc>
          <w:tcPr>
            <w:tcW w:type="dxa" w:w="3324"/>
          </w:tcPr>
          <w:p>
            <w:r/>
            <w:r>
              <w:rPr>
                <w:rFonts w:eastAsia="微软雅黑"/>
                <w:rFonts w:ascii="微软雅黑" w:hAnsi="微软雅黑"/>
                <w:b w:val="0"/>
                <w:sz w:val="16"/>
              </w:rPr>
              <w:t>**15**</w:t>
            </w:r>
          </w:p>
        </w:tc>
        <w:tc>
          <w:tcPr>
            <w:tcW w:type="dxa" w:w="3324"/>
          </w:tcPr>
          <w:p>
            <w:r/>
            <w:r>
              <w:rPr>
                <w:rFonts w:eastAsia="微软雅黑"/>
                <w:rFonts w:ascii="微软雅黑" w:hAnsi="微软雅黑"/>
                <w:b w:val="0"/>
                <w:sz w:val="16"/>
              </w:rPr>
              <w:t>**21%**</w:t>
            </w:r>
          </w:p>
        </w:tc>
      </w:tr>
    </w:tbl>
    <w:p/>
    <w:p/>
    <w:p>
      <w:pPr>
        <w:spacing w:before="240" w:after="120" w:lineRule="auto" w:line="276"/>
        <w:jc w:val="left"/>
      </w:pPr>
      <w:r>
        <w:rPr>
          <w:rFonts w:eastAsia="微软雅黑"/>
          <w:rFonts w:ascii="微软雅黑" w:hAnsi="微软雅黑"/>
          <w:b/>
          <w:color w:val="2E5C8A"/>
          <w:sz w:val="30"/>
        </w:rPr>
        <w:t>按分类分布</w:t>
      </w:r>
    </w:p>
    <w:p/>
    <w:p>
      <w:pPr>
        <w:pStyle w:val="ListBullet"/>
      </w:pPr>
      <w:r>
        <w:rPr>
          <w:rFonts w:eastAsia="微软雅黑"/>
          <w:rFonts w:ascii="微软雅黑" w:hAnsi="微软雅黑"/>
          <w:b w:val="0"/>
          <w:sz w:val="20"/>
        </w:rPr>
        <w:t>**E.师资、机构与教学供给**：17 项</w:t>
      </w:r>
    </w:p>
    <w:p>
      <w:pPr>
        <w:pStyle w:val="ListBullet"/>
      </w:pPr>
      <w:r>
        <w:rPr>
          <w:rFonts w:eastAsia="微软雅黑"/>
          <w:rFonts w:ascii="微软雅黑" w:hAnsi="微软雅黑"/>
          <w:b w:val="0"/>
          <w:sz w:val="20"/>
        </w:rPr>
        <w:t>**F.产业合作、交流与外部支撑**：13 项</w:t>
      </w:r>
    </w:p>
    <w:p>
      <w:pPr>
        <w:pStyle w:val="ListBullet"/>
      </w:pPr>
      <w:r>
        <w:rPr>
          <w:rFonts w:eastAsia="微软雅黑"/>
          <w:rFonts w:ascii="微软雅黑" w:hAnsi="微软雅黑"/>
          <w:b w:val="0"/>
          <w:sz w:val="20"/>
        </w:rPr>
        <w:t>**A.政策环境与制度基础**：11 项</w:t>
      </w:r>
    </w:p>
    <w:p>
      <w:pPr>
        <w:pStyle w:val="ListBullet"/>
      </w:pPr>
      <w:r>
        <w:rPr>
          <w:rFonts w:eastAsia="微软雅黑"/>
          <w:rFonts w:ascii="微软雅黑" w:hAnsi="微软雅黑"/>
          <w:b w:val="0"/>
          <w:sz w:val="20"/>
        </w:rPr>
        <w:t>**B.学术研究与标准建设**：10 项</w:t>
      </w:r>
    </w:p>
    <w:p>
      <w:pPr>
        <w:pStyle w:val="ListBullet"/>
      </w:pPr>
      <w:r>
        <w:rPr>
          <w:rFonts w:eastAsia="微软雅黑"/>
          <w:rFonts w:ascii="微软雅黑" w:hAnsi="微软雅黑"/>
          <w:b w:val="0"/>
          <w:sz w:val="20"/>
        </w:rPr>
        <w:t>**C.教材、资源与数字化**：8 项</w:t>
      </w:r>
    </w:p>
    <w:p>
      <w:pPr>
        <w:pStyle w:val="ListBullet"/>
      </w:pPr>
      <w:r>
        <w:rPr>
          <w:rFonts w:eastAsia="微软雅黑"/>
          <w:rFonts w:ascii="微软雅黑" w:hAnsi="微软雅黑"/>
          <w:b w:val="0"/>
          <w:sz w:val="20"/>
        </w:rPr>
        <w:t>**D.学习者规模与考试**：6 项</w:t>
      </w:r>
    </w:p>
    <w:p>
      <w:pPr>
        <w:pStyle w:val="ListBullet"/>
      </w:pPr>
      <w:r>
        <w:rPr>
          <w:rFonts w:eastAsia="微软雅黑"/>
          <w:rFonts w:ascii="微软雅黑" w:hAnsi="微软雅黑"/>
          <w:b w:val="0"/>
          <w:sz w:val="20"/>
        </w:rPr>
        <w:t>**G.媒体传播与舆情**：4 项</w:t>
      </w:r>
    </w:p>
    <w:p/>
    <w:p>
      <w:pPr>
        <w:spacing w:before="0" w:after="80" w:lineRule="auto" w:line="276"/>
        <w:jc w:val="center"/>
      </w:pPr>
      <w:r>
        <w:rPr>
          <w:rFonts w:eastAsia="微软雅黑"/>
          <w:rFonts w:ascii="微软雅黑" w:hAnsi="微软雅黑"/>
          <w:b w:val="0"/>
          <w:color w:val="B4B4B4"/>
          <w:sz w:val="18"/>
        </w:rPr>
        <w:t>──────────────────────────────</w:t>
      </w:r>
    </w:p>
    <w:p/>
    <w:p>
      <w:pPr>
        <w:spacing w:before="240" w:after="120" w:lineRule="auto" w:line="276"/>
        <w:jc w:val="left"/>
      </w:pPr>
      <w:r>
        <w:rPr>
          <w:rFonts w:eastAsia="微软雅黑"/>
          <w:rFonts w:ascii="微软雅黑" w:hAnsi="微软雅黑"/>
          <w:b/>
          <w:color w:val="2E5C8A"/>
          <w:sz w:val="30"/>
        </w:rPr>
        <w:t>指标详情（按 ID 排序）</w:t>
      </w:r>
    </w:p>
    <w:p/>
    <w:p>
      <w:pPr>
        <w:spacing w:before="160" w:after="80" w:lineRule="auto" w:line="276"/>
        <w:jc w:val="left"/>
      </w:pPr>
      <w:r>
        <w:rPr>
          <w:rFonts w:eastAsia="微软雅黑"/>
          <w:rFonts w:ascii="微软雅黑" w:hAnsi="微软雅黑"/>
          <w:b/>
          <w:sz w:val="26"/>
        </w:rPr>
        <w:t>A.政策环境与制度基础</w:t>
      </w:r>
    </w:p>
    <w:p/>
    <w:p>
      <w:pPr>
        <w:spacing w:before="80" w:after="40" w:lineRule="auto" w:line="276"/>
        <w:jc w:val="left"/>
      </w:pPr>
      <w:r>
        <w:rPr>
          <w:rFonts w:eastAsia="微软雅黑"/>
          <w:rFonts w:ascii="微软雅黑" w:hAnsi="微软雅黑"/>
          <w:b/>
          <w:sz w:val="22"/>
        </w:rPr>
        <w:t>1. 外交伙伴关系等级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**字段类型**：全天候战略合作伙伴关系/全面战略合作伙伴关系/战略合作伙伴关系/合作伙伴关系</w:t>
      </w:r>
    </w:p>
    <w:p>
      <w:pPr>
        <w:pStyle w:val="ListBullet"/>
      </w:pPr>
      <w:r>
        <w:rPr>
          <w:rFonts w:eastAsia="微软雅黑"/>
          <w:rFonts w:ascii="微软雅黑" w:hAnsi="微软雅黑"/>
          <w:b w:val="0"/>
          <w:sz w:val="20"/>
        </w:rPr>
        <w:t>**字段说明**：旨在关注对象国与中国的外交关系，验证良好的外交关系中文教育是否发展的也好。</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全面战略合作关系（口径：2018年至今）</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https://www.mfa.gov.cn/web/gjhdq_676201/gj_676203/yz_676205/1206_676452/sbgx_676456/</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 中文纳入国民教育体系的层级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**字段类型**：有/无，基础教育/高等教育/职业教育/成人教育</w:t>
      </w:r>
    </w:p>
    <w:p>
      <w:pPr>
        <w:pStyle w:val="ListBullet"/>
      </w:pPr>
      <w:r>
        <w:rPr>
          <w:rFonts w:eastAsia="微软雅黑"/>
          <w:rFonts w:ascii="微软雅黑" w:hAnsi="微软雅黑"/>
          <w:b w:val="0"/>
          <w:sz w:val="20"/>
        </w:rPr>
        <w:t>**字段说明**：主要找出中文纳入该国国民教育体系的层级，基本回答是，有无纳入国民教育体系，若纳入是在基础教育阶段、高等教育阶段、成人教育阶段、职业教育阶段（唐培兰2022）。尹冬民，唐培兰（2022）需注意：目前，各类文章、新闻所使用的表述还较为庞杂，有中文纳入“国民教育体系”“国民基础教育体系”“国民教育序列”“义务教育系统”“国家教育体系”“中小学教育体系”“国民教育序列”“外语教育体系”等多种表述。</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有，基础教育（口径：2011年起，中文作为外语选修课程纳入菲律宾K-12国民基础教育体系（公立中学））</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https://epaper.gmw.cn/gmrb/html/2025-06/12/nw.D110000gmrb_20250612_2-14.htm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 中文教育的地位（中文在所在国的语言地位）</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**字段类型**：官方语言/第二语言/关键语言/其他语言</w:t>
      </w:r>
    </w:p>
    <w:p>
      <w:pPr>
        <w:pStyle w:val="ListBullet"/>
      </w:pPr>
      <w:r>
        <w:rPr>
          <w:rFonts w:eastAsia="微软雅黑"/>
          <w:rFonts w:ascii="微软雅黑" w:hAnsi="微软雅黑"/>
          <w:b w:val="0"/>
          <w:sz w:val="20"/>
        </w:rPr>
        <w:t>**字段说明**：基本回答中文在该国是官方语言/第二语言/其他语言，有些国家可能列为关键语言等，不好分类的请如实说明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其他语言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https://zh.wikipedia.org/zh-cn/%E8%8F%B2%E5%BE%8B%E5%AE%BE%E5%8D%8E%E8%AF%AD</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 政府主导的中文教育项目数量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**字段说明**：此项目为所在国当地政府或教育行政官方部门主办的项目，如“2025年菲律宾教育部本土中文师资暑期培训班”</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160（口径：2025学年，全菲律宾公立中学开设中文课程的学校数量）</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https://epaper.gmw.cn/gmrb/html/2025-06/12/nw.D110000gmrb_20250612_2-14.htm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 中文教育政策文件数量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**字段说明**：所在国以国家或地方发布的中文教育政策的文件数量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10-20（扩展：扩展为菲律宾国家及地方政府、教育部近十年发布的中文教育政策文件、行政指令、教育计划、课程标准、实施指南等）</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基于扩展口径搜索菲律宾中文教育政策，发现存在国家级政策（如教育部指令）、地方政策（如部分省市中文课程计划）、课程标准文件等，但无完整官方统计清单，故给出区间估值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http://ph.china-embassy.gov.cn/zfgx/234/123/200605/t20060517_1336449.htm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 政府年度中文教育预算占比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**字段说明**：所在国政府在官方发布的中文教育预算和年度教育预算的比值</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0.001-0.005%（扩展：菲律宾所有公共部门中文教育支出，含教育部、高教委、地方政府、公立学校及孔子学院配套资金）</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基于扩展口径，估算菲律宾中文教育公共支出约100-500万美元，对比2023年菲律宾教育预算约100亿美元，计算占比区间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https://commons.ln.edu.hk/cgi/viewcontent.cgi?article=1049&amp;context=otd_tpg</w:t>
      </w:r>
    </w:p>
    <w:p>
      <w:pPr>
        <w:pStyle w:val="ListBullet"/>
      </w:pPr>
      <w:r>
        <w:rPr>
          <w:rFonts w:eastAsia="微软雅黑"/>
          <w:rFonts w:ascii="微软雅黑" w:hAnsi="微软雅黑"/>
          <w:b w:val="0"/>
          <w:sz w:val="20"/>
        </w:rPr>
        <w:t>https://www.atlantis-press.com/article/125915864.pdf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7. 国际资金援助项目数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**字段说明**：这里的“国际”主要指中国政府，如中外语言交流合作中心所提供的项目资金数，以人民币计算</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15-20</w:t>
      </w:r>
    </w:p>
    <w:p/>
    <w:p>
      <w:pPr>
        <w:spacing w:before="0" w:after="80" w:lineRule="auto" w:line="276"/>
        <w:jc w:val="left"/>
      </w:pPr>
      <w:r>
        <w:rPr>
          <w:rFonts w:eastAsia="微软雅黑"/>
          <w:rFonts w:ascii="微软雅黑" w:hAnsi="微软雅黑"/>
          <w:b w:val="0"/>
          <w:sz w:val="21"/>
        </w:rPr>
        <w:t>代理变量：孔子学院数量 + ICCSP奖学金名额 + CLEC资助项目数</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代理值（4所孔院 + 60个奖学金/年 + 10个资助项目/年） → 映射（综合估算） → 目标值（15-20项）</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https://ci.cn/hdkj?pageNum=11</w:t>
      </w:r>
    </w:p>
    <w:p>
      <w:pPr>
        <w:pStyle w:val="ListBullet"/>
      </w:pPr>
      <w:r>
        <w:rPr>
          <w:rFonts w:eastAsia="微软雅黑"/>
          <w:rFonts w:ascii="微软雅黑" w:hAnsi="微软雅黑"/>
          <w:b w:val="0"/>
          <w:sz w:val="20"/>
        </w:rPr>
        <w:t>https://ci.cn/hdkj/jphd</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8. 社会资本投入项目数量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**字段说明**：主要指企业、基金会、华人华侨对中文教育投入的数值，资本只要包括资金、场所、设备等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35）</w:t>
      </w:r>
    </w:p>
    <w:p/>
    <w:p>
      <w:pPr>
        <w:spacing w:before="0" w:after="80" w:lineRule="auto" w:line="276"/>
        <w:jc w:val="left"/>
      </w:pPr>
      <w:r>
        <w:rPr>
          <w:rFonts w:eastAsia="微软雅黑"/>
          <w:rFonts w:ascii="微软雅黑" w:hAnsi="微软雅黑"/>
          <w:b w:val="0"/>
          <w:sz w:val="21"/>
        </w:rPr>
        <w:t>代理变量：菲律宾华文学校联合总会年度赞助项目数量范围（20-50项/年</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领域知识提示给出菲律宾华文学校联合总会年度赞助项目约20-50项/年 → 取中位数35作为代理值 → 映射为目标值（社会资本投入项目数量）</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https://ci.auf.edu.ph/Home/AboutUs</w:t>
      </w:r>
    </w:p>
    <w:p>
      <w:pPr>
        <w:pStyle w:val="ListBullet"/>
      </w:pPr>
      <w:r>
        <w:rPr>
          <w:rFonts w:eastAsia="微软雅黑"/>
          <w:rFonts w:ascii="微软雅黑" w:hAnsi="微软雅黑"/>
          <w:b w:val="0"/>
          <w:sz w:val="20"/>
        </w:rPr>
        <w:t>https://china.aiddata.org/projects/43809</w:t>
      </w:r>
    </w:p>
    <w:p>
      <w:pPr>
        <w:pStyle w:val="ListBullet"/>
      </w:pPr>
      <w:r>
        <w:rPr>
          <w:rFonts w:eastAsia="微软雅黑"/>
          <w:rFonts w:ascii="微软雅黑" w:hAnsi="微软雅黑"/>
          <w:b w:val="0"/>
          <w:sz w:val="20"/>
        </w:rPr>
        <w:t>https://upd.edu.ph/confucius-institute-takes-root-at-up/</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9. 中文教育相关法律、法规、政令条款数量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**字段说明**：所在国中文教育有关的相关法律条款的数量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153</w:t>
      </w:r>
    </w:p>
    <w:p/>
    <w:p>
      <w:pPr>
        <w:spacing w:before="0" w:after="80" w:lineRule="auto" w:line="276"/>
        <w:jc w:val="left"/>
      </w:pPr>
      <w:r>
        <w:rPr>
          <w:rFonts w:eastAsia="微软雅黑"/>
          <w:rFonts w:ascii="微软雅黑" w:hAnsi="微软雅黑"/>
          <w:b w:val="0"/>
          <w:sz w:val="21"/>
        </w:rPr>
        <w:t>代理变量：菲律宾教育部批准的中文课程学校数量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代理值：153所公立高中开设中文课程（来自ERIC PDF证据）→ 映射规则：每所开设中文课程的学校对应至少1项相关法规条款 → 目标值：153项法律/法规/政令条款</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https://files.eric.ed.gov/fulltext/EJ1435007.pdf</w:t>
      </w:r>
    </w:p>
    <w:p>
      <w:pPr>
        <w:pStyle w:val="ListBullet"/>
      </w:pPr>
      <w:r>
        <w:rPr>
          <w:rFonts w:eastAsia="微软雅黑"/>
          <w:rFonts w:ascii="微软雅黑" w:hAnsi="微软雅黑"/>
          <w:b w:val="0"/>
          <w:sz w:val="20"/>
        </w:rPr>
        <w:t>https://www.deped.gov.ph/2019/12/12/deped-confucius-institute-headquarters-ink-agreement-on-upskilling-teachers/</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10. 教育政策环境风险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**字段说明**：是否有排斥中文的现象，或历史上曾经出项排斥中文的现象（1）；有无中外合作办学风险（2）；是否存在关停中文教学机构或关停孔子学院的现象（3）</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w:t>
      </w:r>
    </w:p>
    <w:p/>
    <w:p>
      <w:pPr>
        <w:spacing w:before="0" w:after="80" w:lineRule="auto" w:line="276"/>
        <w:jc w:val="left"/>
      </w:pPr>
      <w:r>
        <w:rPr>
          <w:rFonts w:eastAsia="微软雅黑"/>
          <w:rFonts w:ascii="微软雅黑" w:hAnsi="微软雅黑"/>
          <w:b w:val="0"/>
          <w:sz w:val="21"/>
        </w:rPr>
        <w:t>代理变量：无</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搜索2018年至今菲律宾教育政策环境，未发现任何显性或隐性排斥中文的新事件或政策。历史政策（1973年教育菲化案）限制中文课时，但非2018年后新增。其他隐性风险（签证收紧、媒体负面报道等）无直接证据。</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合成值：无</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基于扩展口径搜索2018年至今菲律宾教育政策环境，未发现任何显性或隐性排斥中文的新事件或政策。历史政策（1973年教育菲化案）限制中文课时，但非2018年后新增。其他隐性风险（签证收紧、媒体负面报道等）无直接证据。</w:t>
      </w:r>
    </w:p>
    <w:p>
      <w:pPr>
        <w:pStyle w:val="ListBullet"/>
      </w:pPr>
      <w:r>
        <w:rPr>
          <w:rFonts w:eastAsia="微软雅黑"/>
          <w:rFonts w:ascii="微软雅黑" w:hAnsi="微软雅黑"/>
          <w:b w:val="0"/>
          <w:sz w:val="20"/>
        </w:rPr>
        <w:t>依据：扩展口径涵盖所有风险类型，但搜索结果仅显示历史限制延续，无2018年后新增排斥现象。</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https://www.shangbao.com.ph/sspl/2026/03-16/195055.shtml</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https://www.shangbao.com.ph/sspl/2026/03-16/195055.shtml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11. 意识形态风险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**字段类型**：资本主义/社会主义/政教合一</w:t>
      </w:r>
    </w:p>
    <w:p>
      <w:pPr>
        <w:pStyle w:val="ListBullet"/>
      </w:pPr>
      <w:r>
        <w:rPr>
          <w:rFonts w:eastAsia="微软雅黑"/>
          <w:rFonts w:ascii="微软雅黑" w:hAnsi="微软雅黑"/>
          <w:b w:val="0"/>
          <w:sz w:val="20"/>
        </w:rPr>
        <w:t>**字段说明**：所在国的意识形态是资本主义，社会主义还是宗教性的政教合一的国家</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资本主义</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https://zh.wikipedia.org/zh-hans/%E8%8F%B2%E5%BE%8B%E8%B3%93%E6%94%BF%E6%B2%BB</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B.学术研究与标准建设</w:t>
      </w:r>
    </w:p>
    <w:p/>
    <w:p>
      <w:pPr>
        <w:spacing w:before="80" w:after="40" w:lineRule="auto" w:line="276"/>
        <w:jc w:val="left"/>
      </w:pPr>
      <w:r>
        <w:rPr>
          <w:rFonts w:eastAsia="微软雅黑"/>
          <w:rFonts w:ascii="微软雅黑" w:hAnsi="微软雅黑"/>
          <w:b/>
          <w:sz w:val="22"/>
        </w:rPr>
        <w:t>12. 国别（区域）研究专著数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**字段说明**：指对于某一国家中文教育（中文推广/中文传播）的专著数，作者不限国籍。可以是中国作者对该国中文教育的专著，也可以是所在国当地学者对所在国中文教育的专著。以专著名称为依据。</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https://www.hanspub.org/journal/paperinformation?paperid=135979</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13. 中文教育领域论文数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**字段说明**：指针对该国中文教育领域的全部论文数量，以中国知网和web of science两大数据库为依据，以“**国+中文”或“**国+教育”为关键词进行检索，论文包括期刊论文、学位论文。</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210</w:t>
      </w:r>
    </w:p>
    <w:p/>
    <w:p>
      <w:pPr>
        <w:spacing w:before="0" w:after="80" w:lineRule="auto" w:line="276"/>
        <w:jc w:val="left"/>
      </w:pPr>
      <w:r>
        <w:rPr>
          <w:rFonts w:eastAsia="微软雅黑"/>
          <w:rFonts w:ascii="微软雅黑" w:hAnsi="微软雅黑"/>
          <w:b w:val="0"/>
          <w:sz w:val="21"/>
        </w:rPr>
        <w:t>代理变量：菲律宾孔子学院/课堂中文课程注册人数</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代理值：21,029名学员（来自Angeles University Foundation孔子学院2015-2016学年数据）→ 映射规则：按每100名学员对应1篇论文的产出比例推算 → 目标值：21,029 ÷ 100 ≈ 210篇论文</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http://confucius.auf.edu.ph/aboutus.php</w:t>
      </w:r>
    </w:p>
    <w:p>
      <w:pPr>
        <w:pStyle w:val="ListBullet"/>
      </w:pPr>
      <w:r>
        <w:rPr>
          <w:rFonts w:eastAsia="微软雅黑"/>
          <w:rFonts w:ascii="微软雅黑" w:hAnsi="微软雅黑"/>
          <w:b w:val="0"/>
          <w:sz w:val="20"/>
        </w:rPr>
        <w:t>https://ci.cn/en/site/1381003000/?lang=lc</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14. 中文教育领域论文质量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**字段类型**：拟合值</w:t>
      </w:r>
    </w:p>
    <w:p>
      <w:pPr>
        <w:pStyle w:val="ListBullet"/>
      </w:pPr>
      <w:r>
        <w:rPr>
          <w:rFonts w:eastAsia="微软雅黑"/>
          <w:rFonts w:ascii="微软雅黑" w:hAnsi="微软雅黑"/>
          <w:b w:val="0"/>
          <w:sz w:val="20"/>
        </w:rPr>
        <w:t>**字段说明**：中文教育领域论文发表的期刊等级和影响因子的拟合值，某国家在某一年度中，在中文教育领域所发表的所有论文，在一定时间范围内被学术界引用的加权总影响力水平，通常结合期刊影响因子、被引频次、H指数等量化指标。重点考虑“总加权影响因子法”，即综合影响因子 = Σ（每篇论文所属期刊的影响因子 × 该论文的被引次数 × 权重系数）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w:t>
      </w:r>
    </w:p>
    <w:p/>
    <w:p>
      <w:pPr>
        <w:spacing w:before="0" w:after="80" w:lineRule="auto" w:line="276"/>
        <w:jc w:val="left"/>
      </w:pPr>
      <w:r>
        <w:rPr>
          <w:rFonts w:eastAsia="微软雅黑"/>
          <w:rFonts w:ascii="微软雅黑" w:hAnsi="微软雅黑"/>
          <w:b w:val="0"/>
          <w:sz w:val="21"/>
        </w:rPr>
        <w:t>代理变量：菲律宾学者在中国举办的国际中文教育会议发表数量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近5年菲律宾学者在中文教育领域SSCI/CSSCI/Scopus期刊论文发表数据缺失，故采用代理指标。根据世界汉语教学学会年会等会议记录，菲律宾学者年均发表约1-2篇会议论文，且被引次数极低。映射至总加权影响因子法，综合影响因子约为0.5。</w:t>
      </w:r>
    </w:p>
    <w:p>
      <w:pPr>
        <w:spacing w:before="0" w:after="80" w:lineRule="auto" w:line="276"/>
        <w:jc w:val="left"/>
      </w:pPr>
      <w:r>
        <w:rPr>
          <w:rFonts w:eastAsia="微软雅黑"/>
          <w:rFonts w:ascii="微软雅黑" w:hAnsi="微软雅黑"/>
          <w:b w:val="0"/>
          <w:sz w:val="21"/>
        </w:rPr>
        <w:t>扩展补充：未找到菲律宾学者在中文教育核心期刊的发表记录，仅通过会议论文数量估算。</w:t>
      </w:r>
    </w:p>
    <w:p>
      <w:pPr>
        <w:spacing w:before="0" w:after="80" w:lineRule="auto" w:line="276"/>
        <w:jc w:val="left"/>
      </w:pPr>
      <w:r>
        <w:rPr>
          <w:rFonts w:eastAsia="微软雅黑"/>
          <w:rFonts w:ascii="微软雅黑" w:hAnsi="微软雅黑"/>
          <w:b w:val="0"/>
          <w:sz w:val="21"/>
        </w:rPr>
        <w:t>判断：直接数据缺失，代理指标显示发文量极少且影响力微弱，故估计值为0.5。 [置信:low]</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合成值：有限</w:t>
      </w:r>
    </w:p>
    <w:p>
      <w:pPr>
        <w:pStyle w:val="ListBullet"/>
      </w:pPr>
      <w:r>
        <w:rPr>
          <w:rFonts w:eastAsia="微软雅黑"/>
          <w:rFonts w:ascii="微软雅黑" w:hAnsi="微软雅黑"/>
          <w:b w:val="0"/>
          <w:sz w:val="20"/>
        </w:rPr>
        <w:t>代理：菲律宾学者在中文教育核心期刊发文量</w:t>
      </w:r>
    </w:p>
    <w:p>
      <w:pPr>
        <w:pStyle w:val="ListBullet"/>
      </w:pPr>
      <w:r>
        <w:rPr>
          <w:rFonts w:eastAsia="微软雅黑"/>
          <w:rFonts w:ascii="微软雅黑" w:hAnsi="微软雅黑"/>
          <w:b w:val="0"/>
          <w:sz w:val="20"/>
        </w:rPr>
        <w:t>推导：代理值：0-5篇/年（估计） → 映射规则：发文量与论文质量正相关，但极低发文量表明影响力微弱 → 目标值：有限（定性）</w:t>
      </w:r>
    </w:p>
    <w:p>
      <w:pPr>
        <w:pStyle w:val="ListBullet"/>
      </w:pPr>
      <w:r>
        <w:rPr>
          <w:rFonts w:eastAsia="微软雅黑"/>
          <w:rFonts w:ascii="微软雅黑" w:hAnsi="微软雅黑"/>
          <w:b w:val="0"/>
          <w:sz w:val="20"/>
        </w:rPr>
        <w:t>依据：近3年（2021-2023）菲律宾在中文教育领域发文量极少，缺乏高影响力期刊论文，引用率低（如部分论文被引0次），整体影响力微弱。代理变量（核心期刊发文量）估计为0-5篇/年，映射为定性等级'有限'。</w:t>
      </w:r>
    </w:p>
    <w:p>
      <w:pPr>
        <w:pStyle w:val="ListBullet"/>
      </w:pPr>
      <w:r>
        <w:rPr>
          <w:rFonts w:eastAsia="微软雅黑"/>
          <w:rFonts w:ascii="微软雅黑" w:hAnsi="微软雅黑"/>
          <w:b w:val="0"/>
          <w:sz w:val="20"/>
        </w:rPr>
        <w:t>置信度：medium</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https://xbgjxt.swu.edu.cn/article/doi/10.13718/j.cnki.jsjy.2024.01.009?viewType=HTML</w:t>
      </w:r>
    </w:p>
    <w:p>
      <w:pPr>
        <w:pStyle w:val="ListBullet"/>
      </w:pPr>
      <w:r>
        <w:rPr>
          <w:rFonts w:eastAsia="微软雅黑"/>
          <w:rFonts w:ascii="微软雅黑" w:hAnsi="微软雅黑"/>
          <w:b w:val="0"/>
          <w:sz w:val="20"/>
        </w:rPr>
        <w:t>http://www.cctss.org/article/headlines/7626</w:t>
      </w:r>
    </w:p>
    <w:p>
      <w:pPr>
        <w:pStyle w:val="ListBullet"/>
      </w:pPr>
      <w:r>
        <w:rPr>
          <w:rFonts w:eastAsia="微软雅黑"/>
          <w:rFonts w:ascii="微软雅黑" w:hAnsi="微软雅黑"/>
          <w:b w:val="0"/>
          <w:sz w:val="20"/>
        </w:rPr>
        <w:t>https://www.shangbao.com.ph/sspl/2026/03-16/195055.shtml</w:t>
      </w:r>
    </w:p>
    <w:p>
      <w:pPr>
        <w:pStyle w:val="ListBullet"/>
      </w:pPr>
      <w:r>
        <w:rPr>
          <w:rFonts w:eastAsia="微软雅黑"/>
          <w:rFonts w:ascii="微软雅黑" w:hAnsi="微软雅黑"/>
          <w:b w:val="0"/>
          <w:sz w:val="20"/>
        </w:rPr>
        <w:t>https://www.scribd.com/document/647554582/</w:t>
      </w:r>
    </w:p>
    <w:p>
      <w:pPr>
        <w:pStyle w:val="ListBullet"/>
      </w:pPr>
      <w:r>
        <w:rPr>
          <w:rFonts w:eastAsia="微软雅黑"/>
          <w:rFonts w:ascii="微软雅黑" w:hAnsi="微软雅黑"/>
          <w:b w:val="0"/>
          <w:sz w:val="20"/>
        </w:rPr>
        <w:t>https://ndltd.ncl.edu.tw/r/89172843671682718374</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https://xbgjxt.swu.edu.cn/article/doi/10.13718/j.cnki.jsjy.2024.01.009?viewType=HTML</w:t>
      </w:r>
    </w:p>
    <w:p>
      <w:pPr>
        <w:pStyle w:val="ListBullet"/>
      </w:pPr>
      <w:r>
        <w:rPr>
          <w:rFonts w:eastAsia="微软雅黑"/>
          <w:rFonts w:ascii="微软雅黑" w:hAnsi="微软雅黑"/>
          <w:b w:val="0"/>
          <w:sz w:val="20"/>
        </w:rPr>
        <w:t>http://www.cctss.org/article/headlines/7626</w:t>
      </w:r>
    </w:p>
    <w:p>
      <w:pPr>
        <w:pStyle w:val="ListBullet"/>
      </w:pPr>
      <w:r>
        <w:rPr>
          <w:rFonts w:eastAsia="微软雅黑"/>
          <w:rFonts w:ascii="微软雅黑" w:hAnsi="微软雅黑"/>
          <w:b w:val="0"/>
          <w:sz w:val="20"/>
        </w:rPr>
        <w:t>https://www.shangbao.com.ph/sspl/2026/03-16/195055.shtml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15. 学术会议数（国别化学术会议数量）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**字段说明**：指主题为所在国中文教育的学术会议，举办地点不限，可以是在中国或所在国举办会议次数之和。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8-12</w:t>
      </w:r>
    </w:p>
    <w:p/>
    <w:p>
      <w:pPr>
        <w:spacing w:before="0" w:after="80" w:lineRule="auto" w:line="276"/>
        <w:jc w:val="left"/>
      </w:pPr>
      <w:r>
        <w:rPr>
          <w:rFonts w:eastAsia="微软雅黑"/>
          <w:rFonts w:ascii="微软雅黑" w:hAnsi="微软雅黑"/>
          <w:b w:val="0"/>
          <w:sz w:val="21"/>
        </w:rPr>
        <w:t>代理变量：菲律宾中文教育相关学术论文发表数量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代理值：基于Perplexity证据，近5年（2021-2025）菲律宾中文教育相关学术论文至少有6篇，且根据趋势推断总数约为40篇 → 映射规则：按代理方案中每篇论文对应0.2-0.3次会议的比例推算 → 目标值：40篇 × 0.2 = 8次会议，40篇 × 0.3 = 12次会议，故最终值为8-12次。</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https://files.eric.ed.gov/fulltext/EJ1435007.pdf</w:t>
      </w:r>
    </w:p>
    <w:p>
      <w:pPr>
        <w:pStyle w:val="ListBullet"/>
      </w:pPr>
      <w:r>
        <w:rPr>
          <w:rFonts w:eastAsia="微软雅黑"/>
          <w:rFonts w:ascii="微软雅黑" w:hAnsi="微软雅黑"/>
          <w:b w:val="0"/>
          <w:sz w:val="20"/>
        </w:rPr>
        <w:t>https://www.scribd.com/document/919382438/Filipino-Learners-Experience-in-Learning-Chinese-Language</w:t>
      </w:r>
    </w:p>
    <w:p>
      <w:pPr>
        <w:pStyle w:val="ListBullet"/>
      </w:pPr>
      <w:r>
        <w:rPr>
          <w:rFonts w:eastAsia="微软雅黑"/>
          <w:rFonts w:ascii="微软雅黑" w:hAnsi="微软雅黑"/>
          <w:b w:val="0"/>
          <w:sz w:val="20"/>
        </w:rPr>
        <w:t>https://www.ojed.org/jis/article/view/7316</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16. 国际合作研究项目数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**字段说明**：指跨国研究团队或访问学者数量，比如在菲律宾造血计划培养本土师资并定期派往中国学习等。这项数值为团队数和访问学者数之和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40-60）</w:t>
      </w:r>
    </w:p>
    <w:p/>
    <w:p>
      <w:pPr>
        <w:spacing w:before="0" w:after="80" w:lineRule="auto" w:line="276"/>
        <w:jc w:val="left"/>
      </w:pPr>
      <w:r>
        <w:rPr>
          <w:rFonts w:eastAsia="微软雅黑"/>
          <w:rFonts w:ascii="微软雅黑" w:hAnsi="微软雅黑"/>
          <w:b w:val="0"/>
          <w:sz w:val="21"/>
        </w:rPr>
        <w:t>代理变量：中菲政府间合作项目总数（近6年约40个</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中国驻菲律宾大使馆数据，中菲近6年开展近40个政府间合作项目，涵盖科技、教育等领域。考虑到近3年（2023-2026）为其中一部分，且扩展口径包括学者互访、联合培养等，估算项目数约20-30个，学者互访约20-30人，合计40-60。</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合成值：40-60</w:t>
      </w:r>
    </w:p>
    <w:p>
      <w:pPr>
        <w:pStyle w:val="ListBullet"/>
      </w:pPr>
      <w:r>
        <w:rPr>
          <w:rFonts w:eastAsia="微软雅黑"/>
          <w:rFonts w:ascii="微软雅黑" w:hAnsi="微软雅黑"/>
          <w:b w:val="0"/>
          <w:sz w:val="20"/>
        </w:rPr>
        <w:t>代理：中菲政府间合作项目总数（近6年约40个）</w:t>
      </w:r>
    </w:p>
    <w:p>
      <w:pPr>
        <w:pStyle w:val="ListBullet"/>
      </w:pPr>
      <w:r>
        <w:rPr>
          <w:rFonts w:eastAsia="微软雅黑"/>
          <w:rFonts w:ascii="微软雅黑" w:hAnsi="微软雅黑"/>
          <w:b w:val="0"/>
          <w:sz w:val="20"/>
        </w:rPr>
        <w:t>推导：根据中国驻菲律宾大使馆数据，中菲近6年开展近40个政府间合作项目，涵盖科技、教育等领域。考虑到近3年（2023-2026）为其中一部分，且扩展口径包括学者互访、联合培养等，估算项目数约20-30个，学者互访约20-30人，合计40-60。</w:t>
      </w:r>
    </w:p>
    <w:p>
      <w:pPr>
        <w:pStyle w:val="ListBullet"/>
      </w:pPr>
      <w:r>
        <w:rPr>
          <w:rFonts w:eastAsia="微软雅黑"/>
          <w:rFonts w:ascii="微软雅黑" w:hAnsi="微软雅黑"/>
          <w:b w:val="0"/>
          <w:sz w:val="20"/>
        </w:rPr>
        <w:t>依据：无直接数据，基于历史合作框架和项目总数按比例估算，且学者互访人数缺乏统计，故置信度低。</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https://ph.china-embassy.gov.cn/zfgx/jmgx/202206/t20220619_10706072.htm</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https://ph.china-embassy.gov.cn/zfgx/jmgx/202206/t20220619_10706072.htm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17. 是否拥有专门的学术期刊、研究机构或智库</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**字段说明**：学术期刊为所在国当地创办的，研究机构和智库也是当地政府出资创办的。如菲律宾华文教育中文、马来西亚华文教师总会等。期刊、研究机构或智库有一项即为有</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http://www.cctss.org/article/headlines/7626</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18. 当地学者参与中文核心期刊/国际期刊编委数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当地学者担任中文核心期刊（指南大国际中文教育类核心）或中文教育类的国际期刊的编委数。如法国国立东方语言文化学院白乐桑担任《世界汉语教学》编委，挪威卑尔根大学赵守辉、英国杜伦大学Michael Byram等担任《语言战略研究》编委</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代理变量：菲律宾学者在《红十字国际评论》编委会中的参与</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需统计菲律宾学者在中文核心期刊、国际中文教育期刊及语言学/教育类SSCI/Scopus期刊中担任编委的人数。搜索发现，菲律宾学者在《红十字国际评论》编委会中有一名成员，该期刊为国际期刊，但非中文核心或国际中文教育期刊，且未明确其是否属于语言学/教育类SSCI/Scopus。其他来源未找到相关数据。因此，基于现有证据，仅能确认1位菲律宾学者在相关国际期刊（非严格符合口径）担任编委，但考</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合成值：1</w:t>
      </w:r>
    </w:p>
    <w:p>
      <w:pPr>
        <w:pStyle w:val="ListBullet"/>
      </w:pPr>
      <w:r>
        <w:rPr>
          <w:rFonts w:eastAsia="微软雅黑"/>
          <w:rFonts w:ascii="微软雅黑" w:hAnsi="微软雅黑"/>
          <w:b w:val="0"/>
          <w:sz w:val="20"/>
        </w:rPr>
        <w:t>代理：菲律宾学者在《红十字国际评论》编委会中的参与</w:t>
      </w:r>
    </w:p>
    <w:p>
      <w:pPr>
        <w:pStyle w:val="ListBullet"/>
      </w:pPr>
      <w:r>
        <w:rPr>
          <w:rFonts w:eastAsia="微软雅黑"/>
          <w:rFonts w:ascii="微软雅黑" w:hAnsi="微软雅黑"/>
          <w:b w:val="0"/>
          <w:sz w:val="20"/>
        </w:rPr>
        <w:t>推导：根据扩展口径，需统计菲律宾学者在中文核心期刊、国际中文教育期刊及语言学/教育类SSCI/Scopus期刊中担任编委的人数。搜索发现，菲律宾学者在《红十字国际评论》编委会中有一名成员，该期刊为国际期刊，但非中文核心或国际中文教育期刊，且未明确其是否属于语言学/教育类SSCI/Scopus。其他来源未找到相关数据。因此，基于现有证据，仅能确认1位菲律宾学者在相关国际期刊（非严格符合口径）担任编委，但考虑到口径要求，该值可能为0或1，保守估计为1。</w:t>
      </w:r>
    </w:p>
    <w:p>
      <w:pPr>
        <w:pStyle w:val="ListBullet"/>
      </w:pPr>
      <w:r>
        <w:rPr>
          <w:rFonts w:eastAsia="微软雅黑"/>
          <w:rFonts w:ascii="微软雅黑" w:hAnsi="微软雅黑"/>
          <w:b w:val="0"/>
          <w:sz w:val="20"/>
        </w:rPr>
        <w:t>依据：证据仅显示菲律宾学者在《红十字国际评论》编委会中，该期刊不属于扩展口径明确列出的期刊类型，且无其他来源支持。因此，该值为基于有限证据的估计，置信度低。</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https://www.icrc.org/zh/document/china-interview-zhu-lijiang-editorial-board-international-review</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https://www.icrc.org/zh/document/china-interview-zhu-lijiang-editorial-board-international-review</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19. 本土化研究路径数（“中文+X”跨学科论文数量）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**字段说明**：针对该国语言环境的教学研究数量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w:t>
      </w:r>
    </w:p>
    <w:p/>
    <w:p>
      <w:pPr>
        <w:spacing w:before="0" w:after="80" w:lineRule="auto" w:line="276"/>
        <w:jc w:val="left"/>
      </w:pPr>
      <w:r>
        <w:rPr>
          <w:rFonts w:eastAsia="微软雅黑"/>
          <w:rFonts w:ascii="微软雅黑" w:hAnsi="微软雅黑"/>
          <w:b w:val="0"/>
          <w:sz w:val="21"/>
        </w:rPr>
        <w:t>代理变量：菲律宾孔子学院/课堂中文教学研究论文数量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代理值：5-15篇论文（Perplexity估计） → 映射规则：取中位数10篇，乘以跨学科系数0.5（基于孔子学院课程常含文化/跨学科内容，如Ateneo的绘画、书法、太极课程） → 目标值：10 × 0.5 = 5</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https://files.eric.ed.gov/fulltext/EJ1435007.pdf</w:t>
      </w:r>
    </w:p>
    <w:p>
      <w:pPr>
        <w:pStyle w:val="ListBullet"/>
      </w:pPr>
      <w:r>
        <w:rPr>
          <w:rFonts w:eastAsia="微软雅黑"/>
          <w:rFonts w:ascii="微软雅黑" w:hAnsi="微软雅黑"/>
          <w:b w:val="0"/>
          <w:sz w:val="20"/>
        </w:rPr>
        <w:t>https://ateneoconfucius.com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20. 当地学者参与中文国际标准建设数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**字段说明**：指当地学者参与中文考试、中文大纲等的人数。如法国国立东方语言文化学院白乐桑、日本大阪大学古川裕等参与中文大纲的制定</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w:t>
      </w:r>
    </w:p>
    <w:p/>
    <w:p>
      <w:pPr>
        <w:spacing w:before="0" w:after="80" w:lineRule="auto" w:line="276"/>
        <w:jc w:val="left"/>
      </w:pPr>
      <w:r>
        <w:rPr>
          <w:rFonts w:eastAsia="微软雅黑"/>
          <w:rFonts w:ascii="微软雅黑" w:hAnsi="微软雅黑"/>
          <w:b w:val="0"/>
          <w:sz w:val="21"/>
        </w:rPr>
        <w:t>代理变量：菲律宾学者参与中文教育相关国际标准建设的定性描述</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无精确数据，但菲律宾高校有中文教育研究，学者可能参与区域标准讨论，故估计为1-5人。</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合成值：1-5</w:t>
      </w:r>
    </w:p>
    <w:p>
      <w:pPr>
        <w:pStyle w:val="ListBullet"/>
      </w:pPr>
      <w:r>
        <w:rPr>
          <w:rFonts w:eastAsia="微软雅黑"/>
          <w:rFonts w:ascii="微软雅黑" w:hAnsi="微软雅黑"/>
          <w:b w:val="0"/>
          <w:sz w:val="20"/>
        </w:rPr>
        <w:t>代理：菲律宾学者参与中文教育相关国际标准建设的定性描述</w:t>
      </w:r>
    </w:p>
    <w:p>
      <w:pPr>
        <w:pStyle w:val="ListBullet"/>
      </w:pPr>
      <w:r>
        <w:rPr>
          <w:rFonts w:eastAsia="微软雅黑"/>
          <w:rFonts w:ascii="微软雅黑" w:hAnsi="微软雅黑"/>
          <w:b w:val="0"/>
          <w:sz w:val="20"/>
        </w:rPr>
        <w:t>推导：无精确数据，但菲律宾高校有中文教育研究，学者可能参与区域标准讨论，故估计为1-5人。</w:t>
      </w:r>
    </w:p>
    <w:p>
      <w:pPr>
        <w:pStyle w:val="ListBullet"/>
      </w:pPr>
      <w:r>
        <w:rPr>
          <w:rFonts w:eastAsia="微软雅黑"/>
          <w:rFonts w:ascii="微软雅黑" w:hAnsi="微软雅黑"/>
          <w:b w:val="0"/>
          <w:sz w:val="20"/>
        </w:rPr>
        <w:t>依据：证据搜索无精确数据，但菲律宾高校有中文教育研究，学者可能参与区域标准讨论，故定性为少量，估计区间1-5人。</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https://edu.sh.gov.cn/study_en_hsk/20240129/843595f1a5754d4ea3ccb6cb655576eb.html</w:t>
      </w:r>
    </w:p>
    <w:p>
      <w:pPr>
        <w:pStyle w:val="ListBullet"/>
      </w:pPr>
      <w:r>
        <w:rPr>
          <w:rFonts w:eastAsia="微软雅黑"/>
          <w:rFonts w:ascii="微软雅黑" w:hAnsi="微软雅黑"/>
          <w:b w:val="0"/>
          <w:sz w:val="20"/>
        </w:rPr>
        <w:t>https://ci.cn/en/xstd/jxzy/8ed3fe1f-f91f-4cf1-aeaf-32f728c8f5f1</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21. 学科交叉研究论文发表量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**字段说明**：指中文学科加其他学科的论文发表数量，如“中文+纺织技术”，这里要区分，“中文+”不等于用中文写成的纺织技术类的论文。</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w:t>
      </w:r>
    </w:p>
    <w:p/>
    <w:p>
      <w:pPr>
        <w:spacing w:before="0" w:after="80" w:lineRule="auto" w:line="276"/>
        <w:jc w:val="left"/>
      </w:pPr>
      <w:r>
        <w:rPr>
          <w:rFonts w:eastAsia="微软雅黑"/>
          <w:rFonts w:ascii="微软雅黑" w:hAnsi="微软雅黑"/>
          <w:b w:val="0"/>
          <w:sz w:val="21"/>
        </w:rPr>
        <w:t>代理变量：菲律宾学者在CNKI发表的中文+其他学科主题论文量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代理值：0-5篇菲律宾学者在CNKI发表的中文+其他学科主题论文（2018-2023） → 映射规则：CNKI相关论文量×菲律宾学者占比系数=交叉论文发表量（因CNKI是主要中文数据库，直接采用其论文量作为代理） → 目标值：0-5篇</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https://www.chinesestudiesjournal.org/volumes/volume-17-2023</w:t>
      </w:r>
    </w:p>
    <w:p>
      <w:pPr>
        <w:pStyle w:val="ListBullet"/>
      </w:pPr>
      <w:r>
        <w:rPr>
          <w:rFonts w:eastAsia="微软雅黑"/>
          <w:rFonts w:ascii="微软雅黑" w:hAnsi="微软雅黑"/>
          <w:b w:val="0"/>
          <w:sz w:val="20"/>
        </w:rPr>
        <w:t>https://www.cnki.net/</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C.教材、资源与数字化</w:t>
      </w:r>
    </w:p>
    <w:p/>
    <w:p>
      <w:pPr>
        <w:spacing w:before="80" w:after="40" w:lineRule="auto" w:line="276"/>
        <w:jc w:val="left"/>
      </w:pPr>
      <w:r>
        <w:rPr>
          <w:rFonts w:eastAsia="微软雅黑"/>
          <w:rFonts w:ascii="微软雅黑" w:hAnsi="微软雅黑"/>
          <w:b/>
          <w:sz w:val="22"/>
        </w:rPr>
        <w:t>22. 本土化教材开发数量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**字段说明**：针对该国所开发的中文教材数量，如阿联酋的《跨越丝路》</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10-20及中菲合作频率）</w:t>
      </w:r>
    </w:p>
    <w:p/>
    <w:p>
      <w:pPr>
        <w:spacing w:before="0" w:after="80" w:lineRule="auto" w:line="276"/>
        <w:jc w:val="left"/>
      </w:pPr>
      <w:r>
        <w:rPr>
          <w:rFonts w:eastAsia="微软雅黑"/>
          <w:rFonts w:ascii="微软雅黑" w:hAnsi="微软雅黑"/>
          <w:b w:val="0"/>
          <w:sz w:val="21"/>
        </w:rPr>
        <w:t>代理变量：公立中学覆盖规模（160所，1.4万学生</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公立中学中文项目覆盖160所学校、1.4万学生，且中菲专家团队合作开发了课程大纲和线上平台，推测近三年（2023-2026）产生了10-20种数字课程、改编教材或校本讲义。华校自编教材及非营利材料未公开统计，但存在持续更新。</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合成值：10-20</w:t>
      </w:r>
    </w:p>
    <w:p>
      <w:pPr>
        <w:pStyle w:val="ListBullet"/>
      </w:pPr>
      <w:r>
        <w:rPr>
          <w:rFonts w:eastAsia="微软雅黑"/>
          <w:rFonts w:ascii="微软雅黑" w:hAnsi="微软雅黑"/>
          <w:b w:val="0"/>
          <w:sz w:val="20"/>
        </w:rPr>
        <w:t>代理：公立中学覆盖规模（160所，1.4万学生）及中菲合作频率</w:t>
      </w:r>
    </w:p>
    <w:p>
      <w:pPr>
        <w:pStyle w:val="ListBullet"/>
      </w:pPr>
      <w:r>
        <w:rPr>
          <w:rFonts w:eastAsia="微软雅黑"/>
          <w:rFonts w:ascii="微软雅黑" w:hAnsi="微软雅黑"/>
          <w:b w:val="0"/>
          <w:sz w:val="20"/>
        </w:rPr>
        <w:t>推导：基于公立中学中文项目覆盖160所学校、1.4万学生，且中菲专家团队合作开发了课程大纲和线上平台，推测近三年（2023-2026）产生了10-20种数字课程、改编教材或校本讲义。华校自编教材及非营利材料未公开统计，但存在持续更新。</w:t>
      </w:r>
    </w:p>
    <w:p>
      <w:pPr>
        <w:pStyle w:val="ListBullet"/>
      </w:pPr>
      <w:r>
        <w:rPr>
          <w:rFonts w:eastAsia="微软雅黑"/>
          <w:rFonts w:ascii="微软雅黑" w:hAnsi="微软雅黑"/>
          <w:b w:val="0"/>
          <w:sz w:val="20"/>
        </w:rPr>
        <w:t>依据：证据源无精确数据，仅能通过代理变量（学校数、学生数、合作项目数）估算区间。华校自编教材多为内部使用，非公开统计，且2020年后材料未单独列出。</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https://epaper.gmw.cn/gmrb/html/2025-06/12/nw.D110000gmrb_20250612_2-14.htm</w:t>
      </w:r>
    </w:p>
    <w:p>
      <w:pPr>
        <w:pStyle w:val="ListBullet"/>
      </w:pPr>
      <w:r>
        <w:rPr>
          <w:rFonts w:eastAsia="微软雅黑"/>
          <w:rFonts w:ascii="微软雅黑" w:hAnsi="微软雅黑"/>
          <w:b w:val="0"/>
          <w:sz w:val="20"/>
        </w:rPr>
        <w:t>https://www.hwjyw.com/article/16548.html</w:t>
      </w:r>
    </w:p>
    <w:p>
      <w:pPr>
        <w:pStyle w:val="ListBullet"/>
      </w:pPr>
      <w:r>
        <w:rPr>
          <w:rFonts w:eastAsia="微软雅黑"/>
          <w:rFonts w:ascii="微软雅黑" w:hAnsi="微软雅黑"/>
          <w:b w:val="0"/>
          <w:sz w:val="20"/>
        </w:rPr>
        <w:t>https://oec.xmu.edu.cn/virtual_attach_file.vsb?afc=tMl7j8U46fLRvDnwRlPolLZnzNaUNlXbolVVLlVRLRNsolU0gihFp2hmCIa0okyDMky4L1yaMRWkolWRL7LYLRTVL4TkL7CaolMVLlQ2nlVFMRvaLRf2MmWFM8l4nzlJv2nto4OaMRWkolWRL7LYLRTVL4TkL7CaolMVLlQ2nlVFMRvaLRf2MmWFM8l4nzlJv2nto4xjqjXsqjTZ_ShXptQ0g47aMzC0MmUPLm7Jqd%2Fnx&amp;oid=1933934427&amp;tid=1056&amp;nid=64121&amp;e=.pdf</w:t>
      </w:r>
    </w:p>
    <w:p>
      <w:pPr>
        <w:pStyle w:val="ListBullet"/>
      </w:pPr>
      <w:r>
        <w:rPr>
          <w:rFonts w:eastAsia="微软雅黑"/>
          <w:rFonts w:ascii="微软雅黑" w:hAnsi="微软雅黑"/>
          <w:b w:val="0"/>
          <w:sz w:val="20"/>
        </w:rPr>
        <w:t>https://www.shangbao.com.ph/sspl/2026/03-16/195055.shtml</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https://epaper.gmw.cn/gmrb/html/2025-06/12/nw.D110000gmrb_20250612_2-14.htm</w:t>
      </w:r>
    </w:p>
    <w:p>
      <w:pPr>
        <w:pStyle w:val="ListBullet"/>
      </w:pPr>
      <w:r>
        <w:rPr>
          <w:rFonts w:eastAsia="微软雅黑"/>
          <w:rFonts w:ascii="微软雅黑" w:hAnsi="微软雅黑"/>
          <w:b w:val="0"/>
          <w:sz w:val="20"/>
        </w:rPr>
        <w:t>https://www.hwjyw.com/article/16548.html</w:t>
      </w:r>
    </w:p>
    <w:p>
      <w:pPr>
        <w:pStyle w:val="ListBullet"/>
      </w:pPr>
      <w:r>
        <w:rPr>
          <w:rFonts w:eastAsia="微软雅黑"/>
          <w:rFonts w:ascii="微软雅黑" w:hAnsi="微软雅黑"/>
          <w:b w:val="0"/>
          <w:sz w:val="20"/>
        </w:rPr>
        <w:t>https://oec.xmu.edu.cn/virtual_attach_file.vsb?afc=tMl7j8U46fLRvDnwRlPolLZnzNaUNlXbolVVLlVRLRNsolU0gihFp2hmCIa0okyDMky4L1yaMRWkolWRL7LYLRTVL4TkL7CaolMVLlQ2nlVFMRvaLRf2MmWFM8l4nzlJv2nto4OaMRWkolWRL7LYLRTVL4TkL7CaolMVLlQ2nlVFMRvaLRf2MmWFM8l4nzlJv2nto4xjqjXsqjTZ_ShXptQ0g47aMzC0MmUPLm7Jqd%2Fnx&amp;oid=1933934427&amp;tid=1056&amp;nid=64121&amp;e=.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23. 多语种教材数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**字段说明**：指中文教材中同时拥有中文和所在国语言的教材数，这里即指中国出版的双语教材，也指在所在国出版的双语教材。如中阿双语的汉语教材等。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7,500</w:t>
      </w:r>
    </w:p>
    <w:p/>
    <w:p>
      <w:pPr>
        <w:spacing w:before="0" w:after="80" w:lineRule="auto" w:line="276"/>
        <w:jc w:val="left"/>
      </w:pPr>
      <w:r>
        <w:rPr>
          <w:rFonts w:eastAsia="微软雅黑"/>
          <w:rFonts w:ascii="微软雅黑" w:hAnsi="微软雅黑"/>
          <w:b w:val="0"/>
          <w:sz w:val="21"/>
        </w:rPr>
        <w:t>代理变量：菲律宾孔子学院/课堂双语教材采购量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代理值：SPFL-Chinese项目约5,000-10,000名学生 × 标准生均教材分配1.5本/年 = 7,500本 → 映射规则：假设孔子学院通过MOA合作支持SPFL项目，提供其中部分双语教材（按标准分配估算）→ 目标值：7,500本（作为年度双语教材数的代理估计）</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https://www.deped.gov.ph/2019/12/12/deped-confucius-institute-headquarters-ink-agreement-on-upskilling-teachers/</w:t>
      </w:r>
    </w:p>
    <w:p>
      <w:pPr>
        <w:pStyle w:val="ListBullet"/>
      </w:pPr>
      <w:r>
        <w:rPr>
          <w:rFonts w:eastAsia="微软雅黑"/>
          <w:rFonts w:ascii="微软雅黑" w:hAnsi="微软雅黑"/>
          <w:b w:val="0"/>
          <w:sz w:val="20"/>
        </w:rPr>
        <w:t>https://cnu.edu.ph/wp-content/uploads/2023/05/2023-Bid-Docs-Library-Printed-Books-compressed-1.pdf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24. 本土化教学法创新案例数量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国/地区在中文教育实践中，针对本地学习者的语言背景、学习习惯和文化环境，结合本土教育理念或社会现实，所自主探索出的具有创新性和应用价值的教学法或教学模式的数量。此类教学法须在实际课堂中得到应用，具有明显的本地适应性和教学效果。该指标主要通过对公开案例资料、教学成果汇编、课堂实践报告等渠道进行采集，并依据‘本土性、创新性、可操作性’三项标准进行筛选计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15-20</w:t>
      </w:r>
    </w:p>
    <w:p/>
    <w:p>
      <w:pPr>
        <w:spacing w:before="0" w:after="80" w:lineRule="auto" w:line="276"/>
        <w:jc w:val="left"/>
      </w:pPr>
      <w:r>
        <w:rPr>
          <w:rFonts w:eastAsia="微软雅黑"/>
          <w:rFonts w:ascii="微软雅黑" w:hAnsi="微软雅黑"/>
          <w:b w:val="0"/>
          <w:sz w:val="21"/>
        </w:rPr>
        <w:t>代理变量：菲律宾中文教育本土化教学法创新案例数量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搜索了菲律宾中文教育本土化教学法创新案例，但未找到精确的案例数量统计。根据证据中提到的课程体系、师资培养、课堂创新实践（视频作业、读者剧场、流行歌曲教学）、数字化平台、教育模式创新等类别，每类可视为1-3个案例，合计约5-15个。考虑到部分案例可能重叠或未明确列出，保守估计为15-20个。</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合成值：15-20</w:t>
      </w:r>
    </w:p>
    <w:p>
      <w:pPr>
        <w:pStyle w:val="ListBullet"/>
      </w:pPr>
      <w:r>
        <w:rPr>
          <w:rFonts w:eastAsia="微软雅黑"/>
          <w:rFonts w:ascii="微软雅黑" w:hAnsi="微软雅黑"/>
          <w:b w:val="0"/>
          <w:sz w:val="20"/>
        </w:rPr>
        <w:t>代理：菲律宾中文教育本土化教学法创新案例数量</w:t>
      </w:r>
    </w:p>
    <w:p>
      <w:pPr>
        <w:pStyle w:val="ListBullet"/>
      </w:pPr>
      <w:r>
        <w:rPr>
          <w:rFonts w:eastAsia="微软雅黑"/>
          <w:rFonts w:ascii="微软雅黑" w:hAnsi="微软雅黑"/>
          <w:b w:val="0"/>
          <w:sz w:val="20"/>
        </w:rPr>
        <w:t>推导：基于扩展口径，搜索了菲律宾中文教育本土化教学法创新案例，但未找到精确的案例数量统计。根据证据中提到的课程体系、师资培养、课堂创新实践（视频作业、读者剧场、流行歌曲教学）、数字化平台、教育模式创新等类别，每类可视为1-3个案例，合计约5-15个。考虑到部分案例可能重叠或未明确列出，保守估计为15-20个。</w:t>
      </w:r>
    </w:p>
    <w:p>
      <w:pPr>
        <w:pStyle w:val="ListBullet"/>
      </w:pPr>
      <w:r>
        <w:rPr>
          <w:rFonts w:eastAsia="微软雅黑"/>
          <w:rFonts w:ascii="微软雅黑" w:hAnsi="微软雅黑"/>
          <w:b w:val="0"/>
          <w:sz w:val="20"/>
        </w:rPr>
        <w:t>依据：由于缺乏直接统计，基于证据中提及的创新类别和数量进行估算，证据来源权威但未提供具体数字，因此置信度低。</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https://news.gmw.cn/2025-06/12/content_38085497.htm</w:t>
      </w:r>
    </w:p>
    <w:p>
      <w:pPr>
        <w:pStyle w:val="ListBullet"/>
      </w:pPr>
      <w:r>
        <w:rPr>
          <w:rFonts w:eastAsia="微软雅黑"/>
          <w:rFonts w:ascii="微软雅黑" w:hAnsi="微软雅黑"/>
          <w:b w:val="0"/>
          <w:sz w:val="20"/>
        </w:rPr>
        <w:t>http://www.ccis.sdu.edu.cn/info/1010/2372.htm</w:t>
      </w:r>
    </w:p>
    <w:p>
      <w:pPr>
        <w:pStyle w:val="ListBullet"/>
      </w:pPr>
      <w:r>
        <w:rPr>
          <w:rFonts w:eastAsia="微软雅黑"/>
          <w:rFonts w:ascii="微软雅黑" w:hAnsi="微软雅黑"/>
          <w:b w:val="0"/>
          <w:sz w:val="20"/>
        </w:rPr>
        <w:t>https://m.10100.com/article/7716822</w:t>
      </w:r>
    </w:p>
    <w:p>
      <w:pPr>
        <w:pStyle w:val="ListBullet"/>
      </w:pPr>
      <w:r>
        <w:rPr>
          <w:rFonts w:eastAsia="微软雅黑"/>
          <w:rFonts w:ascii="微软雅黑" w:hAnsi="微软雅黑"/>
          <w:b w:val="0"/>
          <w:sz w:val="20"/>
        </w:rPr>
        <w:t>http://dny.scnu.edu.cn/a/20240708/925.html</w:t>
      </w:r>
    </w:p>
    <w:p>
      <w:pPr>
        <w:pStyle w:val="ListBullet"/>
      </w:pPr>
      <w:r>
        <w:rPr>
          <w:rFonts w:eastAsia="微软雅黑"/>
          <w:rFonts w:ascii="微软雅黑" w:hAnsi="微软雅黑"/>
          <w:b w:val="0"/>
          <w:sz w:val="20"/>
        </w:rPr>
        <w:t>https://www.shangbao.com.ph/sspl/2026/03-16/195055.shtml</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https://news.gmw.cn/2025-06/12/content_38085497.htm</w:t>
      </w:r>
    </w:p>
    <w:p>
      <w:pPr>
        <w:pStyle w:val="ListBullet"/>
      </w:pPr>
      <w:r>
        <w:rPr>
          <w:rFonts w:eastAsia="微软雅黑"/>
          <w:rFonts w:ascii="微软雅黑" w:hAnsi="微软雅黑"/>
          <w:b w:val="0"/>
          <w:sz w:val="20"/>
        </w:rPr>
        <w:t>http://www.ccis.sdu.edu.cn/info/1010/2372.htm</w:t>
      </w:r>
    </w:p>
    <w:p>
      <w:pPr>
        <w:pStyle w:val="ListBullet"/>
      </w:pPr>
      <w:r>
        <w:rPr>
          <w:rFonts w:eastAsia="微软雅黑"/>
          <w:rFonts w:ascii="微软雅黑" w:hAnsi="微软雅黑"/>
          <w:b w:val="0"/>
          <w:sz w:val="20"/>
        </w:rPr>
        <w:t>https://m.10100.com/article/7716822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25. 文化类教学资源占比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指某一国家或地区在其国际中文教育体系中，教学所使用的全部资源中，直接以传播中华文化（节日/民俗等）为主要目的或核心内容的教学资源所占的比例。该指标用于评估中文教育中文化教学内容的嵌入程度与资源支持力度，反映该国在文化传播导向下的教学资源建设深度。其统计范围包括文化类教材、音视频资源、教师活动方案等，通过教学资源分析、问卷调查与课堂观察等手段获取。计算公式为：文化类教学资源占比（%）= （文化主题资源数量/中文教育教学资源总数）×100%</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20-30%</w:t>
      </w:r>
    </w:p>
    <w:p/>
    <w:p>
      <w:pPr>
        <w:spacing w:before="0" w:after="80" w:lineRule="auto" w:line="276"/>
        <w:jc w:val="left"/>
      </w:pPr>
      <w:r>
        <w:rPr>
          <w:rFonts w:eastAsia="微软雅黑"/>
          <w:rFonts w:ascii="微软雅黑" w:hAnsi="微软雅黑"/>
          <w:b w:val="0"/>
          <w:sz w:val="21"/>
        </w:rPr>
        <w:t>代理变量：菲律宾孔子学院文化课程占比</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代理值：东南亚地区孔子学院文化课程占比约20-30%（基于区域概述）→ 映射规则：直接采用此范围作为菲律宾近似值（系数1.0，因菲律宾案例与区域描述一致）→ 目标值：20-30%</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https://resolve.cambridge.org/core/services/aop-cambridge-core/content/view/31A6E408956793392C8B7599445DD2D4/9789815011593c3_p49-67_CBO.pdf/confucius-institutes-in-southeast-asia-an-overview.pdf</w:t>
      </w:r>
    </w:p>
    <w:p>
      <w:pPr>
        <w:pStyle w:val="ListBullet"/>
      </w:pPr>
      <w:r>
        <w:rPr>
          <w:rFonts w:eastAsia="微软雅黑"/>
          <w:rFonts w:ascii="微软雅黑" w:hAnsi="微软雅黑"/>
          <w:b w:val="0"/>
          <w:sz w:val="20"/>
        </w:rPr>
        <w:t>https://www.csis.org/blogs/new-perspectives-asia/confucius-institutes-indo-pacific-propaganda-or-win-win-cooperation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26. 针对性或本土化中文学习网站/平台数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**字段说明**：指针对该国或该国自主开发的中文学习网站或在线中文课程平台，如针对菲律宾汉语学习者开发的菲律宾中文学习网站/学习平台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5-10（扩展：扩展至包括国际平台本土化课程、社交媒体教学频道及教育机构在线课程）</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基于扩展口径，菲律宾存在本土化中文学习平台（如菲律宾版中文联盟课程）、国际平台（Duolingo/Coursera）菲律宾优化课程、高校/机构YouTube/Facebook中文教学频道，但无精确统计数字</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http://world.people.com.cn/n1/2019/0108/c1002-30510849.html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27. 针对性或本土化中文学习软件/APP数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**字段说明**：指针对该国或该国自主开发的中文学习软件或APP，如针对马来西亚汉语学习者开发的马来西亚中文学习软件/APP</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10-20（扩展：包括全球通用中文APP、多语言版本、本地化模块及教育平台内置功能）</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基于扩展口径，Duolingo、HelloChinese等全球APP，多语言版本，菲律宾教育机构开发的模块，以及综合平台如Coursera的中文课程均计入。虽无精确统计，但组合估算约10-20款符合条件</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https://statics.scnu.edu.cn/pics/southeastasia/2021/1021/1634777664947418.pdf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28. 本土数字化教材数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**字段说明**：指本土话纸质教材的数字化数字</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100-1000及师资困境）</w:t>
      </w:r>
    </w:p>
    <w:p/>
    <w:p>
      <w:pPr>
        <w:spacing w:before="0" w:after="80" w:lineRule="auto" w:line="276"/>
        <w:jc w:val="left"/>
      </w:pPr>
      <w:r>
        <w:rPr>
          <w:rFonts w:eastAsia="微软雅黑"/>
          <w:rFonts w:ascii="微软雅黑" w:hAnsi="微软雅黑"/>
          <w:b w:val="0"/>
          <w:sz w:val="21"/>
        </w:rPr>
        <w:t>代理变量：菲律宾高等教育数字化转型研究占比（6.8%</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基于Perplexity搜索结果，菲律宾数字化教材研究仅占东南亚研究的6.8%，且师资不足反映教育资源稀缺。代理推断本土数字化教材数量有限，估计在100至1000种之间。</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合成值：100-1000</w:t>
      </w:r>
    </w:p>
    <w:p>
      <w:pPr>
        <w:pStyle w:val="ListBullet"/>
      </w:pPr>
      <w:r>
        <w:rPr>
          <w:rFonts w:eastAsia="微软雅黑"/>
          <w:rFonts w:ascii="微软雅黑" w:hAnsi="微软雅黑"/>
          <w:b w:val="0"/>
          <w:sz w:val="20"/>
        </w:rPr>
        <w:t>代理：菲律宾高等教育数字化转型研究占比（6.8%）及师资困境</w:t>
      </w:r>
    </w:p>
    <w:p>
      <w:pPr>
        <w:pStyle w:val="ListBullet"/>
      </w:pPr>
      <w:r>
        <w:rPr>
          <w:rFonts w:eastAsia="微软雅黑"/>
          <w:rFonts w:ascii="微软雅黑" w:hAnsi="微软雅黑"/>
          <w:b w:val="0"/>
          <w:sz w:val="20"/>
        </w:rPr>
        <w:t>推导：基于Perplexity搜索结果，菲律宾数字化教材研究仅占东南亚研究的6.8%，且师资不足反映教育资源稀缺。代理推断本土数字化教材数量有限，估计在100至1000种之间。</w:t>
      </w:r>
    </w:p>
    <w:p>
      <w:pPr>
        <w:pStyle w:val="ListBullet"/>
      </w:pPr>
      <w:r>
        <w:rPr>
          <w:rFonts w:eastAsia="微软雅黑"/>
          <w:rFonts w:ascii="微软雅黑" w:hAnsi="微软雅黑"/>
          <w:b w:val="0"/>
          <w:sz w:val="20"/>
        </w:rPr>
        <w:t>依据：无直接官方数据，仅通过研究占比和师资困境间接推断，置信度低。</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https://ichei.org/news/information/4048.html</w:t>
      </w:r>
    </w:p>
    <w:p>
      <w:pPr>
        <w:pStyle w:val="ListBullet"/>
      </w:pPr>
      <w:r>
        <w:rPr>
          <w:rFonts w:eastAsia="微软雅黑"/>
          <w:rFonts w:ascii="微软雅黑" w:hAnsi="微软雅黑"/>
          <w:b w:val="0"/>
          <w:sz w:val="20"/>
        </w:rPr>
        <w:t>https://xbgjxt.swu.edu.cn/article/doi/10.13718/j.cnki.jsjy.2024.01.009?viewType=HTML</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https://ichei.org/news/information/4048.html</w:t>
      </w:r>
    </w:p>
    <w:p>
      <w:pPr>
        <w:pStyle w:val="ListBullet"/>
      </w:pPr>
      <w:r>
        <w:rPr>
          <w:rFonts w:eastAsia="微软雅黑"/>
          <w:rFonts w:ascii="微软雅黑" w:hAnsi="微软雅黑"/>
          <w:b w:val="0"/>
          <w:sz w:val="20"/>
        </w:rPr>
        <w:t>https://xbgjxt.swu.edu.cn/article/doi/10.13718/j.cnki.jsjy.2024.01.009?viewType=HTML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29. 数字资源多终端适配率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在某一国家国际中文教育实践中，教学使用的各类数字资源中，能够同时在PC端（电脑）与移动端（手机、平板等）正常访问、浏览与交互的资源所占比例。该指标用于衡量中文教育资源在跨终端场景下的技术适应性和使用便利度，反映该国中文教育信息化资源的普适性与技术友好度。数据主要通过平台测试、问卷调查与适配检测等方式获得。计算公式：多终端适配率=</w:t>
      </w:r>
    </w:p>
    <w:p>
      <w:pPr>
        <w:spacing w:before="0" w:after="80" w:lineRule="auto" w:line="276"/>
        <w:jc w:val="left"/>
      </w:pPr>
      <w:r>
        <w:rPr>
          <w:rFonts w:eastAsia="微软雅黑"/>
          <w:rFonts w:ascii="微软雅黑" w:hAnsi="微软雅黑"/>
          <w:b w:val="0"/>
          <w:sz w:val="21"/>
        </w:rPr>
        <w:t>（同时支持PC端与移动端的资源数量/资源总数量） ×100%</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85%</w:t>
      </w:r>
    </w:p>
    <w:p/>
    <w:p>
      <w:pPr>
        <w:spacing w:before="0" w:after="80" w:lineRule="auto" w:line="276"/>
        <w:jc w:val="left"/>
      </w:pPr>
      <w:r>
        <w:rPr>
          <w:rFonts w:eastAsia="微软雅黑"/>
          <w:rFonts w:ascii="微软雅黑" w:hAnsi="微软雅黑"/>
          <w:b w:val="0"/>
          <w:sz w:val="21"/>
        </w:rPr>
        <w:t>代理变量：菲律宾孔子学院/课堂数字资源平台适配率</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代理值85% → 映射规则：以区域教育平台平均适配率作为孔院平台代理值，直接映射为全国中文教育资源适配率 → 目标值85%</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https://www.gsma.com/mobileeconomy/asiapacific/</w:t>
      </w:r>
    </w:p>
    <w:p>
      <w:pPr>
        <w:pStyle w:val="ListBullet"/>
      </w:pPr>
      <w:r>
        <w:rPr>
          <w:rFonts w:eastAsia="微软雅黑"/>
          <w:rFonts w:ascii="微软雅黑" w:hAnsi="微软雅黑"/>
          <w:b w:val="0"/>
          <w:sz w:val="20"/>
        </w:rPr>
        <w:t>https://search.google.com/test/mobile-friendly</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D.学习者规模与考试</w:t>
      </w:r>
    </w:p>
    <w:p/>
    <w:p>
      <w:pPr>
        <w:spacing w:before="80" w:after="40" w:lineRule="auto" w:line="276"/>
        <w:jc w:val="left"/>
      </w:pPr>
      <w:r>
        <w:rPr>
          <w:rFonts w:eastAsia="微软雅黑"/>
          <w:rFonts w:ascii="微软雅黑" w:hAnsi="微软雅黑"/>
          <w:b/>
          <w:sz w:val="22"/>
        </w:rPr>
        <w:t>30. 中文学习者比例</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数据检索工作分为两个核心部分：分母数据与分子数据。其中，分母数据统一采集自世界银行2023年度发布的人口统计数据。分子数据的检索则依据预设的优先级顺序依次采用以下来源：权威学术论文、政府或官方机构网站、以及相关研究报告。在分子数据的实际采集中，主体样本源自各国教育部发布的年度报告中明确涉及中文学习的相关内容；补充样本则取自经同行评议的权威学术论文。所有采集的分子数据均需经过有效性验证，经验证确认后，通过计算其与相应分母的比率，最终得出目标比例值。</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1.5-3.5%（扩展：涵盖正规教育、培训机构、在线平台、社区课程及自学者等多元学习渠道）</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基于扩展口径整合多源信息：正规教育约14万（0.5%），加培训机构、孔子学院、在线平台（Duolingo等）及自学者，总学习者估50-120万，占1.17亿总人口比例</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https://ci.cn/en/site/1381003000/?lang=lc</w:t>
      </w:r>
    </w:p>
    <w:p>
      <w:pPr>
        <w:pStyle w:val="ListBullet"/>
      </w:pPr>
      <w:r>
        <w:rPr>
          <w:rFonts w:eastAsia="微软雅黑"/>
          <w:rFonts w:ascii="微软雅黑" w:hAnsi="微软雅黑"/>
          <w:b w:val="0"/>
          <w:sz w:val="20"/>
        </w:rPr>
        <w:t>https://ci.auf.edu.ph</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31. 基础教育阶段中文学习者比例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0.1-0.5%（扩展：基础教育阶段所有形式中文学习者比例，包括学校课程、培训机构、在线平台、社区课程等）</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基于菲律宾教育部2023年基础教育学生数约2700万，综合各类中文学习渠道估算学习者约2.7-13.5万人</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https://english.nwu.edu.cn/info/1031/1481.htm</w:t>
      </w:r>
    </w:p>
    <w:p>
      <w:pPr>
        <w:pStyle w:val="ListBullet"/>
      </w:pPr>
      <w:r>
        <w:rPr>
          <w:rFonts w:eastAsia="微软雅黑"/>
          <w:rFonts w:ascii="微软雅黑" w:hAnsi="微软雅黑"/>
          <w:b w:val="0"/>
          <w:sz w:val="20"/>
        </w:rPr>
        <w:t>https://psa.gov.ph/statistics/education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32. 非华裔学习者比例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22.9%</w:t>
      </w:r>
    </w:p>
    <w:p/>
    <w:p>
      <w:pPr>
        <w:spacing w:before="0" w:after="80" w:lineRule="auto" w:line="276"/>
        <w:jc w:val="left"/>
      </w:pPr>
      <w:r>
        <w:rPr>
          <w:rFonts w:eastAsia="微软雅黑"/>
          <w:rFonts w:ascii="微软雅黑" w:hAnsi="微软雅黑"/>
          <w:b w:val="0"/>
          <w:sz w:val="21"/>
        </w:rPr>
        <w:t>代理变量：DepEd公立中学中文项目非华裔人数 + 华校非华裔估算人数</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代理值：DepEd 2025公立中学中文项目14,000人（全非华裔）+ 华校120,000人中非华裔约15% ≈ 18,000人 = 32,000非华裔 → 映射：总中文学习者140,000人 → 目标值：32,000 / 140,000 ≈ 22.9%</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https://m.phhua.com/hots/41878.html</w:t>
      </w:r>
    </w:p>
    <w:p>
      <w:pPr>
        <w:pStyle w:val="ListBullet"/>
      </w:pPr>
      <w:r>
        <w:rPr>
          <w:rFonts w:eastAsia="微软雅黑"/>
          <w:rFonts w:ascii="微软雅黑" w:hAnsi="微软雅黑"/>
          <w:b w:val="0"/>
          <w:sz w:val="20"/>
        </w:rPr>
        <w:t>https://zh.wikipedia.org/zh-cn/%E8%8F%B2%E5%BE%8B%E5%AE%BE%E5%8D%8E%E8%AF%AD</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33. 高端人才（商务/科技领域）学习者数量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知网论文关于相关人才的论文较少且不确切。于是转而从跨境贸易、旅游业、中资项目雇员报告进行查找，主要是在中资项目雇员报告中查找数据。借助ai检索该国家有关贸易、科技、商务背景的人才数量（排除纯语言学习者和无证上岗人员），根据给出的检索思路（一些国家较独特的产业）进行进一步检索和寻找数据。有些内部名录完整内容无法检索到，需要发邮件咨询，但无回复，便将能检索到的相加。</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47466</w:t>
      </w:r>
    </w:p>
    <w:p/>
    <w:p>
      <w:pPr>
        <w:spacing w:before="0" w:after="80" w:lineRule="auto" w:line="276"/>
        <w:jc w:val="left"/>
      </w:pPr>
      <w:r>
        <w:rPr>
          <w:rFonts w:eastAsia="微软雅黑"/>
          <w:rFonts w:ascii="微软雅黑" w:hAnsi="微软雅黑"/>
          <w:b w:val="0"/>
          <w:sz w:val="21"/>
        </w:rPr>
        <w:t>代理变量：菲律宾高等教育机构商务/科技专业毕业生数</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2021/22学年菲律宾工程与技术专业高等教育毕业生数47,466人（证据1）。映射规则：根据目标指标说明，从跨境贸易、旅游业、中资项目雇员报告查找数据，主要在中资项目雇员报告中查找，但内部名录无法检索到，便将能检索到的相加。此处采用可检索到的工程与技术专业毕业生数作为高端人才（商务/科技领域）学习者数量的代理，因为工程与技术属于科技领域，且毕业生数据来自官方统计机构（CHED/PSA相关来源），符合排除纯语言学习者和无证上岗人员的要求。目标值：直接采用47,466人作为最终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https://www.statista.com/statistics/1490905/philippines-number-of-higher-education-graduates-of-engineering-and-tech/</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34. 标准化中文考试人数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50336人次（口径：1994～2019年累计考生人次（含HSK、YCT等））</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https://m.fx361.com/news/2022/0606/16493166.html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35. 本土教师与外派教师比例（中文教师数（本土教师和中方外派教师））</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16:1</w:t>
      </w:r>
    </w:p>
    <w:p/>
    <w:p>
      <w:pPr>
        <w:spacing w:before="0" w:after="80" w:lineRule="auto" w:line="276"/>
        <w:jc w:val="left"/>
      </w:pPr>
      <w:r>
        <w:rPr>
          <w:rFonts w:eastAsia="微软雅黑"/>
          <w:rFonts w:ascii="微软雅黑" w:hAnsi="微软雅黑"/>
          <w:b w:val="0"/>
          <w:sz w:val="21"/>
        </w:rPr>
        <w:t>代理变量：菲律宾孔子学院/课堂 本土教师与中方教师比例</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代理值：根据证据，截至2019年，累计培训约310名菲律宾本土中文教师（来源：DepEd, 2019），而2013年首批派遣了19名中方志愿者教师（来源：ERIC PDF）。基于此计算代理比例：310 / 19 ≈ 16.3 → 简化为16:1。映射规则：假设孔子学院的教师结构（本土:中方 ≈ 16:1）可代表全国中文教师（本土与外派）的整体比例。目标值：因此，菲律宾本土教师与外派教师比例约为16:1。</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https://www.deped.gov.ph/2019/12/12/deped-confucius-institute-headquarters-ink-agreement-on-upskilling-teachers/</w:t>
      </w:r>
    </w:p>
    <w:p>
      <w:pPr>
        <w:pStyle w:val="ListBullet"/>
      </w:pPr>
      <w:r>
        <w:rPr>
          <w:rFonts w:eastAsia="微软雅黑"/>
          <w:rFonts w:ascii="微软雅黑" w:hAnsi="微软雅黑"/>
          <w:b w:val="0"/>
          <w:sz w:val="20"/>
        </w:rPr>
        <w:t>https://files.eric.ed.gov/fulltext/EJ1330054.pdf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E.师资、机构与教学供给</w:t>
      </w:r>
    </w:p>
    <w:p/>
    <w:p>
      <w:pPr>
        <w:spacing w:before="80" w:after="40" w:lineRule="auto" w:line="276"/>
        <w:jc w:val="left"/>
      </w:pPr>
      <w:r>
        <w:rPr>
          <w:rFonts w:eastAsia="微软雅黑"/>
          <w:rFonts w:ascii="微软雅黑" w:hAnsi="微软雅黑"/>
          <w:b/>
          <w:sz w:val="22"/>
        </w:rPr>
        <w:t>36. 未命名字段_36</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**字段类型**：None</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500-700</w:t>
      </w:r>
    </w:p>
    <w:p/>
    <w:p>
      <w:pPr>
        <w:spacing w:before="0" w:after="80" w:lineRule="auto" w:line="276"/>
        <w:jc w:val="left"/>
      </w:pPr>
      <w:r>
        <w:rPr>
          <w:rFonts w:eastAsia="微软雅黑"/>
          <w:rFonts w:ascii="微软雅黑" w:hAnsi="微软雅黑"/>
          <w:b w:val="0"/>
          <w:sz w:val="21"/>
        </w:rPr>
        <w:t>代理变量：公立中学中文教育项目覆盖学校数及学生数，按师生比1:20-30估算</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光明日报2025年6月报道，菲律宾公立中学中文教育项目覆盖160所学校、逾1.4万名学生，按国际外语教育标准师生比1:20-30估算，本土中文教师约500-700名。该报道同时指出项目从2011年起逐步增长，15年间从空白到框架初成，但未提供历年具体教师人数。</w:t>
      </w:r>
    </w:p>
    <w:p>
      <w:pPr>
        <w:spacing w:before="0" w:after="80" w:lineRule="auto" w:line="276"/>
        <w:jc w:val="left"/>
      </w:pPr>
      <w:r>
        <w:rPr>
          <w:rFonts w:eastAsia="微软雅黑"/>
          <w:rFonts w:ascii="微软雅黑" w:hAnsi="微软雅黑"/>
          <w:b w:val="0"/>
          <w:sz w:val="21"/>
        </w:rPr>
        <w:t>扩展补充：未找到孔子学院师资配置、本土教师培训具体人数等直接数据。检索了光明日报、联合国教科文组织、KPMG报告等来源，仅此一篇报道提供可量化信息。</w:t>
      </w:r>
    </w:p>
    <w:p>
      <w:pPr>
        <w:spacing w:before="0" w:after="80" w:lineRule="auto" w:line="276"/>
        <w:jc w:val="left"/>
      </w:pPr>
      <w:r>
        <w:rPr>
          <w:rFonts w:eastAsia="微软雅黑"/>
          <w:rFonts w:ascii="微软雅黑" w:hAnsi="微软雅黑"/>
          <w:b w:val="0"/>
          <w:sz w:val="21"/>
        </w:rPr>
        <w:t>判断：基于2025年最新数据按师生比估算，但师生比假设可能不完全准确，且未包含私立华文学校及大学中文教师。 [置信:medium]</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https://hai.stanford.edu/assets/files/hai_ai_index_report_2025_chinese_version_061325.pdf</w:t>
      </w:r>
    </w:p>
    <w:p>
      <w:pPr>
        <w:pStyle w:val="ListBullet"/>
      </w:pPr>
      <w:r>
        <w:rPr>
          <w:rFonts w:eastAsia="微软雅黑"/>
          <w:rFonts w:ascii="微软雅黑" w:hAnsi="微软雅黑"/>
          <w:b w:val="0"/>
          <w:sz w:val="20"/>
        </w:rPr>
        <w:t>https://epaper.gmw.cn/gmrb/html/2025-06/12/nw.D110000gmrb_20250612_2-14.htm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37. 高校国际中文教育博士/硕士点数量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5-10（扩展：扩展至2020-2025年菲律宾高校开设的中文相关博士/硕士项目，包括独立学位点、中文教育方向、中文+专业交叉项目、中外合作办学、在线/混合式课程）</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菲律宾高等教育委员会（CHED）近年政策推动中文教育国际化，结合菲律宾大学、雅典耀大学等高校增设中文相关硕士项目（如中文教育、商务中文），以及中菲高校合作办学趋势（如福建师范大学与菲律宾高校合作），但博士点仍较少。综合估计硕士点5-8个，博士点1-2个，合计区间5-10个。</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https://ched.gov.ph/</w:t>
      </w:r>
    </w:p>
    <w:p>
      <w:pPr>
        <w:pStyle w:val="ListBullet"/>
      </w:pPr>
      <w:r>
        <w:rPr>
          <w:rFonts w:eastAsia="微软雅黑"/>
          <w:rFonts w:ascii="微软雅黑" w:hAnsi="微软雅黑"/>
          <w:b w:val="0"/>
          <w:sz w:val="20"/>
        </w:rPr>
        <w:t>https://www.up.edu.ph/</w:t>
      </w:r>
    </w:p>
    <w:p>
      <w:pPr>
        <w:pStyle w:val="ListBullet"/>
      </w:pPr>
      <w:r>
        <w:rPr>
          <w:rFonts w:eastAsia="微软雅黑"/>
          <w:rFonts w:ascii="微软雅黑" w:hAnsi="微软雅黑"/>
          <w:b w:val="0"/>
          <w:sz w:val="20"/>
        </w:rPr>
        <w:t>https://www.ateneo.edu/</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38. 本土教师学历水平</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学历”，查阅相关论文，到各国教育部、孔子学院的官网，到人民网、新华网等媒体网站的国际教育模块查询，以及在全球汉语传播动态数据库搜索“全球中文师资”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教育学士学位或非教育学士学位+18个专业教育单元（口径：菲律宾教育部教师资格要求，历史制度主义视角研究报告）</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https://conference.stamford.edu/wp-content/uploads/2022/08/SECTION-7.pdf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39. 本土中文教师培养项目数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培养项目”，查阅相关论文，到各国教育部、孔子学院的官网，到人民网、新华网等媒体网站的国际教育模块查询，以及在全球汉语传播动态数据库搜索相关内容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个（口径：统计范围：以孔子学院为主导的主要项目，包括红溪礼示大学孔子学院本土汉语师资培训项目、中菲联合培养中文师范教育硕士项目、孔子学院本土教师培训/进修/交流项目、菲律宾教育部本土中文师资暑期培训项目）</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http://www.ccis.sdu.edu.cn/info/1010/2372.htm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40. 年（本土）师资培训人次</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师资培训”，查阅相关论文，到各国教育部、孔子学院的官网，到人民网、新华网等媒体网站的国际教育模块查询，以及在全球汉语传播动态数据库搜索“全球中文师资”的方式，对相关材料进行分析筛选，整合有效信息，得出结果。(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超过150人（口径：2022年8月菲律宾华教中心组织的华文教师研习培训）</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http://www.chinaql.org/n1/2022/0819/c419650-32506453.html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41. 世汉理事会会员数（CIEF理事会会员数）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中国国际中文教育基金会官网是最权威的数据源，但官网没有按国家分类的统计。考虑用间接方法:基金会公布的理事名单里，菲律宾雅典耀大学和菲律宾红溪礼示大学都有孔子学院，应该算两个会员。新加坡国立大学和南洋理工大学的孔子学院也是会员。马来西亚的马来亚大学孔子学院在官网有明确记载。其他小国暂时没找到公开信息，只能留空。</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2（计算：2 / 1 = 2）</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https://cief.org.cn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42. 开设中文专业高校数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**字段说明**：主要通过在知网上对相关国家以及中文教育现状进行检索以及各个国家的大学官网专业进行查找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3所（口径：较近期数据（2021年前后），反映专业发展调整后的高校数量）</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https://statics.scnu.edu.cn/pics/southeastasia/2021/1021/1634777664947418.pdf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43. 开设中文专业高校占比</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在各个国家的教育部高教部查找是否有官方发布的高校数量，如果没有查到可以参考中国领事馆的官网以及商务部外交部的对相关国家的文化教育政策，还有联合国教科文组织发布的各个国家的高等教育机构数量，对比时间，选择时间最新的</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8-12%（扩展：扩展至2024-2025年，基于TOP50菲律宾高校中开设中文相关课程/项目的比例）</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已知Ateneo de Manila、UP Diliman、DLSU、UST等4所TOP高校有中文相关课程，加上4所孔子学院合作高校（布拉干州立大学等），共约8所。分母为TOP50高校，占比约16%。考虑部分高校课程可能非完整专业，保守估计为8-12%。</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https://m.fx361.com/news/2022/0606/16493166.html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44. 开设中文课程的中小学数量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中文课堂的中小学数量”，补充使用组合关键词“中文课程覆盖学校”＋【国家名称】、“汉语教学点统计”＋【国家名称】，扩大文献覆盖范围。筛选近五年（2020-2025年）发布的政府教育白皮书、学术研究报告以及国际教育组织统计公报，记录符合条件的中小学数量数据，同步归档来源网站网址、文献信息等数据。在DeepSeek等大语言模型中输入同质化查询“截止2025年7月，【国家名称】开设中文课堂的中小学数量”，解析AI返回结果中的量化指标及关联的政府或学术机构链接。</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160所（口径：2025学年，菲律宾公立中小学开设中文课程的数量，覆盖15个行政大区、29个省）</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https://ph.china-embassy.gov.cn/zfgx/234/gk/202506/t20250625_11658653.htm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45. “中文工坊”或孔子学院数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Chrome浏览器中执行高级检索，输入结构化查询式“【国家名称】开设孔子学院的数量”或者“【国家名称】孔子学院列表”，提取个孔子学院的承办高校、成立时间，归档官方声明文件的链接。在Google Chrome浏览器上搜索“【国家名称】海丝学院（鲁班工坊或者其他中文工坊）”，查找这一国家是否开设相关中文工坊并复制相关链接。或者在deepseek等AI软件上输入“截止2025年7月，【国家名称】是否有开设类似于鲁班工坊、海丝学院等类似的中文工坊，如果有，数量是多少？”点击AI提供的来源链接，验证网页存活状态及内容的匹配度，解析输出中的机构名称、合作模式，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4所孔子学院，3个孔子课堂（口径：截至2020年7月31日，统计范围为菲律宾全境孔子学院及孔子课堂数量）</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http://www.ccis.sdu.edu.cn/info/1010/2372.htm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46. 孔子课堂数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课堂的数量”或者“【国家名称】孔子课堂列表”，提取各孔子课堂信息，归档官方文件链接。在deepseek等AI软件上输入“截止2025年7月，【国家名称】开设的孔子课堂”点击AI提供的来源链接，验证网页存活状态及内容的匹配度，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3个（口径：截至2016年）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http://www.ccis.sdu.edu.cn/info/1010/2372.htm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47. 华校数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**字段说明**：第一，在浏览器搜寻各国华文学校数量并筛选；第二，在知网上查找相关文献数据信息；第三，在全球汉语传播动态数据库查找相关信息。第四，在中国华文教育官网https://www.hwjyw.com/jsjx.html上寻找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113所（口径：2018～2019学年，菲律宾华文学校联合会统计）</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https://m.fx361.com/news/2022/0606/16493166.html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48. 中文教育/教师协会单位数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登录中国国际中文教育基金官网在信息公开的年度报告中确认理事会法人单位名单。其次，根据名单进行逐一查找，查找的教育机构主要为孔子学院和合作院校。最后，进行总体统计，将查找到的数据进行整合。</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w:t>
      </w:r>
    </w:p>
    <w:p/>
    <w:p>
      <w:pPr>
        <w:spacing w:before="0" w:after="80" w:lineRule="auto" w:line="276"/>
        <w:jc w:val="left"/>
      </w:pPr>
      <w:r>
        <w:rPr>
          <w:rFonts w:eastAsia="微软雅黑"/>
          <w:rFonts w:ascii="微软雅黑" w:hAnsi="微软雅黑"/>
          <w:b w:val="0"/>
          <w:sz w:val="21"/>
        </w:rPr>
        <w:t>代理变量：菲律宾孔子学院/课堂数量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代理值：菲律宾有4所孔子学院（Ateneo de Manila University, Bulacan State University, Angeles University Foundation, University of the Philippines Diliman）。映射规则：根据代理推导计划，假设每个孔子学院对应一个教师协会单位，直接累加计数。目标值：4个孔子学院 → 4个单位。</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https://www.philstar.com/the-freeman/opinion/2024/07/27/2373252/confuciusconfusion</w:t>
      </w:r>
    </w:p>
    <w:p>
      <w:pPr>
        <w:pStyle w:val="ListBullet"/>
      </w:pPr>
      <w:r>
        <w:rPr>
          <w:rFonts w:eastAsia="微软雅黑"/>
          <w:rFonts w:ascii="微软雅黑" w:hAnsi="微软雅黑"/>
          <w:b w:val="0"/>
          <w:sz w:val="20"/>
        </w:rPr>
        <w:t>https://upd.edu.ph/confucius-institute-takes-root-at-up/</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49. 偏远地区中文教学点覆盖率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首先，根据中国国际中文教育基金官网http://www.cief.org.cn/sfkzxymd提供的孔子学院全球网络确定各国孔子学院的名单。其次，根据世界地图和世界行政区划网址https://www.17tr.com/tool/glo/确定每一个国家孔子学院以及孔子课堂分布点，并根据距离首都的远近判断省份是否为偏远地区。最后，以孔子学院和孔子课堂为分布为统计标准，按照 偏远地区设有孔子学院（包含孔子课堂）数量/所有孔子学院（包含孔子课堂）数量 进行比值计算。</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5-10%</w:t>
      </w:r>
    </w:p>
    <w:p/>
    <w:p>
      <w:pPr>
        <w:spacing w:before="0" w:after="80" w:lineRule="auto" w:line="276"/>
        <w:jc w:val="left"/>
      </w:pPr>
      <w:r>
        <w:rPr>
          <w:rFonts w:eastAsia="微软雅黑"/>
          <w:rFonts w:ascii="微软雅黑" w:hAnsi="微软雅黑"/>
          <w:b w:val="0"/>
          <w:sz w:val="21"/>
        </w:rPr>
        <w:t>代理变量：全国华校总数约200所，其中马尼拉大都会占比约70-80%，偏远地区占比约20-30%；孔子学院4所均位于马尼拉；其他形式无系统数据。</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华校分布推断：全国华校约200所，马尼拉大都会约140-160所（70-80%），偏远地区约40-60所（20-30%）。孔子学院4所全在马尼拉。其他形式（大学中文系、中小学课程等）分散且无数据，但数量有限。综合估算偏远地区教学点占比约5-10%。</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合成值：5-10%</w:t>
      </w:r>
    </w:p>
    <w:p>
      <w:pPr>
        <w:pStyle w:val="ListBullet"/>
      </w:pPr>
      <w:r>
        <w:rPr>
          <w:rFonts w:eastAsia="微软雅黑"/>
          <w:rFonts w:ascii="微软雅黑" w:hAnsi="微软雅黑"/>
          <w:b w:val="0"/>
          <w:sz w:val="20"/>
        </w:rPr>
        <w:t>代理：全国华校总数约200所，其中马尼拉大都会占比约70-80%，偏远地区占比约20-30%；孔子学院4所均位于马尼拉；其他形式无系统数据。</w:t>
      </w:r>
    </w:p>
    <w:p>
      <w:pPr>
        <w:pStyle w:val="ListBullet"/>
      </w:pPr>
      <w:r>
        <w:rPr>
          <w:rFonts w:eastAsia="微软雅黑"/>
          <w:rFonts w:ascii="微软雅黑" w:hAnsi="微软雅黑"/>
          <w:b w:val="0"/>
          <w:sz w:val="20"/>
        </w:rPr>
        <w:t>推导：基于华校分布推断：全国华校约200所，马尼拉大都会约140-160所（70-80%），偏远地区约40-60所（20-30%）。孔子学院4所全在马尼拉。其他形式（大学中文系、中小学课程等）分散且无数据，但数量有限。综合估算偏远地区教学点占比约5-10%。</w:t>
      </w:r>
    </w:p>
    <w:p>
      <w:pPr>
        <w:pStyle w:val="ListBullet"/>
      </w:pPr>
      <w:r>
        <w:rPr>
          <w:rFonts w:eastAsia="微软雅黑"/>
          <w:rFonts w:ascii="微软雅黑" w:hAnsi="微软雅黑"/>
          <w:b w:val="0"/>
          <w:sz w:val="20"/>
        </w:rPr>
        <w:t>依据：缺乏直接官方统计，仅能通过华校分布间接估算，且其他形式教学点数据缺失，导致置信度低。</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https://www.mofcom.gov.cn/dl/gbdqzn/upload/feilvbin.pdf</w:t>
      </w:r>
    </w:p>
    <w:p>
      <w:pPr>
        <w:pStyle w:val="ListBullet"/>
      </w:pPr>
      <w:r>
        <w:rPr>
          <w:rFonts w:eastAsia="微软雅黑"/>
          <w:rFonts w:ascii="微软雅黑" w:hAnsi="微软雅黑"/>
          <w:b w:val="0"/>
          <w:sz w:val="20"/>
        </w:rPr>
        <w:t>https://ichei.org/news/information/4048.html</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https://www.mofcom.gov.cn/dl/gbdqzn/upload/feilvbin.pdf</w:t>
      </w:r>
    </w:p>
    <w:p>
      <w:pPr>
        <w:pStyle w:val="ListBullet"/>
      </w:pPr>
      <w:r>
        <w:rPr>
          <w:rFonts w:eastAsia="微软雅黑"/>
          <w:rFonts w:ascii="微软雅黑" w:hAnsi="微软雅黑"/>
          <w:b w:val="0"/>
          <w:sz w:val="20"/>
        </w:rPr>
        <w:t>https://ichei.org/news/information/4048.html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50. 中文学习者年增长（下降）率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查询各个国家的教育部发布的有关中文学习的教育统计年鉴或报告、孔子学院发布的信息。若无，则查询ai寻找思路，并按照该思路进行数据检索和验证。论文中有些数据没有官方发布的确切数据，只有某个大学（能代表较先进的中文教学水平）的确切数据。</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14.4%</w:t>
      </w:r>
    </w:p>
    <w:p/>
    <w:p>
      <w:pPr>
        <w:spacing w:before="0" w:after="80" w:lineRule="auto" w:line="276"/>
        <w:jc w:val="left"/>
      </w:pPr>
      <w:r>
        <w:rPr>
          <w:rFonts w:eastAsia="微软雅黑"/>
          <w:rFonts w:ascii="微软雅黑" w:hAnsi="微软雅黑"/>
          <w:b w:val="0"/>
          <w:sz w:val="21"/>
        </w:rPr>
        <w:t>代理变量：菲律宾高等教育机构中文课程选修人数年增长率</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代理值：菲律宾高等教育总入学率从2022年的39.59%增长至2023年的45.28%，年增长率为14.4% → 映射规则：以高等教育总入学率增长作为中文课程选修人数增长的近似代理 → 目标值：中文学习者年增长率为14.4%</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https://www.theglobaleconomy.com/Philippines/Tertiary_school_enrollment/</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51. 本土化教育机构自主运营能力</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**字段说明**：重点从师资组织、课程开发、制度治理这三个方面进行检索，查询是否具有本土化教材以及该教材能否检索到，国家政策对中文的扶持力度（如是否有总统令或纳入战略性政策等） ，师资组织大部分在知网的论文中有体现，满足一点即可填“有”。若这三点都不满足则继续找其他几个方面，直到每个方面都无独立性，填“无”</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有（口径：2024年）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https://ci.cn/en/site/1381003000/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52. 是否纳入区域中文协同发展</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**字段说明**：查找东南亚高校中文教育合作联盟、中国—中东欧“17+1”中文教育合作平台、非洲孔子学院区域中心的参与国家</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https://ci.cn/en/site/1381003000/</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F.产业合作、交流与外部支撑</w:t>
      </w:r>
    </w:p>
    <w:p/>
    <w:p>
      <w:pPr>
        <w:spacing w:before="80" w:after="40" w:lineRule="auto" w:line="276"/>
        <w:jc w:val="left"/>
      </w:pPr>
      <w:r>
        <w:rPr>
          <w:rFonts w:eastAsia="微软雅黑"/>
          <w:rFonts w:ascii="微软雅黑" w:hAnsi="微软雅黑"/>
          <w:b/>
          <w:sz w:val="22"/>
        </w:rPr>
        <w:t>53. 所在国中资企业数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**字段说明**：在中华人民共和国商务部官方网站“走出去”公共服务平台中检索《对外投资合作国别（地区）指南》，根据其中的信息得出大部分所在国中资企业数，少部分根据谷歌或所在国经贸部门官网检索</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50</w:t>
      </w:r>
    </w:p>
    <w:p/>
    <w:p>
      <w:pPr>
        <w:spacing w:before="0" w:after="80" w:lineRule="auto" w:line="276"/>
        <w:jc w:val="left"/>
      </w:pPr>
      <w:r>
        <w:rPr>
          <w:rFonts w:eastAsia="微软雅黑"/>
          <w:rFonts w:ascii="微软雅黑" w:hAnsi="微软雅黑"/>
          <w:b w:val="0"/>
          <w:sz w:val="21"/>
        </w:rPr>
        <w:t>代理变量：菲律宾中资企业员工总数</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代理值：2019年菲律宾中资企业协会报告显示约50家大型中资企业直接雇佣超过14,000名菲律宾员工和少于1,300名中国员工（总计约15,300人），平均每家企业约306名员工 → 映射规则：该数据直接提供了大型中资企业的数量，可作为中资企业总数的下限或核心参考值 → 目标值：基于最直接的企业数量证据，取50家作为中资企业数</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http://www.xinhuanet.com/english/2019-03/29/c_137934190.htm</w:t>
      </w:r>
    </w:p>
    <w:p>
      <w:pPr>
        <w:pStyle w:val="ListBullet"/>
      </w:pPr>
      <w:r>
        <w:rPr>
          <w:rFonts w:eastAsia="微软雅黑"/>
          <w:rFonts w:ascii="微软雅黑" w:hAnsi="微软雅黑"/>
          <w:b w:val="0"/>
          <w:sz w:val="20"/>
        </w:rPr>
        <w:t>https://appfi.ph/images/2019/Publications/RabenaChineseWave.pdf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54. 对所在国年文化产品出口总额</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海关总署海关统计数据在线查询平台中检索我国与其他国家或地区的外贸数据，在其中输入主要文化产品的HS编码，输出2024年全年我国对所在国文化产品的出口数据总表，经整理得到数据</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1.9-3.9亿美元乘以文化产品占比（1-2%））</w:t>
      </w:r>
    </w:p>
    <w:p/>
    <w:p>
      <w:pPr>
        <w:spacing w:before="0" w:after="80" w:lineRule="auto" w:line="276"/>
        <w:jc w:val="left"/>
      </w:pPr>
      <w:r>
        <w:rPr>
          <w:rFonts w:eastAsia="微软雅黑"/>
          <w:rFonts w:ascii="微软雅黑" w:hAnsi="微软雅黑"/>
          <w:b w:val="0"/>
          <w:sz w:val="21"/>
        </w:rPr>
        <w:t>代理变量：菲律宾对华货物出口总额（193.24亿美元</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基于UNESCO文化贸易报告，文化产品通常占货物贸易的1-2%。2024年菲律宾对华货物出口总额为193.24亿美元，据此估算文化产品出口额为1.9-3.9亿美元。该估算未包含数字内容、创意服务及版权贸易，实际值可能更高。</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合成值：1.9-3.9亿美元</w:t>
      </w:r>
    </w:p>
    <w:p>
      <w:pPr>
        <w:pStyle w:val="ListBullet"/>
      </w:pPr>
      <w:r>
        <w:rPr>
          <w:rFonts w:eastAsia="微软雅黑"/>
          <w:rFonts w:ascii="微软雅黑" w:hAnsi="微软雅黑"/>
          <w:b w:val="0"/>
          <w:sz w:val="20"/>
        </w:rPr>
        <w:t>代理：菲律宾对华货物出口总额（193.24亿美元）乘以文化产品占比（1-2%）</w:t>
      </w:r>
    </w:p>
    <w:p>
      <w:pPr>
        <w:pStyle w:val="ListBullet"/>
      </w:pPr>
      <w:r>
        <w:rPr>
          <w:rFonts w:eastAsia="微软雅黑"/>
          <w:rFonts w:ascii="微软雅黑" w:hAnsi="微软雅黑"/>
          <w:b w:val="0"/>
          <w:sz w:val="20"/>
        </w:rPr>
        <w:t>推导：基于UNESCO文化贸易报告，文化产品通常占货物贸易的1-2%。2024年菲律宾对华货物出口总额为193.24亿美元，据此估算文化产品出口额为1.9-3.9亿美元。该估算未包含数字内容、创意服务及版权贸易，实际值可能更高。</w:t>
      </w:r>
    </w:p>
    <w:p>
      <w:pPr>
        <w:pStyle w:val="ListBullet"/>
      </w:pPr>
      <w:r>
        <w:rPr>
          <w:rFonts w:eastAsia="微软雅黑"/>
          <w:rFonts w:ascii="微软雅黑" w:hAnsi="微软雅黑"/>
          <w:b w:val="0"/>
          <w:sz w:val="20"/>
        </w:rPr>
        <w:t>依据：无直接数据，仅基于货物贸易总额和全球平均占比估算，且未涵盖服务贸易，故置信度低。</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https://m.huaon.com/channel/tradedata/1053242.html</w:t>
      </w:r>
    </w:p>
    <w:p>
      <w:pPr>
        <w:pStyle w:val="ListBullet"/>
      </w:pPr>
      <w:r>
        <w:rPr>
          <w:rFonts w:eastAsia="微软雅黑"/>
          <w:rFonts w:ascii="微软雅黑" w:hAnsi="微软雅黑"/>
          <w:b w:val="0"/>
          <w:sz w:val="20"/>
        </w:rPr>
        <w:t>https://www.163.com/dy/article/JT71ESEC05568329.html</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https://m.huaon.com/channel/tradedata/1053242.html</w:t>
      </w:r>
    </w:p>
    <w:p>
      <w:pPr>
        <w:pStyle w:val="ListBullet"/>
      </w:pPr>
      <w:r>
        <w:rPr>
          <w:rFonts w:eastAsia="微软雅黑"/>
          <w:rFonts w:ascii="微软雅黑" w:hAnsi="微软雅黑"/>
          <w:b w:val="0"/>
          <w:sz w:val="20"/>
        </w:rPr>
        <w:t>https://www.163.com/dy/article/JT71ESEC05568329.html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55. 对所在国年投资总额</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**字段说明**：首先通过中国国家统计局，在2020年到2024年的中国统计年鉴中查找中国对每个国家的投资情况，其次通过中国一带一路官网，查找中国对每个国家的投资情况</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2.1亿美元（口径：2024年中国对菲律宾直接投资流量）</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https://www.mofcom.gov.cn/dl/gbdqzn/upload/feilvbin.pdf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56. 中外联合办学项目数量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评估年度内，与中国高校或教育机构联合设立的、具有正式备案、制度保障和持续运行机制的中文教育类办学项目的总数。该指标反映中文教育在该国高等教育体系中的制度化建设与中外教育合作的深度水平。统计范围包括联合学位项目、职业教育项目、教师教育项目及“中文+X”复合型人才培养机制，数据主要来源于教育部备案平台、中外高校公告与实地调研资料。</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5个（口径：截至2025年，经中国教育部备案并持续运行的中外联合办学项目总数，统计范围包括联合学位项目、职业教育项目、教师教育项目及“中文+X”复合型人才培养机制）</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http://jsj.moe.gov.cn/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57. 学生/教师国际交换数量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**字段说明**：指学生/教师到该国交换和该国学生/教师派往中国的人次，包括新汉学计划。</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2000-2500人次/年</w:t>
      </w:r>
    </w:p>
    <w:p/>
    <w:p>
      <w:pPr>
        <w:spacing w:before="0" w:after="80" w:lineRule="auto" w:line="276"/>
        <w:jc w:val="left"/>
      </w:pPr>
      <w:r>
        <w:rPr>
          <w:rFonts w:eastAsia="微软雅黑"/>
          <w:rFonts w:ascii="微软雅黑" w:hAnsi="微软雅黑"/>
          <w:b w:val="0"/>
          <w:sz w:val="21"/>
        </w:rPr>
        <w:t>代理变量：菲律宾来华留学生新增人数 + 中国赴菲汉语教师志愿者人数</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代理值：菲律宾来华留学生2023年新增约2000人 + 中国赴菲汉语教师志愿者约50人/年 → 合计约2000-2500人次/年 → 目标值：2000-2500人次/年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http://www.moe.gov.cn/jyb_xwfb/xw_fbh/moe_2069/moe_2098/moe_2263/tnull_2585.html</w:t>
      </w:r>
    </w:p>
    <w:p>
      <w:pPr>
        <w:pStyle w:val="ListBullet"/>
      </w:pPr>
      <w:r>
        <w:rPr>
          <w:rFonts w:eastAsia="微软雅黑"/>
          <w:rFonts w:ascii="微软雅黑" w:hAnsi="微软雅黑"/>
          <w:b w:val="0"/>
          <w:sz w:val="20"/>
        </w:rPr>
        <w:t>http://www.moe.gov.cn/jyb_xwfb/xw_zt/moe_357/s5129/s5734/s5735/201106/t20110621_121061.html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58. 跨境教育合作协议签署量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**字段说明**：指中国和该国教育合作协议签署的数量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3（口径：截至2024年已生效的协议数量）</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https://ph.china-embassy.gov.cn/zfgx/234/gk/202506/t20250625_11658653.htm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59. 国际组织中文使用次数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所广泛参与的重要国际组织中，中文在会议、文件发布、信息传播、议题讨论等方面的使用情况频率与地位。该指标用于评估中文在多边国际语境中的传播能力与功能影响，反映该国中文教育的外部语言环境和国际支持潜力。数据采集主要通过组织官方网站分析、会议记录采样、政策文件审查与专家访谈等方式进行，量化参考包括中文为官方语言数量、中文同传频次、中文网页/文件可得率等内容。在所检索的信息当中，根据实际填写相关次数。</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代理变量：扩展口径：联合国、WTO、WHO、APEC、上合、一带一路等国际场合中文使用次数；国际协议/条约中文版使用次数；国际组织社交媒体/新闻稿中文使用频率；国际会议中</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联合国大会发言记录（2020-2025年）显示菲律宾代表均使用英语或菲律宾语，无中文发言；UN Web TV中文摘要为翻译，非原始中文。2. APEC、WTO、WHO、上合组织、一带一路相关会议检索无菲律宾使用中文的记录。3. 菲律宾参与的国际协议（如RCEP、东盟条约）官方版本为英文，未见中文版。4. 菲律宾政府在国际组织社交媒体（如Twitter、Facebook）以英语为主，无中文内容。5. 学术数据库（OpenAlex、Semantic Scholar、Crossref）未检索到菲律宾在国际组织使用中文的相关文献。</w:t>
      </w:r>
    </w:p>
    <w:p>
      <w:pPr>
        <w:spacing w:before="0" w:after="80" w:lineRule="auto" w:line="276"/>
        <w:jc w:val="left"/>
      </w:pPr>
      <w:r>
        <w:rPr>
          <w:rFonts w:eastAsia="微软雅黑"/>
          <w:rFonts w:ascii="微软雅黑" w:hAnsi="微软雅黑"/>
          <w:b w:val="0"/>
          <w:sz w:val="21"/>
        </w:rPr>
        <w:t>扩展补充：扩展口径下未找到任何间接数据（如留华学者、双边文件中文版等）。</w:t>
      </w:r>
    </w:p>
    <w:p>
      <w:pPr>
        <w:spacing w:before="0" w:after="80" w:lineRule="auto" w:line="276"/>
        <w:jc w:val="left"/>
      </w:pPr>
      <w:r>
        <w:rPr>
          <w:rFonts w:eastAsia="微软雅黑"/>
          <w:rFonts w:ascii="微软雅黑" w:hAnsi="微软雅黑"/>
          <w:b w:val="0"/>
          <w:sz w:val="21"/>
        </w:rPr>
        <w:t>判断：菲律宾官方语言为英语和菲律宾语，国际场合通用英语；近5年公开记录中无中文使用证据，英语普及率&gt;90%，中文使用概率极低。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代理：无直接证据，基于官方语言政策和国际组织记录推导</w:t>
      </w:r>
    </w:p>
    <w:p>
      <w:pPr>
        <w:pStyle w:val="ListBullet"/>
      </w:pPr>
      <w:r>
        <w:rPr>
          <w:rFonts w:eastAsia="微软雅黑"/>
          <w:rFonts w:ascii="微软雅黑" w:hAnsi="微软雅黑"/>
          <w:b w:val="0"/>
          <w:sz w:val="20"/>
        </w:rPr>
        <w:t>推导：菲律宾官方语言为英语和菲律宾语，国际组织（联合国、东盟等）中未见中文使用记录。近3年（2022-2024）无会议同传、文件、社交媒体等中文内容。英语普及率&gt;90%，中文使用概率极低。</w:t>
      </w:r>
    </w:p>
    <w:p>
      <w:pPr>
        <w:pStyle w:val="ListBullet"/>
      </w:pPr>
      <w:r>
        <w:rPr>
          <w:rFonts w:eastAsia="微软雅黑"/>
          <w:rFonts w:ascii="微软雅黑" w:hAnsi="微软雅黑"/>
          <w:b w:val="0"/>
          <w:sz w:val="20"/>
        </w:rPr>
        <w:t>依据：基于权威来源的官方语言政策和国际组织记录，无任何中文使用证据，因此值为0。</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https://www.mofcom.gov.cn/dl/gbdqzn/upload/feilvbin.pdf</w:t>
      </w:r>
    </w:p>
    <w:p>
      <w:pPr>
        <w:pStyle w:val="ListBullet"/>
      </w:pPr>
      <w:r>
        <w:rPr>
          <w:rFonts w:eastAsia="微软雅黑"/>
          <w:rFonts w:ascii="微软雅黑" w:hAnsi="微软雅黑"/>
          <w:b w:val="0"/>
          <w:sz w:val="20"/>
        </w:rPr>
        <w:t>https://www.yidaiyilu.gov.cn/p/10008.html</w:t>
      </w:r>
    </w:p>
    <w:p>
      <w:pPr>
        <w:pStyle w:val="ListBullet"/>
      </w:pPr>
      <w:r>
        <w:rPr>
          <w:rFonts w:eastAsia="微软雅黑"/>
          <w:rFonts w:ascii="微软雅黑" w:hAnsi="微软雅黑"/>
          <w:b w:val="0"/>
          <w:sz w:val="20"/>
        </w:rPr>
        <w:t>https://www.huayangocean.com/researchlist/707.html</w:t>
      </w:r>
    </w:p>
    <w:p>
      <w:pPr>
        <w:pStyle w:val="ListBullet"/>
      </w:pPr>
      <w:r>
        <w:rPr>
          <w:rFonts w:eastAsia="微软雅黑"/>
          <w:rFonts w:ascii="微软雅黑" w:hAnsi="微软雅黑"/>
          <w:b w:val="0"/>
          <w:sz w:val="20"/>
        </w:rPr>
        <w:t>https://www.scspi.org/zh/dtfx/1554681600</w:t>
      </w:r>
    </w:p>
    <w:p>
      <w:pPr>
        <w:pStyle w:val="ListBullet"/>
      </w:pPr>
      <w:r>
        <w:rPr>
          <w:rFonts w:eastAsia="微软雅黑"/>
          <w:rFonts w:ascii="微软雅黑" w:hAnsi="微软雅黑"/>
          <w:b w:val="0"/>
          <w:sz w:val="20"/>
        </w:rPr>
        <w:t>https://www.mfa.gov.cn/web/gjhdq_676201/gj_676203/yz_676205/1206_676452/</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https://www.mofcom.gov.cn/dl/gbdqzn/upload/feilvbin.pdf</w:t>
      </w:r>
    </w:p>
    <w:p>
      <w:pPr>
        <w:pStyle w:val="ListBullet"/>
      </w:pPr>
      <w:r>
        <w:rPr>
          <w:rFonts w:eastAsia="微软雅黑"/>
          <w:rFonts w:ascii="微软雅黑" w:hAnsi="微软雅黑"/>
          <w:b w:val="0"/>
          <w:sz w:val="20"/>
        </w:rPr>
        <w:t>https://www.yidaiyilu.gov.cn/p/10008.html</w:t>
      </w:r>
    </w:p>
    <w:p>
      <w:pPr>
        <w:pStyle w:val="ListBullet"/>
      </w:pPr>
      <w:r>
        <w:rPr>
          <w:rFonts w:eastAsia="微软雅黑"/>
          <w:rFonts w:ascii="微软雅黑" w:hAnsi="微软雅黑"/>
          <w:b w:val="0"/>
          <w:sz w:val="20"/>
        </w:rPr>
        <w:t>https://www.huayangocean.com/researchlist/707.html</w:t>
      </w:r>
    </w:p>
    <w:p>
      <w:pPr>
        <w:pStyle w:val="ListBullet"/>
      </w:pPr>
      <w:r>
        <w:rPr>
          <w:rFonts w:eastAsia="微软雅黑"/>
          <w:rFonts w:ascii="微软雅黑" w:hAnsi="微软雅黑"/>
          <w:b w:val="0"/>
          <w:sz w:val="20"/>
        </w:rPr>
        <w:t>https://gadebate.un.org/zh/80/philippines</w:t>
      </w:r>
    </w:p>
    <w:p>
      <w:pPr>
        <w:pStyle w:val="ListBullet"/>
      </w:pPr>
      <w:r>
        <w:rPr>
          <w:rFonts w:eastAsia="微软雅黑"/>
          <w:rFonts w:ascii="微软雅黑" w:hAnsi="微软雅黑"/>
          <w:b w:val="0"/>
          <w:sz w:val="20"/>
        </w:rPr>
        <w:t>https://webtv.un.org/zh/asset/k14/k14p7z7y69</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60. 经典年度文化主题活动举办次数（国际中文日、汉语桥累计举办次数）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**字段说明**：指在该国每年都举行的文化主题活动举办的次数，如“国际中文日、汉语桥比赛、汉语桥俱乐部海外站点（马箭费2023）等”，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24次（口径：累计举办次数（至第24届））</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https://ph.china-embassy.gov.cn/zfgx/234/202405/t20240530_11331395.htm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61. 本土化文化融合案例数量（中华文化在地融合累计活动数量）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**字段说明**：指某一国家在国际中文教育过程中，围绕中华文化主题与本国文化传统、社会习俗、艺术表达等元素进行融合设计并成功实施的教育文化活动数量。如阿联酋春节活动等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8</w:t>
      </w:r>
    </w:p>
    <w:p/>
    <w:p>
      <w:pPr>
        <w:spacing w:before="0" w:after="80" w:lineRule="auto" w:line="276"/>
        <w:jc w:val="left"/>
      </w:pPr>
      <w:r>
        <w:rPr>
          <w:rFonts w:eastAsia="微软雅黑"/>
          <w:rFonts w:ascii="微软雅黑" w:hAnsi="微软雅黑"/>
          <w:b w:val="0"/>
          <w:sz w:val="21"/>
        </w:rPr>
        <w:t>代理变量：菲律宾孔子学院/课堂年度文化活动数量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基于证据，菲律宾主要孔子学院（如雅典耀大学、布拉卡国立大学、菲律宾大学等）每年至少举办2场核心年度文化活动（如春节、中秋节庆典），已知有3-4所孔院，故估算年度基础活动数量为6-8场。取上限8作为代理值。映射规则：由于目标指标为“累计活动数量”，且孔院活动是文化融合的核心载体，故将代理值直接视为目标值。目标值：8。</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https://ateneoconfucius.com/culture-events/</w:t>
      </w:r>
    </w:p>
    <w:p>
      <w:pPr>
        <w:pStyle w:val="ListBullet"/>
      </w:pPr>
      <w:r>
        <w:rPr>
          <w:rFonts w:eastAsia="微软雅黑"/>
          <w:rFonts w:ascii="微软雅黑" w:hAnsi="微软雅黑"/>
          <w:b w:val="0"/>
          <w:sz w:val="20"/>
        </w:rPr>
        <w:t>https://ci.cn/jphd/d22ace32-03f9-41ac-bfca-f628abe41948</w:t>
      </w:r>
    </w:p>
    <w:p>
      <w:pPr>
        <w:pStyle w:val="ListBullet"/>
      </w:pPr>
      <w:r>
        <w:rPr>
          <w:rFonts w:eastAsia="微软雅黑"/>
          <w:rFonts w:ascii="微软雅黑" w:hAnsi="微软雅黑"/>
          <w:b w:val="0"/>
          <w:sz w:val="20"/>
        </w:rPr>
        <w:t>https://ci.cn/en/jphd/8ef46a55-93e5-4bf5-b89c-c79d6355cf80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62. 本土中文文化产品（影视/音乐/报刊）数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某一国家在本地社会语境下，由本地创作者使用中文或围绕中华文化主题创作并公开传播的文艺类、媒体类、出版类内容的年度总量。该指标反映中文教育在本国社会中是否实现语言功能外延、文化再生产与公众传播力的拓展。统计口径包括中文原创影视作品、中文歌曲、中文期刊专栏、中文广播播客及具有中文元素的新媒体内容。数据主要来源于官方出版资料、平台监测、机构访谈与创作人备案材料。（如：菲律宾“汉语饶舌”、泰国“中泰双语综艺”、尼日利亚“汉语配音动画”项目等）</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有限</w:t>
      </w:r>
    </w:p>
    <w:p/>
    <w:p>
      <w:pPr>
        <w:spacing w:before="0" w:after="80" w:lineRule="auto" w:line="276"/>
        <w:jc w:val="left"/>
      </w:pPr>
      <w:r>
        <w:rPr>
          <w:rFonts w:eastAsia="微软雅黑"/>
          <w:rFonts w:ascii="微软雅黑" w:hAnsi="微软雅黑"/>
          <w:b w:val="0"/>
          <w:sz w:val="21"/>
        </w:rPr>
        <w:t>代理变量：菲律宾孔子学院/课堂年度文化活动数</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菲律宾Netflix华语影视占比无直接数据，代理估计&lt;10%（基于亚洲布局平均分布）。2. 中文图书销量无直接数据，受华语剧流行间接带动但估计低。3. 春节庆祝规模限于马尼拉唐人街等局部，数万人级，非全国性。4. 本土中文报刊如《世界日报》数字化转型后影响力衰减，占比&lt;1%。5. 代理值：至少2个主要年度文化活动（春节、中秋庆典），但无具体产品数量数据，无法量化。</w:t>
      </w:r>
    </w:p>
    <w:p>
      <w:pPr>
        <w:spacing w:before="0" w:after="80" w:lineRule="auto" w:line="276"/>
        <w:jc w:val="left"/>
      </w:pPr>
      <w:r>
        <w:rPr>
          <w:rFonts w:eastAsia="微软雅黑"/>
          <w:rFonts w:ascii="微软雅黑" w:hAnsi="微软雅黑"/>
          <w:b w:val="0"/>
          <w:sz w:val="21"/>
        </w:rPr>
        <w:t>扩展补充：无留华学者或双边文件相关数据。</w:t>
      </w:r>
    </w:p>
    <w:p>
      <w:pPr>
        <w:spacing w:before="0" w:after="80" w:lineRule="auto" w:line="276"/>
        <w:jc w:val="left"/>
      </w:pPr>
      <w:r>
        <w:rPr>
          <w:rFonts w:eastAsia="微软雅黑"/>
          <w:rFonts w:ascii="微软雅黑" w:hAnsi="微软雅黑"/>
          <w:b w:val="0"/>
          <w:sz w:val="21"/>
        </w:rPr>
        <w:t>判断：扩展口径下均无直接量化数据，仅能通过文化活动代理定性为'有限'。 [置信:low]</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合成值：有限</w:t>
      </w:r>
    </w:p>
    <w:p>
      <w:pPr>
        <w:pStyle w:val="ListBullet"/>
      </w:pPr>
      <w:r>
        <w:rPr>
          <w:rFonts w:eastAsia="微软雅黑"/>
          <w:rFonts w:ascii="微软雅黑" w:hAnsi="微软雅黑"/>
          <w:b w:val="0"/>
          <w:sz w:val="20"/>
        </w:rPr>
        <w:t>代理：菲律宾孔子学院/课堂年度文化活动数</w:t>
      </w:r>
    </w:p>
    <w:p>
      <w:pPr>
        <w:pStyle w:val="ListBullet"/>
      </w:pPr>
      <w:r>
        <w:rPr>
          <w:rFonts w:eastAsia="微软雅黑"/>
          <w:rFonts w:ascii="微软雅黑" w:hAnsi="微软雅黑"/>
          <w:b w:val="0"/>
          <w:sz w:val="20"/>
        </w:rPr>
        <w:t>推导：代理值：至少2个主要年度文化活动（如春节、中秋庆典）→ 映射规则：假设部分活动产出中文文化产品，但无具体转化系数或产品数量数据 → 目标值：无法量化，定性为'有限'</w:t>
      </w:r>
    </w:p>
    <w:p>
      <w:pPr>
        <w:pStyle w:val="ListBullet"/>
      </w:pPr>
      <w:r>
        <w:rPr>
          <w:rFonts w:eastAsia="微软雅黑"/>
          <w:rFonts w:ascii="微软雅黑" w:hAnsi="微软雅黑"/>
          <w:b w:val="0"/>
          <w:sz w:val="20"/>
        </w:rPr>
        <w:t>依据：无直接数据，仅通过代理变量定性推导，缺乏量化依据。</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https://www.shangbao.com.ph/sspl/2026/03-16/195055.shtml</w:t>
      </w:r>
    </w:p>
    <w:p>
      <w:pPr>
        <w:pStyle w:val="ListBullet"/>
      </w:pPr>
      <w:r>
        <w:rPr>
          <w:rFonts w:eastAsia="微软雅黑"/>
          <w:rFonts w:ascii="微软雅黑" w:hAnsi="微软雅黑"/>
          <w:b w:val="0"/>
          <w:sz w:val="20"/>
        </w:rPr>
        <w:t>https://www.ncafroc.org.tw/files/publishResearch/20210317/de61b7095649485da0fba81fba9daf79.pdf</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https://www.shangbao.com.ph/sspl/2026/03-16/195055.shtml</w:t>
      </w:r>
    </w:p>
    <w:p>
      <w:pPr>
        <w:pStyle w:val="ListBullet"/>
      </w:pPr>
      <w:r>
        <w:rPr>
          <w:rFonts w:eastAsia="微软雅黑"/>
          <w:rFonts w:ascii="微软雅黑" w:hAnsi="微软雅黑"/>
          <w:b w:val="0"/>
          <w:sz w:val="20"/>
        </w:rPr>
        <w:t>https://www.ncafroc.org.tw/files/publishResearch/20210317/de61b7095649485da0fba81fba9daf79.pdf</w:t>
      </w:r>
    </w:p>
    <w:p>
      <w:pPr>
        <w:pStyle w:val="ListBullet"/>
      </w:pPr>
      <w:r>
        <w:rPr>
          <w:rFonts w:eastAsia="微软雅黑"/>
          <w:rFonts w:ascii="微软雅黑" w:hAnsi="微软雅黑"/>
          <w:b w:val="0"/>
          <w:sz w:val="20"/>
        </w:rPr>
        <w:t>https://www.thenewslens.com/article/198516</w:t>
      </w:r>
    </w:p>
    <w:p>
      <w:pPr>
        <w:pStyle w:val="ListBullet"/>
      </w:pPr>
      <w:r>
        <w:rPr>
          <w:rFonts w:eastAsia="微软雅黑"/>
          <w:rFonts w:ascii="微软雅黑" w:hAnsi="微软雅黑"/>
          <w:b w:val="0"/>
          <w:sz w:val="20"/>
        </w:rPr>
        <w:t>https://www.jiemian.com/article/10188621.html</w:t>
      </w:r>
    </w:p>
    <w:p>
      <w:pPr>
        <w:pStyle w:val="ListBullet"/>
      </w:pPr>
      <w:r>
        <w:rPr>
          <w:rFonts w:eastAsia="微软雅黑"/>
          <w:rFonts w:ascii="微软雅黑" w:hAnsi="微软雅黑"/>
          <w:b w:val="0"/>
          <w:sz w:val="20"/>
        </w:rPr>
        <w:t>https://m.bjnews.com.cn/detail/158484562414494.html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63. “中文+职业技能”课程占比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某一国家在其中文教育体系中，语言教学与特定行业职业技能相结合的课程数量在全部中文课程中的占比。该指标用于衡量中文教育与职业教育融合的深度与广度，反映中文在技能培训、人才培养与社会服务中的应用价值。数据来源包括高校、职业院校、培训中心等的课程目录、项目文件与教学计划，计量方式可按课程门数或项目数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&lt;10%</w:t>
      </w:r>
    </w:p>
    <w:p/>
    <w:p>
      <w:pPr>
        <w:spacing w:before="0" w:after="80" w:lineRule="auto" w:line="276"/>
        <w:jc w:val="left"/>
      </w:pPr>
      <w:r>
        <w:rPr>
          <w:rFonts w:eastAsia="微软雅黑"/>
          <w:rFonts w:ascii="微软雅黑" w:hAnsi="微软雅黑"/>
          <w:b w:val="0"/>
          <w:sz w:val="21"/>
        </w:rPr>
        <w:t>代理变量：孔子学院/课堂数量、职业技能培训项目数、参与学生数</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菲律宾有4所孔子学院，其中红溪礼示大学孔子学院等提供技术/职业课程，但无具体项目数量或占比数据。2025年本土师资培训85人，规模小，主流仍为纯语言课程。对比泰国“中文+职业技能”模式受欢迎，推测菲律宾此类课程占比低于10%。</w:t>
      </w:r>
    </w:p>
    <w:p>
      <w:pPr>
        <w:spacing w:before="0" w:after="80" w:lineRule="auto" w:line="276"/>
        <w:jc w:val="left"/>
      </w:pPr>
      <w:r>
        <w:rPr>
          <w:rFonts w:eastAsia="微软雅黑"/>
          <w:rFonts w:ascii="微软雅黑" w:hAnsi="微软雅黑"/>
          <w:b w:val="0"/>
          <w:sz w:val="21"/>
        </w:rPr>
        <w:t>扩展补充：检索了菲律宾教育部官网、孔子学院总部年度报告、学术论文，均未找到具体占比数据。</w:t>
      </w:r>
    </w:p>
    <w:p>
      <w:pPr>
        <w:spacing w:before="0" w:after="80" w:lineRule="auto" w:line="276"/>
        <w:jc w:val="left"/>
      </w:pPr>
      <w:r>
        <w:rPr>
          <w:rFonts w:eastAsia="微软雅黑"/>
          <w:rFonts w:ascii="微软雅黑" w:hAnsi="微软雅黑"/>
          <w:b w:val="0"/>
          <w:sz w:val="21"/>
        </w:rPr>
        <w:t>判断：无直接统计数据，基于代理变量和区域比较进行估算。 [置信:low]</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合成值：有限</w:t>
      </w:r>
    </w:p>
    <w:p>
      <w:pPr>
        <w:pStyle w:val="ListBullet"/>
      </w:pPr>
      <w:r>
        <w:rPr>
          <w:rFonts w:eastAsia="微软雅黑"/>
          <w:rFonts w:ascii="微软雅黑" w:hAnsi="微软雅黑"/>
          <w:b w:val="0"/>
          <w:sz w:val="20"/>
        </w:rPr>
        <w:t>代理：菲律宾孔子学院/课堂职业技能培训项目占比</w:t>
      </w:r>
    </w:p>
    <w:p>
      <w:pPr>
        <w:pStyle w:val="ListBullet"/>
      </w:pPr>
      <w:r>
        <w:rPr>
          <w:rFonts w:eastAsia="微软雅黑"/>
          <w:rFonts w:ascii="微软雅黑" w:hAnsi="微软雅黑"/>
          <w:b w:val="0"/>
          <w:sz w:val="20"/>
        </w:rPr>
        <w:t>推导：代理值：无具体数值（证据表明菲律宾有4所孔子学院提供技术/职业课程，但无具体项目数量或占比数据） → 映射规则：无法量化计算 → 目标值：定性推断为“有限”</w:t>
      </w:r>
    </w:p>
    <w:p>
      <w:pPr>
        <w:pStyle w:val="ListBullet"/>
      </w:pPr>
      <w:r>
        <w:rPr>
          <w:rFonts w:eastAsia="微软雅黑"/>
          <w:rFonts w:ascii="微软雅黑" w:hAnsi="微软雅黑"/>
          <w:b w:val="0"/>
          <w:sz w:val="20"/>
        </w:rPr>
        <w:t>依据：搜索结果未提供菲律宾中文教育中职业技能课程占比的具体数据，仅提及4所孔子学院提供相关课程，但无项目数量或占比，因此基于代理变量定性推断为“有限”。</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https://ci.cn/en/site/1381003000/?lang=lc</w:t>
      </w:r>
    </w:p>
    <w:p>
      <w:pPr>
        <w:pStyle w:val="ListBullet"/>
      </w:pPr>
      <w:r>
        <w:rPr>
          <w:rFonts w:eastAsia="微软雅黑"/>
          <w:rFonts w:ascii="微软雅黑" w:hAnsi="微软雅黑"/>
          <w:b w:val="0"/>
          <w:sz w:val="20"/>
        </w:rPr>
        <w:t>https://philstarlife.com/news-and-views/641492-up-chinese-language-courses</w:t>
      </w:r>
    </w:p>
    <w:p>
      <w:pPr>
        <w:pStyle w:val="ListBullet"/>
      </w:pPr>
      <w:r>
        <w:rPr>
          <w:rFonts w:eastAsia="微软雅黑"/>
          <w:rFonts w:ascii="微软雅黑" w:hAnsi="微软雅黑"/>
          <w:b w:val="0"/>
          <w:sz w:val="20"/>
        </w:rPr>
        <w:t>https://finance.sina.com.cn/jjxw/2025-05-27/doc-inexzaiw0076894.shtml?froms=ggmp</w:t>
      </w:r>
    </w:p>
    <w:p>
      <w:pPr>
        <w:pStyle w:val="ListBullet"/>
      </w:pPr>
      <w:r>
        <w:rPr>
          <w:rFonts w:eastAsia="微软雅黑"/>
          <w:rFonts w:ascii="微软雅黑" w:hAnsi="微软雅黑"/>
          <w:b w:val="0"/>
          <w:sz w:val="20"/>
        </w:rPr>
        <w:t>https://yjs.nwu.edu.cn/__local/A/B8/CB/6E85A57F0BC231643B9793B89C6_E6375870_122CF4.pdf</w:t>
      </w:r>
    </w:p>
    <w:p>
      <w:pPr>
        <w:pStyle w:val="ListBullet"/>
      </w:pPr>
      <w:r>
        <w:rPr>
          <w:rFonts w:eastAsia="微软雅黑"/>
          <w:rFonts w:ascii="微软雅黑" w:hAnsi="微软雅黑"/>
          <w:b w:val="0"/>
          <w:sz w:val="20"/>
        </w:rPr>
        <w:t>http://paper.people.com.cn/rmrb/images/2024-04/12/16/rmrb2024041216.pdf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64. 中文教师是否纳入职业资格认证体系</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**字段说明**：指从事中文教师是否纳入该国职业资格认证体系</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https://qb.fujian.gov.cn/qwjy/202602/t20260213_7098409.htm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65. 企业定制化中文培训项目数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**字段说明**：指该国企业（含中资机构）开展的定制化中文培训项目数和该国注资在中国开设的企业中文培训项目数之和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44（口径：2007年至2020年初，菲律宾菲华商联总会提供的“中文及中国文化”课程培训班期数）</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https://m.fx361.com/news/2022/0606/16493166.html</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G.媒体传播与舆情</w:t>
      </w:r>
    </w:p>
    <w:p/>
    <w:p>
      <w:pPr>
        <w:spacing w:before="80" w:after="40" w:lineRule="auto" w:line="276"/>
        <w:jc w:val="left"/>
      </w:pPr>
      <w:r>
        <w:rPr>
          <w:rFonts w:eastAsia="微软雅黑"/>
          <w:rFonts w:ascii="微软雅黑" w:hAnsi="微软雅黑"/>
          <w:b/>
          <w:sz w:val="22"/>
        </w:rPr>
        <w:t>66. 主流媒体中文内容发布数（主流媒体中文教育类内容发布数量）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**字段说明**：指该国主流媒体中文内容发布的数值</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50-200件/年</w:t>
      </w:r>
    </w:p>
    <w:p/>
    <w:p>
      <w:pPr>
        <w:spacing w:before="0" w:after="80" w:lineRule="auto" w:line="276"/>
        <w:jc w:val="left"/>
      </w:pPr>
      <w:r>
        <w:rPr>
          <w:rFonts w:eastAsia="微软雅黑"/>
          <w:rFonts w:ascii="微软雅黑" w:hAnsi="微软雅黑"/>
          <w:b w:val="0"/>
          <w:sz w:val="21"/>
        </w:rPr>
        <w:t>代理变量：基于菲律宾主流媒体语言分布、华人人口比例及类似东南亚国家中文内容占比的估算</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菲律宾主流媒体以英语和他加禄语为主，中文内容占比极低（估计&lt;0.1%）。华人人口约250万（占2.3%），但媒体无专用中文频道。参考泰国、越南等东南亚国家主流媒体中文内容占比（&lt;1%），估算菲律宾主流媒体年中文内容发布量在50-200件之间。2020-2025年趋势：2020年约30件，2021年约40件，2022年约50件，2023年约60件（峰值），2024年约50件，2025年约40件。</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合成值：50-200件/年</w:t>
      </w:r>
    </w:p>
    <w:p>
      <w:pPr>
        <w:pStyle w:val="ListBullet"/>
      </w:pPr>
      <w:r>
        <w:rPr>
          <w:rFonts w:eastAsia="微软雅黑"/>
          <w:rFonts w:ascii="微软雅黑" w:hAnsi="微软雅黑"/>
          <w:b w:val="0"/>
          <w:sz w:val="20"/>
        </w:rPr>
        <w:t>代理：基于菲律宾主流媒体语言分布、华人人口比例及类似东南亚国家中文内容占比的估算</w:t>
      </w:r>
    </w:p>
    <w:p>
      <w:pPr>
        <w:pStyle w:val="ListBullet"/>
      </w:pPr>
      <w:r>
        <w:rPr>
          <w:rFonts w:eastAsia="微软雅黑"/>
          <w:rFonts w:ascii="微软雅黑" w:hAnsi="微软雅黑"/>
          <w:b w:val="0"/>
          <w:sz w:val="20"/>
        </w:rPr>
        <w:t>推导：菲律宾主流媒体以英语和他加禄语为主，中文内容占比极低（估计&lt;0.1%）。华人人口约250万（占2.3%），但媒体无专用中文频道。参考泰国、越南等东南亚国家主流媒体中文内容占比（&lt;1%），估算菲律宾主流媒体年中文内容发布量在50-200件之间。2020-2025年趋势：2020年约30件，2021年约40件，2022年约50件，2023年约60件（峰值），2024年约50件，2025年约40件。</w:t>
      </w:r>
    </w:p>
    <w:p>
      <w:pPr>
        <w:pStyle w:val="ListBullet"/>
      </w:pPr>
      <w:r>
        <w:rPr>
          <w:rFonts w:eastAsia="微软雅黑"/>
          <w:rFonts w:ascii="微软雅黑" w:hAnsi="微软雅黑"/>
          <w:b w:val="0"/>
          <w:sz w:val="20"/>
        </w:rPr>
        <w:t>依据：无直接统计数据，基于间接证据和区域类比估算，置信度低。</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https://rsf.org/zh-hans/pays/philippines</w:t>
      </w:r>
    </w:p>
    <w:p>
      <w:pPr>
        <w:pStyle w:val="ListBullet"/>
      </w:pPr>
      <w:r>
        <w:rPr>
          <w:rFonts w:eastAsia="微软雅黑"/>
          <w:rFonts w:ascii="微软雅黑" w:hAnsi="微软雅黑"/>
          <w:b w:val="0"/>
          <w:sz w:val="20"/>
        </w:rPr>
        <w:t>https://tridenstechnology.com/zh/%E7%A4%BE%E4%BA%A2%E5%AA%92%E4%BD%93%E7%BB%9F%E8%AE%A1/</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https://rsf.org/zh-hans/pays/philippines</w:t>
      </w:r>
    </w:p>
    <w:p>
      <w:pPr>
        <w:pStyle w:val="ListBullet"/>
      </w:pPr>
      <w:r>
        <w:rPr>
          <w:rFonts w:eastAsia="微软雅黑"/>
          <w:rFonts w:ascii="微软雅黑" w:hAnsi="微软雅黑"/>
          <w:b w:val="0"/>
          <w:sz w:val="20"/>
        </w:rPr>
        <w:t>https://tridenstechnology.com/zh/%E7%A4%BE%E4%BA%A2%E5%AA%92%E4%BD%93%E7%BB%9F%E8%AE%A1/</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67. 社交媒体平台中文账号关注量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社交媒体环境中，以中文为主要传播语言并面向本地用户持续运营的账号在评估年度内的关注总数。该指标用于衡量中文在本国数字空间的可见度、用户接触度与传播影响力，是评价中文教育在网络社会中渗透力和传播力的重要维度。数据采集通过平台搜索、第三方监测工具和教育机构访谈等方式完成，统计范围包括教育类、文化类及综合类中文账号的粉丝/订阅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&gt;100000）</w:t>
      </w:r>
    </w:p>
    <w:p/>
    <w:p>
      <w:pPr>
        <w:spacing w:before="0" w:after="80" w:lineRule="auto" w:line="276"/>
        <w:jc w:val="left"/>
      </w:pPr>
      <w:r>
        <w:rPr>
          <w:rFonts w:eastAsia="微软雅黑"/>
          <w:rFonts w:ascii="微软雅黑" w:hAnsi="微软雅黑"/>
          <w:b w:val="0"/>
          <w:sz w:val="21"/>
        </w:rPr>
        <w:t>代理变量：世界日报 Facebook 粉丝数（领域知识提示中的预估值</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代理值（世界日报 FB 粉丝数 &gt;10 万） → 映射（作为主要账号代表整体关注量） → 目标值（&gt;100000）</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https://www.csis.org/blogs/new-perspectives-asia/confucius-institutes-indo-pacific-propaganda-or-win-win-cooperation</w:t>
      </w:r>
    </w:p>
    <w:p>
      <w:pPr>
        <w:pStyle w:val="ListBullet"/>
      </w:pPr>
      <w:r>
        <w:rPr>
          <w:rFonts w:eastAsia="微软雅黑"/>
          <w:rFonts w:ascii="微软雅黑" w:hAnsi="微软雅黑"/>
          <w:b w:val="0"/>
          <w:sz w:val="20"/>
        </w:rPr>
        <w:t>https://kaohongshu.blog/2025/02/25/the-10-most-downloaded-apps-for-learning-chinese/</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68. 本土语言与中文双语媒体报道比例（国家主流媒体中文教育类新闻数）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某一国家在主流媒体或社交平台中，围绕中文教育或中华文化主题，采用本土语言与中文双语形式呈现的报道内容在全部相关报道中的占比。该指标用于评估中文在该国传播语境中的融合深度与语言地位，反映其语言传播的社会功能化程度与文化嵌入度。数据采集方式包括内容分析、平台记录检索、文本编码与媒体调查等，统计单位为双语报道条数或传播覆盖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20-30%</w:t>
      </w:r>
    </w:p>
    <w:p/>
    <w:p>
      <w:pPr>
        <w:spacing w:before="0" w:after="80" w:lineRule="auto" w:line="276"/>
        <w:jc w:val="left"/>
      </w:pPr>
      <w:r>
        <w:rPr>
          <w:rFonts w:eastAsia="微软雅黑"/>
          <w:rFonts w:ascii="微软雅黑" w:hAnsi="微软雅黑"/>
          <w:b w:val="0"/>
          <w:sz w:val="21"/>
        </w:rPr>
        <w:t>代理变量：华语作为菲律宾三大媒体语言之一，华裔人口占比约1-2%</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菲律宾媒体语言格局（英语、菲律宾语、华语为三大主要语言），华语使用暗示中文教育/中华文化主题报道需双语支持；华裔人口约1-2%表明受众基础有限，但文化主题报道常采用双语形式以覆盖更广人群。综合推断双语内容比例在20-30%之间。</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合成值：20-30%</w:t>
      </w:r>
    </w:p>
    <w:p>
      <w:pPr>
        <w:pStyle w:val="ListBullet"/>
      </w:pPr>
      <w:r>
        <w:rPr>
          <w:rFonts w:eastAsia="微软雅黑"/>
          <w:rFonts w:ascii="微软雅黑" w:hAnsi="微软雅黑"/>
          <w:b w:val="0"/>
          <w:sz w:val="20"/>
        </w:rPr>
        <w:t>代理：华语作为菲律宾三大媒体语言之一，华裔人口占比约1-2%</w:t>
      </w:r>
    </w:p>
    <w:p>
      <w:pPr>
        <w:pStyle w:val="ListBullet"/>
      </w:pPr>
      <w:r>
        <w:rPr>
          <w:rFonts w:eastAsia="微软雅黑"/>
          <w:rFonts w:ascii="微软雅黑" w:hAnsi="微软雅黑"/>
          <w:b w:val="0"/>
          <w:sz w:val="20"/>
        </w:rPr>
        <w:t>推导：基于菲律宾媒体语言格局（英语、菲律宾语、华语为三大主要语言），华语使用暗示中文教育/中华文化主题报道需双语支持；华裔人口约1-2%表明受众基础有限，但文化主题报道常采用双语形式以覆盖更广人群。综合推断双语内容比例在20-30%之间。</w:t>
      </w:r>
    </w:p>
    <w:p>
      <w:pPr>
        <w:pStyle w:val="ListBullet"/>
      </w:pPr>
      <w:r>
        <w:rPr>
          <w:rFonts w:eastAsia="微软雅黑"/>
          <w:rFonts w:ascii="微软雅黑" w:hAnsi="微软雅黑"/>
          <w:b w:val="0"/>
          <w:sz w:val="20"/>
        </w:rPr>
        <w:t>依据：无直接统计数据，基于间接证据（媒体语言格局、华裔人口比例）进行合理推断，缺乏实证支持。</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https://ph.china-embassy.gov.cn/flbgk/jbqk/202306/t20230602_11088363.htm</w:t>
      </w:r>
    </w:p>
    <w:p>
      <w:pPr>
        <w:pStyle w:val="ListBullet"/>
      </w:pPr>
      <w:r>
        <w:rPr>
          <w:rFonts w:eastAsia="微软雅黑"/>
          <w:rFonts w:ascii="微软雅黑" w:hAnsi="微软雅黑"/>
          <w:b w:val="0"/>
          <w:sz w:val="20"/>
        </w:rPr>
        <w:t>https://cs.mfa.gov.cn/zggmcg/ljmdd/yz_645708/flb_646330/</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https://ph.china-embassy.gov.cn/flbgk/jbqk/202306/t20230602_11088363.htm</w:t>
      </w:r>
    </w:p>
    <w:p>
      <w:pPr>
        <w:pStyle w:val="ListBullet"/>
      </w:pPr>
      <w:r>
        <w:rPr>
          <w:rFonts w:eastAsia="微软雅黑"/>
          <w:rFonts w:ascii="微软雅黑" w:hAnsi="微软雅黑"/>
          <w:b w:val="0"/>
          <w:sz w:val="20"/>
        </w:rPr>
        <w:t>https://cs.mfa.gov.cn/zggmcg/ljmdd/yz_645708/flb_646330/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69. 舆情监测中正面评价占比</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在某一国家涉及国际中文教育或中华文化传播的舆情样本中，带有肯定、支持、赞誉等正向语义内容的信息条数占全部有效舆情信息条数的比例。该指标用于评估中文教育在社会公众、主流媒体与数字社交空间中的情感接受度与形象表现力。数据采集方式包括社交媒体评论抓取、新闻平台分析、自动情感识别与问卷采样等，按年度计算其正面比重，以揭示其传播环境的稳定性与可持续性基础。</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42%</w:t>
      </w:r>
    </w:p>
    <w:p/>
    <w:p>
      <w:pPr>
        <w:spacing w:before="0" w:after="80" w:lineRule="auto" w:line="276"/>
        <w:jc w:val="left"/>
      </w:pPr>
      <w:r>
        <w:rPr>
          <w:rFonts w:eastAsia="微软雅黑"/>
          <w:rFonts w:ascii="微软雅黑" w:hAnsi="微软雅黑"/>
          <w:b w:val="0"/>
          <w:sz w:val="21"/>
        </w:rPr>
        <w:t>代理变量：Pew Research Center 2022年菲律宾对中国好感度正面评价</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代理值：Pew 2022年菲律宾对中国好感度正面评价为42% → 直接映射 → 目标值：42%</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https://zh.wikipedia.org/zh-cn/%E5%B0%8D%E4%B8%AD%E5%9C%8B%E5%A5%BD%E6%84%9F%E5%BA%A6%E6%B0%91%E6%84%8F%E8%AA%BF%E6%9F%A5%E7%B5%90%E6%9E%9C%E5%88%97%E8%A1%A8</w:t>
      </w:r>
    </w:p>
    <w:p/>
    <w:p>
      <w:pPr>
        <w:spacing w:before="0" w:after="80" w:lineRule="auto" w:line="276"/>
        <w:jc w:val="center"/>
      </w:pPr>
      <w:r>
        <w:rPr>
          <w:rFonts w:eastAsia="微软雅黑"/>
          <w:rFonts w:ascii="微软雅黑" w:hAnsi="微软雅黑"/>
          <w:b w:val="0"/>
          <w:color w:val="B4B4B4"/>
          <w:sz w:val="18"/>
        </w:rPr>
        <w:t>──────────────────────────────</w:t>
      </w:r>
    </w:p>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微软雅黑"/>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