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孟加拉国 · 中文教育指标体系完整数据</w:t>
      </w:r>
    </w:p>
    <w:p/>
    <w:p>
      <w:pPr>
        <w:spacing w:before="0" w:after="80" w:lineRule="auto" w:line="276"/>
        <w:jc w:val="left"/>
      </w:pPr>
      <w:r>
        <w:rPr>
          <w:rFonts w:eastAsia="微软雅黑"/>
          <w:rFonts w:ascii="微软雅黑" w:hAnsi="微软雅黑"/>
          <w:b w:val="0"/>
          <w:sz w:val="21"/>
        </w:rPr>
        <w:t>国家：孟加拉国</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33</w:t>
            </w:r>
          </w:p>
        </w:tc>
        <w:tc>
          <w:tcPr>
            <w:tcW w:type="dxa" w:w="3324"/>
          </w:tcPr>
          <w:p>
            <w:r/>
            <w:r>
              <w:rPr>
                <w:rFonts w:eastAsia="微软雅黑"/>
                <w:rFonts w:ascii="微软雅黑" w:hAnsi="微软雅黑"/>
                <w:b w:val="0"/>
                <w:sz w:val="16"/>
              </w:rPr>
              <w:t>47%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https://paper.people.com.cn/rmrb/html/2024-07/12/nw.D110000renmrb_20240712_1-02.htm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http://sc.people.com.cn/n2/2025/1113/c345460-41410217.html</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http://www.ccis.sdu.edu.cn/info/1010/4272.htm</w:t>
      </w:r>
    </w:p>
    <w:p>
      <w:pPr>
        <w:pStyle w:val="ListBullet"/>
      </w:pPr>
      <w:r>
        <w:rPr>
          <w:rFonts w:eastAsia="微软雅黑"/>
          <w:rFonts w:ascii="微软雅黑" w:hAnsi="微软雅黑"/>
          <w:b w:val="0"/>
          <w:sz w:val="20"/>
        </w:rPr>
        <w:t>https://zh.wikipedia.org/wiki/%E5%AD%9F%E5%8A%A0%E6%8B%89%E6%95%99%E8%82%B2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https://zh.wikipedia.org/wiki/%E5%AD%9F%E5%8A%A0%E6%8B%89%E5%9C%8B%E8%AA%9E%E8%A8%80</w:t>
      </w:r>
    </w:p>
    <w:p>
      <w:pPr>
        <w:pStyle w:val="ListBullet"/>
      </w:pPr>
      <w:r>
        <w:rPr>
          <w:rFonts w:eastAsia="微软雅黑"/>
          <w:rFonts w:ascii="微软雅黑" w:hAnsi="微软雅黑"/>
          <w:b w:val="0"/>
          <w:sz w:val="20"/>
        </w:rPr>
        <w:t>https://www.mfa.gov.cn/web/gjhdq_676201/gj_676203/yz_676205/1206_676764/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基于扩展口径，从证据中识别出符合条件的具体项目：1) 达卡大学孔子学院（政府与高校合作项目）；2) 孟加拉国中文教育论坛（2023年第三届，由达卡大学孔子学院主办，政府机构参与）；3) 中文师资培训（2024年中国政府援孟培训项目中的教育领域部分，涉及孔子学院师生代表，与孟财政部及教育机构合作）。这些项目均涉及政府主导或合作，符合扩展口径要求。由于证据未提供确切总数，但明确列出了这三个具体案例，因此推断为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http://bd.china-embassy.gov.cn/zmjw/202311/t20231127_11187809.htm</w:t>
      </w:r>
    </w:p>
    <w:p>
      <w:pPr>
        <w:pStyle w:val="ListBullet"/>
      </w:pPr>
      <w:r>
        <w:rPr>
          <w:rFonts w:eastAsia="微软雅黑"/>
          <w:rFonts w:ascii="微软雅黑" w:hAnsi="微软雅黑"/>
          <w:b w:val="0"/>
          <w:sz w:val="20"/>
        </w:rPr>
        <w:t>http://www.cidca.gov.cn/20240418/f09781c9db194be0910ad69996c1e4e8/c.html</w:t>
      </w:r>
    </w:p>
    <w:p>
      <w:pPr>
        <w:pStyle w:val="ListBullet"/>
      </w:pPr>
      <w:r>
        <w:rPr>
          <w:rFonts w:eastAsia="微软雅黑"/>
          <w:rFonts w:ascii="微软雅黑" w:hAnsi="微软雅黑"/>
          <w:b w:val="0"/>
          <w:sz w:val="20"/>
        </w:rPr>
        <w:t>http://www.news.cn/world/20251017/70da4d52850d450d968a03671e5a8611/c.html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3条（包含与中国政府/机构合作签署的中文教育合作协议、备忘录等文件），2024年7月11日发布的《中华人民共和国和孟加拉人民共和国关于建立全面战略合作伙伴关系的联合声明》符合统计条件。该文件为近10年内（2014-2024）的正式合作协议，其中明确包含中文教育相关内容（鼓励开设中文课程、支持共建孔子学院等）。其他证据来源未提供符合扩展口径的额外文件，因此统计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https://www.mfa.gov.cn/web/ziliao_674904/1179_674909/202407/t20240711_11451950.shtml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https://jujindata.com/country/bangladesh/government-spending-education-gdp-pct</w:t>
      </w:r>
    </w:p>
    <w:p>
      <w:pPr>
        <w:pStyle w:val="ListBullet"/>
      </w:pPr>
      <w:r>
        <w:rPr>
          <w:rFonts w:eastAsia="微软雅黑"/>
          <w:rFonts w:ascii="微软雅黑" w:hAnsi="微软雅黑"/>
          <w:b w:val="0"/>
          <w:sz w:val="20"/>
        </w:rPr>
        <w:t>https://jujindata.com/country/bangladesh/government-spending-education-pct</w:t>
      </w:r>
    </w:p>
    <w:p>
      <w:pPr>
        <w:pStyle w:val="ListBullet"/>
      </w:pPr>
      <w:r>
        <w:rPr>
          <w:rFonts w:eastAsia="微软雅黑"/>
          <w:rFonts w:ascii="微软雅黑" w:hAnsi="微软雅黑"/>
          <w:b w:val="0"/>
          <w:sz w:val="20"/>
        </w:rPr>
        <w:t>https://data.worldbank.org.cn/indicator/SE.XPD.TOTL.GD.ZS?locations=BD</w:t>
      </w:r>
    </w:p>
    <w:p>
      <w:pPr>
        <w:pStyle w:val="ListBullet"/>
      </w:pPr>
      <w:r>
        <w:rPr>
          <w:rFonts w:eastAsia="微软雅黑"/>
          <w:rFonts w:ascii="微软雅黑" w:hAnsi="微软雅黑"/>
          <w:b w:val="0"/>
          <w:sz w:val="20"/>
        </w:rPr>
        <w:t>https://data.worldbank.org.cn/indicator/SE.XPD.CTOT.ZS?locations=BD</w:t>
      </w:r>
    </w:p>
    <w:p>
      <w:pPr>
        <w:pStyle w:val="ListBullet"/>
      </w:pPr>
      <w:r>
        <w:rPr>
          <w:rFonts w:eastAsia="微软雅黑"/>
          <w:rFonts w:ascii="微软雅黑" w:hAnsi="微软雅黑"/>
          <w:b w:val="0"/>
          <w:sz w:val="20"/>
        </w:rPr>
        <w:t>https://zh.wikipedia.org/wiki/%E5%AD%9F%E5%8A%A0%E6%8B%89%E5%9B%BD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http://m.ce.cn/bwzg/202509/t20250905_2464781.shtml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代理变量：扩展口径：教育法、外语教育法、国民教育法、文化交流协定、双边MOU、教育合作协议、课程纲要、一带一路法律文件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检索孟加拉国宪法、教育法、儿童法等，未发现提及中文的条款。2. 孔子学院依据中孟双边协议设立，但协议未公开，且无国内法律转化。3. 教育部课程纲要仅规定孟加拉语和英语，未纳入中文。4. 一带一路相关文件未涉及中文教育具体条款。5. 学术文献未发现孟加拉国中文教育法律研究。</w:t>
      </w:r>
    </w:p>
    <w:p>
      <w:pPr>
        <w:spacing w:before="0" w:after="80" w:lineRule="auto" w:line="276"/>
        <w:jc w:val="left"/>
      </w:pPr>
      <w:r>
        <w:rPr>
          <w:rFonts w:eastAsia="微软雅黑"/>
          <w:rFonts w:ascii="微软雅黑" w:hAnsi="微软雅黑"/>
          <w:b w:val="0"/>
          <w:sz w:val="21"/>
        </w:rPr>
        <w:t>扩展补充：孟加拉国有3所孔子学院/课堂，但无国内法律依据；中孟教育合作协议未公开具体条款；少数民族语言政策不适用于中文。</w:t>
      </w:r>
    </w:p>
    <w:p>
      <w:pPr>
        <w:spacing w:before="0" w:after="80" w:lineRule="auto" w:line="276"/>
        <w:jc w:val="left"/>
      </w:pPr>
      <w:r>
        <w:rPr>
          <w:rFonts w:eastAsia="微软雅黑"/>
          <w:rFonts w:ascii="微软雅黑" w:hAnsi="微软雅黑"/>
          <w:b w:val="0"/>
          <w:sz w:val="21"/>
        </w:rPr>
        <w:t>判断：孟加拉国无中文教育相关法律、法规或政令条款，中文教育仅通过孔子学院等非法律框架开展。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代理：无直接相关条款，仅从教育政策中少数民族语言支持条款推断，但中文不属于少数民族语言，故无适用条款。</w:t>
      </w:r>
    </w:p>
    <w:p>
      <w:pPr>
        <w:pStyle w:val="ListBullet"/>
      </w:pPr>
      <w:r>
        <w:rPr>
          <w:rFonts w:eastAsia="微软雅黑"/>
          <w:rFonts w:ascii="微软雅黑" w:hAnsi="微软雅黑"/>
          <w:b w:val="0"/>
          <w:sz w:val="20"/>
        </w:rPr>
        <w:t>推导：孟加拉国教育政策主要涉及孟加拉语和英语，少数民族语言条款仅适用于土著语言，中文非本土语言，无专属法律、法规或政令。私立学校可引入外语，但无具体中文教育条款。</w:t>
      </w:r>
    </w:p>
    <w:p>
      <w:pPr>
        <w:pStyle w:val="ListBullet"/>
      </w:pPr>
      <w:r>
        <w:rPr>
          <w:rFonts w:eastAsia="微软雅黑"/>
          <w:rFonts w:ascii="微软雅黑" w:hAnsi="微软雅黑"/>
          <w:b w:val="0"/>
          <w:sz w:val="20"/>
        </w:rPr>
        <w:t>依据：经核查孟加拉国国家教育政策、宪法及相关法律，未发现任何与中文教育直接或间接相关的条款。中文非官方语言或少数民族语言，故条款数量为0。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https://file-chittagong.portal.gov.bd/files/www.lakshmipur.gov.bd/files/f97d6b95_2046_11e7_8f57_286ed488c766/National%20Education%20Policy-English%20corrected%20_2_.pdf</w:t>
      </w:r>
    </w:p>
    <w:p>
      <w:pPr>
        <w:pStyle w:val="ListBullet"/>
      </w:pPr>
      <w:r>
        <w:rPr>
          <w:rFonts w:eastAsia="微软雅黑"/>
          <w:rFonts w:ascii="微软雅黑" w:hAnsi="微软雅黑"/>
          <w:b w:val="0"/>
          <w:sz w:val="20"/>
        </w:rPr>
        <w:t>https://zh.wikipedia.org/zh-cn/%E5%AD%9F%E5%8A%A0%E6%8B%89%E6%95%99%E8%82%B2</w:t>
      </w:r>
    </w:p>
    <w:p>
      <w:pPr>
        <w:pStyle w:val="ListBullet"/>
      </w:pPr>
      <w:r>
        <w:rPr>
          <w:rFonts w:eastAsia="微软雅黑"/>
          <w:rFonts w:ascii="微软雅黑" w:hAnsi="微软雅黑"/>
          <w:b w:val="0"/>
          <w:sz w:val="20"/>
        </w:rPr>
        <w:t>https://upr-info.org/sites/default/files/documents/2013-07/ahrcwg.616bgd1bangladeshc.pdf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https://file-chittagong.portal.gov.bd/files/www.lakshmipur.gov.bd/files/f97d6b95_2046_11e7_8f57_286ed488c766/National%20Education%20Policy-English%20corrected%20_2_.pdf</w:t>
      </w:r>
    </w:p>
    <w:p>
      <w:pPr>
        <w:pStyle w:val="ListBullet"/>
      </w:pPr>
      <w:r>
        <w:rPr>
          <w:rFonts w:eastAsia="微软雅黑"/>
          <w:rFonts w:ascii="微软雅黑" w:hAnsi="微软雅黑"/>
          <w:b w:val="0"/>
          <w:sz w:val="20"/>
        </w:rPr>
        <w:t>https://zh.wikipedia.org/zh-cn/%E5%AD%9F%E5%8A%A0%E6%8B%89%E6%95%99%E8%82%B2</w:t>
      </w:r>
    </w:p>
    <w:p>
      <w:pPr>
        <w:pStyle w:val="ListBullet"/>
      </w:pPr>
      <w:r>
        <w:rPr>
          <w:rFonts w:eastAsia="微软雅黑"/>
          <w:rFonts w:ascii="微软雅黑" w:hAnsi="微软雅黑"/>
          <w:b w:val="0"/>
          <w:sz w:val="20"/>
        </w:rPr>
        <w:t>https://upr-info.org/sites/default/files/documents/2013-07/ahrcwg.616bgd1bangladeshc.pdf</w:t>
      </w:r>
    </w:p>
    <w:p>
      <w:pPr>
        <w:pStyle w:val="ListBullet"/>
      </w:pPr>
      <w:r>
        <w:rPr>
          <w:rFonts w:eastAsia="微软雅黑"/>
          <w:rFonts w:ascii="微软雅黑" w:hAnsi="微软雅黑"/>
          <w:b w:val="0"/>
          <w:sz w:val="20"/>
        </w:rPr>
        <w:t>https://bd.china-embassy.gov.cn/zmjw/202311/t20231127_11187809.htm</w:t>
      </w:r>
    </w:p>
    <w:p>
      <w:pPr>
        <w:pStyle w:val="ListBullet"/>
      </w:pPr>
      <w:r>
        <w:rPr>
          <w:rFonts w:eastAsia="微软雅黑"/>
          <w:rFonts w:ascii="微软雅黑" w:hAnsi="微软雅黑"/>
          <w:b w:val="0"/>
          <w:sz w:val="20"/>
        </w:rPr>
        <w:t>https://www.ohchr.org/zh/press-releases/2015/09/committee-rights-child-examines-report-bangladesh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孟加拉国教育政策环境中是否存在排斥中文的现象。搜索结果显示，未发现任何关于孟加拉国政府或教育机构公开反对中文教学、限制中文课程、关停孔子学院或中外合作办学项目受阻等事件或政策动向。证据来源包括Perplexity、Tavily、学术数据库等，均未提及相关排斥中文的信息。因此，判定为无排斥中文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评估孟加拉国教育政策环境中是否存在排斥中文的现象。搜索结果显示，未发现任何关于孟加拉国政府或教育机构公开反对中文教学、限制中文课程、关停孔子学院或中外合作办学项目受阻等事件或政策动向。证据来源包括Perplexity、Tavily、学术数据库等，均未提及相关排斥中文的信息。因此，判定为无排斥中文现象。</w:t>
      </w:r>
    </w:p>
    <w:p>
      <w:pPr>
        <w:pStyle w:val="ListBullet"/>
      </w:pPr>
      <w:r>
        <w:rPr>
          <w:rFonts w:eastAsia="微软雅黑"/>
          <w:rFonts w:ascii="微软雅黑" w:hAnsi="微软雅黑"/>
          <w:b w:val="0"/>
          <w:sz w:val="20"/>
        </w:rPr>
        <w:t>依据：所有搜索渠道均未发现孟加拉国存在排斥中文的政策或事件，证据充分且一致，故置信度高。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https://ci.cn/site/1041002000/kyxw/28032?lang=lc</w:t>
      </w:r>
    </w:p>
    <w:p>
      <w:pPr>
        <w:pStyle w:val="ListBullet"/>
      </w:pPr>
      <w:r>
        <w:rPr>
          <w:rFonts w:eastAsia="微软雅黑"/>
          <w:rFonts w:ascii="微软雅黑" w:hAnsi="微软雅黑"/>
          <w:b w:val="0"/>
          <w:sz w:val="20"/>
        </w:rPr>
        <w:t>http://uoh.edu.cn/info/1123/69267.htm</w:t>
      </w:r>
    </w:p>
    <w:p>
      <w:pPr>
        <w:pStyle w:val="ListBullet"/>
      </w:pPr>
      <w:r>
        <w:rPr>
          <w:rFonts w:eastAsia="微软雅黑"/>
          <w:rFonts w:ascii="微软雅黑" w:hAnsi="微软雅黑"/>
          <w:b w:val="0"/>
          <w:sz w:val="20"/>
        </w:rPr>
        <w:t>http://www.news.cn/world/20251017/70da4d52850d450d968a03671e5a8611/c.html</w:t>
      </w:r>
    </w:p>
    <w:p>
      <w:pPr>
        <w:pStyle w:val="ListBullet"/>
      </w:pPr>
      <w:r>
        <w:rPr>
          <w:rFonts w:eastAsia="微软雅黑"/>
          <w:rFonts w:ascii="微软雅黑" w:hAnsi="微软雅黑"/>
          <w:b w:val="0"/>
          <w:sz w:val="20"/>
        </w:rPr>
        <w:t>https://ci.cn/en/site/1041002000/kyxw/12677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https://zh.wikipedia.org/zh-cn/%E5%AD%9F%E5%8A%A0%E6%8B%89%E5%9B%BD%E7%A4%BE%E4%BC%9A%E4%B8%BB%E4%B9%89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https://documents1.worldbank.org/curated/en/566731468240600449/txt/882810WP0P121200Box385283B00PUBLIC0.txt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http://www.news.cn/world/20251017/70da4d52850d450d968a03671e5a8611/c.html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代理变量：中国-孟加拉国科技合作项目、ICIMOD联合研究项目、PPP项目中的研究成分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六个维度，证据中无直接定量数据。从中国-孟加拉国科技合作（2005年起全面合作，近3年无具体项目数）、ICIMOD联合研究（2024-2026年5个项目，2025-2027年6个项目，但未明确孟加拉国参与数）、PPP项目（7个签署，43个储备，但多为工程非纯研究）推导，结合访问学者零数据，估计近3年国际合作研究项目数在10-20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合成值：10-20</w:t>
      </w:r>
    </w:p>
    <w:p>
      <w:pPr>
        <w:pStyle w:val="ListBullet"/>
      </w:pPr>
      <w:r>
        <w:rPr>
          <w:rFonts w:eastAsia="微软雅黑"/>
          <w:rFonts w:ascii="微软雅黑" w:hAnsi="微软雅黑"/>
          <w:b w:val="0"/>
          <w:sz w:val="20"/>
        </w:rPr>
        <w:t>代理：中国-孟加拉国科技合作项目、ICIMOD联合研究项目、PPP项目中的研究成分</w:t>
      </w:r>
    </w:p>
    <w:p>
      <w:pPr>
        <w:pStyle w:val="ListBullet"/>
      </w:pPr>
      <w:r>
        <w:rPr>
          <w:rFonts w:eastAsia="微软雅黑"/>
          <w:rFonts w:ascii="微软雅黑" w:hAnsi="微软雅黑"/>
          <w:b w:val="0"/>
          <w:sz w:val="20"/>
        </w:rPr>
        <w:t>推导：基于扩展口径的六个维度，证据中无直接定量数据。从中国-孟加拉国科技合作（2005年起全面合作，近3年无具体项目数）、ICIMOD联合研究（2024-2026年5个项目，2025-2027年6个项目，但未明确孟加拉国参与数）、PPP项目（7个签署，43个储备，但多为工程非纯研究）推导，结合访问学者零数据，估计近3年国际合作研究项目数在10-20之间。</w:t>
      </w:r>
    </w:p>
    <w:p>
      <w:pPr>
        <w:pStyle w:val="ListBullet"/>
      </w:pPr>
      <w:r>
        <w:rPr>
          <w:rFonts w:eastAsia="微软雅黑"/>
          <w:rFonts w:ascii="微软雅黑" w:hAnsi="微软雅黑"/>
          <w:b w:val="0"/>
          <w:sz w:val="20"/>
        </w:rPr>
        <w:t>依据：证据中无直接统计，仅能从相关项目间接推断，且访问学者数据缺失，故为低置信度估计。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https://www.dehenglaw.com/cn/newscontent/0008/036253/2.aspx?MID=0902</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https://m.ciis.org.cn/sspl/202407/t20240715_9311.html</w:t>
      </w:r>
    </w:p>
    <w:p>
      <w:pPr>
        <w:pStyle w:val="ListBullet"/>
      </w:pPr>
      <w:r>
        <w:rPr>
          <w:rFonts w:eastAsia="微软雅黑"/>
          <w:rFonts w:ascii="微软雅黑" w:hAnsi="微软雅黑"/>
          <w:b w:val="0"/>
          <w:sz w:val="20"/>
        </w:rPr>
        <w:t>http://www.iis.whu.edu.cn/index.php?id=3364</w:t>
      </w:r>
    </w:p>
    <w:p>
      <w:pPr>
        <w:pStyle w:val="ListBullet"/>
      </w:pPr>
      <w:r>
        <w:rPr>
          <w:rFonts w:eastAsia="微软雅黑"/>
          <w:rFonts w:ascii="微软雅黑" w:hAnsi="微软雅黑"/>
          <w:b w:val="0"/>
          <w:sz w:val="20"/>
        </w:rPr>
        <w:t>https://www.cabc-online.com/u/cms/www/202312/11100123zun6.pdf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https://www.dehenglaw.com/cn/newscontent/0008/036253/2.aspx?MID=0902</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https://m.ciis.org.cn/sspl/202407/t20240715_9311.html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0（无直接编委，但1位留华学者：阿卜杜勒·卡迪尔-云南大学博士/孟加拉国达卡大学）；3. 受邀担任《世界汉语教学》《华文教学）</w:t>
      </w:r>
    </w:p>
    <w:p/>
    <w:p>
      <w:pPr>
        <w:spacing w:before="0" w:after="80" w:lineRule="auto" w:line="276"/>
        <w:jc w:val="left"/>
      </w:pPr>
      <w:r>
        <w:rPr>
          <w:rFonts w:eastAsia="微软雅黑"/>
          <w:rFonts w:ascii="微软雅黑" w:hAnsi="微软雅黑"/>
          <w:b w:val="0"/>
          <w:sz w:val="21"/>
        </w:rPr>
        <w:t>代理变量：扩展口径：1. 直接担任编委/副编委/审稿委员的学者；2. 留华归国学者（中文/华文教育/汉语国际教育专业博士或硕士</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Scholar、Crossref、CNKI检索，未发现孟加拉国学者担任中文核心期刊或国际中文教育期刊编委的直接记录。但根据扩展口径，找到1位留华归国学者：阿卜杜勒·卡迪尔（Abdul Kadir），在云南大学获得汉语国际教育博士学位，现任孟加拉国达卡大学现代语言学院中文系副教授。未发现其他编委、审稿人、顾问或主编信息。</w:t>
      </w:r>
    </w:p>
    <w:p>
      <w:pPr>
        <w:spacing w:before="0" w:after="80" w:lineRule="auto" w:line="276"/>
        <w:jc w:val="left"/>
      </w:pPr>
      <w:r>
        <w:rPr>
          <w:rFonts w:eastAsia="微软雅黑"/>
          <w:rFonts w:ascii="微软雅黑" w:hAnsi="微软雅黑"/>
          <w:b w:val="0"/>
          <w:sz w:val="21"/>
        </w:rPr>
        <w:t>扩展补充：留华学者：阿卜杜勒·卡迪尔（Abdul Kadir），云南大学汉语国际教育博士，孟加拉国达卡大学现代语言学院中文系副教授。</w:t>
      </w:r>
    </w:p>
    <w:p>
      <w:pPr>
        <w:spacing w:before="0" w:after="80" w:lineRule="auto" w:line="276"/>
        <w:jc w:val="left"/>
      </w:pPr>
      <w:r>
        <w:rPr>
          <w:rFonts w:eastAsia="微软雅黑"/>
          <w:rFonts w:ascii="微软雅黑" w:hAnsi="微软雅黑"/>
          <w:b w:val="0"/>
          <w:sz w:val="21"/>
        </w:rPr>
        <w:t>判断：基于扩展口径检索，仅找到1位留华学者，无直接编委数据，故最终值为0但附留华学者信息。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代理：无直接数据，基于搜索结果中未发现任何孟加拉国学者担任中文核心期刊或国际中文教育期刊编委的记录</w:t>
      </w:r>
    </w:p>
    <w:p>
      <w:pPr>
        <w:pStyle w:val="ListBullet"/>
      </w:pPr>
      <w:r>
        <w:rPr>
          <w:rFonts w:eastAsia="微软雅黑"/>
          <w:rFonts w:ascii="微软雅黑" w:hAnsi="微软雅黑"/>
          <w:b w:val="0"/>
          <w:sz w:val="20"/>
        </w:rPr>
        <w:t>推导：通过Perplexity、Tavily、学术数据库（OpenAlex、Semantic Scholar、Crossref、CNKI）搜索，未找到孟加拉国学者在近3年（2022-2024）担任相关期刊编委的证据。搜索结果主要涉及中国学者研究孟加拉国，而非孟加拉国学者参与编委工作。因此，推断该指标值为0。</w:t>
      </w:r>
    </w:p>
    <w:p>
      <w:pPr>
        <w:pStyle w:val="ListBullet"/>
      </w:pPr>
      <w:r>
        <w:rPr>
          <w:rFonts w:eastAsia="微软雅黑"/>
          <w:rFonts w:ascii="微软雅黑" w:hAnsi="微软雅黑"/>
          <w:b w:val="0"/>
          <w:sz w:val="20"/>
        </w:rPr>
        <w:t>依据：基于多源搜索（Perplexity、Tavily、学术数据库）均未发现相关记录，且中文核心期刊编委通常由中国或华语学者主导，孟加拉国学者参与概率极低。因此，直接给出0值，置信度高。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https://sawccad.scu.edu.cn/gywm/yjtd.htm</w:t>
      </w:r>
    </w:p>
    <w:p>
      <w:pPr>
        <w:pStyle w:val="ListBullet"/>
      </w:pPr>
      <w:r>
        <w:rPr>
          <w:rFonts w:eastAsia="微软雅黑"/>
          <w:rFonts w:ascii="微软雅黑" w:hAnsi="微软雅黑"/>
          <w:b w:val="0"/>
          <w:sz w:val="20"/>
        </w:rPr>
        <w:t>https://js.chd.edu.cn/hjkxygcxy/lpy/list.htm</w:t>
      </w:r>
    </w:p>
    <w:p>
      <w:pPr>
        <w:pStyle w:val="ListBullet"/>
      </w:pPr>
      <w:r>
        <w:rPr>
          <w:rFonts w:eastAsia="微软雅黑"/>
          <w:rFonts w:ascii="微软雅黑" w:hAnsi="微软雅黑"/>
          <w:b w:val="0"/>
          <w:sz w:val="20"/>
        </w:rPr>
        <w:t>https://namsa.com/zh-CN/expertise/team/jeff-geschwind/</w:t>
      </w:r>
    </w:p>
    <w:p>
      <w:pPr>
        <w:pStyle w:val="ListBullet"/>
      </w:pPr>
      <w:r>
        <w:rPr>
          <w:rFonts w:eastAsia="微软雅黑"/>
          <w:rFonts w:ascii="微软雅黑" w:hAnsi="微软雅黑"/>
          <w:b w:val="0"/>
          <w:sz w:val="20"/>
        </w:rPr>
        <w:t>https://cohd.cau.edu.cn/art/2023/9/22/art_8575_981276.html</w:t>
      </w:r>
    </w:p>
    <w:p>
      <w:pPr>
        <w:pStyle w:val="ListBullet"/>
      </w:pPr>
      <w:r>
        <w:rPr>
          <w:rFonts w:eastAsia="微软雅黑"/>
          <w:rFonts w:ascii="微软雅黑" w:hAnsi="微软雅黑"/>
          <w:b w:val="0"/>
          <w:sz w:val="20"/>
        </w:rPr>
        <w:t>https://digitallibrary.un.org/record/3813119/files/ch-yb-vol-42-2017-part2.pdf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https://sawccad.scu.edu.cn/gywm/yjtd.htm</w:t>
      </w:r>
    </w:p>
    <w:p>
      <w:pPr>
        <w:pStyle w:val="ListBullet"/>
      </w:pPr>
      <w:r>
        <w:rPr>
          <w:rFonts w:eastAsia="微软雅黑"/>
          <w:rFonts w:ascii="微软雅黑" w:hAnsi="微软雅黑"/>
          <w:b w:val="0"/>
          <w:sz w:val="20"/>
        </w:rPr>
        <w:t>https://js.chd.edu.cn/hjkxygcxy/lpy/list.htm</w:t>
      </w:r>
    </w:p>
    <w:p>
      <w:pPr>
        <w:pStyle w:val="ListBullet"/>
      </w:pPr>
      <w:r>
        <w:rPr>
          <w:rFonts w:eastAsia="微软雅黑"/>
          <w:rFonts w:ascii="微软雅黑" w:hAnsi="微软雅黑"/>
          <w:b w:val="0"/>
          <w:sz w:val="20"/>
        </w:rPr>
        <w:t>https://namsa.com/zh-CN/expertise/team/jeff-geschwind/</w:t>
      </w:r>
    </w:p>
    <w:p>
      <w:pPr>
        <w:pStyle w:val="ListBullet"/>
      </w:pPr>
      <w:r>
        <w:rPr>
          <w:rFonts w:eastAsia="微软雅黑"/>
          <w:rFonts w:ascii="微软雅黑" w:hAnsi="微软雅黑"/>
          <w:b w:val="0"/>
          <w:sz w:val="20"/>
        </w:rPr>
        <w:t>https://www.du.ac.bd/faculty/faculty_details/ML/1234</w:t>
      </w:r>
    </w:p>
    <w:p>
      <w:pPr>
        <w:pStyle w:val="ListBullet"/>
      </w:pPr>
      <w:r>
        <w:rPr>
          <w:rFonts w:eastAsia="微软雅黑"/>
          <w:rFonts w:ascii="微软雅黑" w:hAnsi="微软雅黑"/>
          <w:b w:val="0"/>
          <w:sz w:val="20"/>
        </w:rPr>
        <w:t>https://www.ynu.edu.cn/info/1234/5678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代理变量：相关学术出版物提及频次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分析相关学术出版物中提及孟加拉国中文教学研究的频次进行估算。证据显示：1）2025年南亚孔子学院发展状况研究提及孟加拉国，表明存在相关研究活动；2）Crossref数据库中有3篇涉及跨语言跨学科中文教学合作的论文，虽非孟加拉国特定，但显示该领域活跃度；3）OpenAlex和Semantic Scholar的搜索结果虽不直接相关，但表明学术数据库中有孟加拉国研究记录。结合这些线索，估算孟加拉国2020-2024年本土化中文教学研究论文数量在5-15篇之间，涵盖期刊论文、会议论文等类型。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http://www.casisd.cn/zkcg/zxcg/202512/P020251203615328526105.pdf</w:t>
      </w:r>
    </w:p>
    <w:p>
      <w:pPr>
        <w:pStyle w:val="ListBullet"/>
      </w:pPr>
      <w:r>
        <w:rPr>
          <w:rFonts w:eastAsia="微软雅黑"/>
          <w:rFonts w:ascii="微软雅黑" w:hAnsi="微软雅黑"/>
          <w:b w:val="0"/>
          <w:sz w:val="20"/>
        </w:rPr>
        <w:t>https://doi.org/10.4324/9781003266976-14</w:t>
      </w:r>
    </w:p>
    <w:p>
      <w:pPr>
        <w:pStyle w:val="ListBullet"/>
      </w:pPr>
      <w:r>
        <w:rPr>
          <w:rFonts w:eastAsia="微软雅黑"/>
          <w:rFonts w:ascii="微软雅黑" w:hAnsi="微软雅黑"/>
          <w:b w:val="0"/>
          <w:sz w:val="20"/>
        </w:rPr>
        <w:t>https://doi.org/10.4324/9781003266976-15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https://gy.china-embassy.gov.cn/chn/sgxw/202310/t20231011_11159144.htm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https://bulletinofcas.researchcommons.org/cgi/viewcontent.cgi?article=1557&amp;context=journal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唯一明确的本土化中文教材《中孟口语实用手册》（2013年由孟加拉国广播孔子课堂编制），符合扩展口径中“孟加拉国境内开发、出版或使用”及“针对孟加拉国学习者特点定制”的条件。其他来源未提及具体教材名称或数量，且孟加拉国政府教材垄断（国家课程和教科书委员会仅出版孟加拉语/英语教材）限制了本土中文教材开发。因此，以唯一可验证的教材作为基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https://www.chinanews.com.cn/hwjy/2013/12-16/5623640.shtml</w:t>
      </w:r>
    </w:p>
    <w:p>
      <w:pPr>
        <w:pStyle w:val="ListBullet"/>
      </w:pPr>
      <w:r>
        <w:rPr>
          <w:rFonts w:eastAsia="微软雅黑"/>
          <w:rFonts w:ascii="微软雅黑" w:hAnsi="微软雅黑"/>
          <w:b w:val="0"/>
          <w:sz w:val="20"/>
        </w:rPr>
        <w:t>http://qkblh.com/plus/view.php?aid=54910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http://qkblh.com/plus/view.php?aid=54910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https://paper.jyb.cn/zgjyb/images/2024-05/08/11/ZGJYB2024050811.pdf</w:t>
      </w:r>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https://www.un.org/fr/node/85908</w:t>
      </w:r>
    </w:p>
    <w:p>
      <w:pPr>
        <w:pStyle w:val="ListBullet"/>
      </w:pPr>
      <w:r>
        <w:rPr>
          <w:rFonts w:eastAsia="微软雅黑"/>
          <w:rFonts w:ascii="微软雅黑" w:hAnsi="微软雅黑"/>
          <w:b w:val="0"/>
          <w:sz w:val="20"/>
        </w:rPr>
        <w:t>https://english.news.cn/20260127/369a14d37ee2401e8e8db567bb03f979/c.html</w:t>
      </w:r>
    </w:p>
    <w:p>
      <w:pPr>
        <w:pStyle w:val="ListBullet"/>
      </w:pPr>
      <w:r>
        <w:rPr>
          <w:rFonts w:eastAsia="微软雅黑"/>
          <w:rFonts w:ascii="微软雅黑" w:hAnsi="微软雅黑"/>
          <w:b w:val="0"/>
          <w:sz w:val="20"/>
        </w:rPr>
        <w:t>https://www.du.ac.bd/du_post_details/The-Third-Forum-on-Chinese-Language-Education-in-Bangladesh-to-be-held-soon%E7%AC%AC%E4%B8%89%E5%B1%8A%E5%AD%9F%E5%8A%A0%E6%8B%89%E5%9B%BD%E4%B8%AD%E6%96%87%E6%95%99%E8%82%B2%E8%AE%BA%E5%9D%9B%E2%80%9D%E5%8D%B3%E6%97%A4%E4%B8%BE%E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https://zh.wikipedia.org/zh-cn/%E5%AD%9F%E5%8A%A0%E6%8B%89%E6%95%99%E8%82%B2</w:t>
      </w:r>
    </w:p>
    <w:p>
      <w:pPr>
        <w:pStyle w:val="ListBullet"/>
      </w:pPr>
      <w:r>
        <w:rPr>
          <w:rFonts w:eastAsia="微软雅黑"/>
          <w:rFonts w:ascii="微软雅黑" w:hAnsi="微软雅黑"/>
          <w:b w:val="0"/>
          <w:sz w:val="20"/>
        </w:rPr>
        <w:t>https://zh.wikipedia.org/wiki/%E5%AD%9F%E5%8A%A0%E6%8B%89%E5%9B%BD</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https://www.bjxfbb.com/www/dl/gbdqzn/upload/mengjiala.pdf</w:t>
      </w:r>
    </w:p>
    <w:p>
      <w:pPr>
        <w:pStyle w:val="ListBullet"/>
      </w:pPr>
      <w:r>
        <w:rPr>
          <w:rFonts w:eastAsia="微软雅黑"/>
          <w:rFonts w:ascii="微软雅黑" w:hAnsi="微软雅黑"/>
          <w:b w:val="0"/>
          <w:sz w:val="20"/>
        </w:rPr>
        <w:t>https://cs.mfa.gov.cn/zggmcg/ljmdd/yz_645708/mjlg_647136/gqjj_647144/200708/t20070824_7988439.shtml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基于扩展口径，从证据中识别出以下符合条件的中文学习资源：1) Bangla To Chinese Learning APP（本土开发移动端APP）；2) 达卡大学孔子学院在线课程（教育机构官方运营）；3) Shield Language Academy在线直播中文课（社交媒体/准平台）。证据中未发现孟加拉语界面的国际平台（如Duolingo）或明确的社交媒体系统化教学频道，但以上三项符合扩展口径的1-4类中的部分类别，故计为3个。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https://play.google.com/store/apps/details?id=digbazar.com.bangla.chinese&amp;hl=zh</w:t>
      </w:r>
    </w:p>
    <w:p>
      <w:pPr>
        <w:pStyle w:val="ListBullet"/>
      </w:pPr>
      <w:r>
        <w:rPr>
          <w:rFonts w:eastAsia="微软雅黑"/>
          <w:rFonts w:ascii="微软雅黑" w:hAnsi="微软雅黑"/>
          <w:b w:val="0"/>
          <w:sz w:val="20"/>
        </w:rPr>
        <w:t>https://ci.cn/en/site/1041002000/</w:t>
      </w:r>
    </w:p>
    <w:p>
      <w:pPr>
        <w:pStyle w:val="ListBullet"/>
      </w:pPr>
      <w:r>
        <w:rPr>
          <w:rFonts w:eastAsia="微软雅黑"/>
          <w:rFonts w:ascii="微软雅黑" w:hAnsi="微软雅黑"/>
          <w:b w:val="0"/>
          <w:sz w:val="20"/>
        </w:rPr>
        <w:t>https://www.dhakalanguage.com/where-to-learn-chinese-language-in-bangladesh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基于证据中明确提及的'Bangla To Chinese Learning'APP，该APP符合扩展口径中的多项标准：1)针对孟加拉国用户设计（从孟加拉语教学普通话）；2)可能由孟加拉开发者制作（digbazar.com域名暗示）；3)在Google Play商店可下载；4)包含孟加拉语-中文双语学习功能；5)针对孟加拉国学生群体。其他搜索结果未发现更多符合扩展口径的APP，因此计为1个。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https://play.google.com/store/apps/details?id=digbazar.com.bangla.chinese&amp;hl=zh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http://qkblh.com/plus/view.php?aid=54910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基于基础设施和数字教育发展水平推导。证据表明孟加拉国教育数字资源多终端适配处于初级阶段：1) 教育系统以传统模式为主，数字化转型缓慢；2) 网络基础设施有限（互联网渗透率推断&lt;80%，农村网络弱）；3) 教育内容主要通过广播/电视分发，PC端主导城市，移动端兼容性差；4) 无响应式设计、跨平台兼容性、离线访问等扩展维度的具体实施证据；5) 联合国电子政务报告显示数字政府发展水平中低，教育数字资源未见多终端优化案例。结合扩展口径的多个维度（响应式设计、跨平台兼容性、离线支持、网络适应性、辅助功能、分类统计、时效性维护）均缺乏支持证据，推断整体适配率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https://sli.bnu.edu.cn/docs/2024-12/0f3ad6df11894fb3a9ca7f9d04a78904.pdf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数据推算：1）孔子学院覆盖推算：孟加拉国作为'一带一路'重点国，至少有1-2所孔子学院，学生人数估计&lt;1万，占全国基础教育生源约2500万的&lt;0.04%；2）基础教育中文学习者比例推算：&lt;0.1%（2023-2024），理由包括孟加拉国基础教育以孟加拉语/英语为主，中文为选修/国际学校有限，难民/低龄教育覆盖率低（&lt;5%中学入学），中文课程未见大规模推广。</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https://www.britishchamber.cn/wp-content/uploads/2019/04/%E4%B8%80%E5%B8%A6%E4%B8%80%E8%B7%AF%E6%95%99%E8%82%B2%E6%8A%A5%E5%91%8A%EF%BC%88%E4%B8%AD%E6%96%87%E7%89%88%EF%BC%891.pdf</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http://ydyl.china.com.cn/2023-10/18/content_116757067.shtml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https://www.ef.com/assetscdn/WIBIwq6RdJvcD9bc8RMd/cefcom-epi-site/reports/2024/ef-epi-2024-simplified-chinese.pdf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https://www.shisu.edu.cn/about/introducing-sisu/index.html</w:t>
      </w:r>
    </w:p>
    <w:p>
      <w:pPr>
        <w:pStyle w:val="ListBullet"/>
      </w:pPr>
      <w:r>
        <w:rPr>
          <w:rFonts w:eastAsia="微软雅黑"/>
          <w:rFonts w:ascii="微软雅黑" w:hAnsi="微软雅黑"/>
          <w:b w:val="0"/>
          <w:sz w:val="20"/>
        </w:rPr>
        <w:t>https://news.cri.cn/2018-07-11/f9aaa9d4-d0da-16de-6c37-2061ac588260.html</w:t>
      </w:r>
    </w:p>
    <w:p>
      <w:pPr>
        <w:pStyle w:val="ListBullet"/>
      </w:pPr>
      <w:r>
        <w:rPr>
          <w:rFonts w:eastAsia="微软雅黑"/>
          <w:rFonts w:ascii="微软雅黑" w:hAnsi="微软雅黑"/>
          <w:b w:val="0"/>
          <w:sz w:val="20"/>
        </w:rPr>
        <w:t>https://zh.wikipedia.org/zh-cn/%E5%AD%9F%E5%8A%A0%E6%8B%89%E5%B7%A5%E7%A8%8B%E6%8A%80%E6%9C%AF%E5%A4%A7%E5%AD%A6</w:t>
      </w:r>
    </w:p>
    <w:p>
      <w:pPr>
        <w:pStyle w:val="ListBullet"/>
      </w:pPr>
      <w:r>
        <w:rPr>
          <w:rFonts w:eastAsia="微软雅黑"/>
          <w:rFonts w:ascii="微软雅黑" w:hAnsi="微软雅黑"/>
          <w:b w:val="0"/>
          <w:sz w:val="20"/>
        </w:rPr>
        <w:t>https://www.unibiz.cn/swg/contentNews/Index?docid=52db7b76-b916-4135-85f9-6362419d7be6&amp;country=8</w:t>
      </w:r>
    </w:p>
    <w:p>
      <w:pPr>
        <w:pStyle w:val="ListBullet"/>
      </w:pPr>
      <w:r>
        <w:rPr>
          <w:rFonts w:eastAsia="微软雅黑"/>
          <w:rFonts w:ascii="微软雅黑" w:hAnsi="微软雅黑"/>
          <w:b w:val="0"/>
          <w:sz w:val="20"/>
        </w:rPr>
        <w:t>http://old2022.bulletin.cas.cn/publish_article/2023/9/20230911.htm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根据扩展口径，统计了以下项目：1) 第三届孟加拉国中文教育论坛（2023年）— 1个项目；2) 中国-孟加拉国中文教育合作研讨会（2021年）— 1个项目；3) '走近孟加拉国'系列培训课程（5个系列在线课程）— 5个项目；4) 国际中文教师奖学金线上授课项目（含孟加拉国参与者）— 1个项目。总计8个项目。孔子学院的文化交流项目（如'中国文化月'等）虽涉及教师培养，但证据未明确其为独立培养项目，故未计入。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https://bd.china-embassy.gov.cn/zmjw/202311/t20231127_11187809.htm</w:t>
      </w:r>
    </w:p>
    <w:p>
      <w:pPr>
        <w:pStyle w:val="ListBullet"/>
      </w:pPr>
      <w:r>
        <w:rPr>
          <w:rFonts w:eastAsia="微软雅黑"/>
          <w:rFonts w:ascii="微软雅黑" w:hAnsi="微软雅黑"/>
          <w:b w:val="0"/>
          <w:sz w:val="20"/>
        </w:rPr>
        <w:t>https://ci.cn/en/site/1041002000/kyxw/12677</w:t>
      </w:r>
    </w:p>
    <w:p>
      <w:pPr>
        <w:pStyle w:val="ListBullet"/>
      </w:pPr>
      <w:r>
        <w:rPr>
          <w:rFonts w:eastAsia="微软雅黑"/>
          <w:rFonts w:ascii="微软雅黑" w:hAnsi="微软雅黑"/>
          <w:b w:val="0"/>
          <w:sz w:val="20"/>
        </w:rPr>
        <w:t>https://bd.china-embassy.gov.cn/chn/zmjw/202206/t20220602_10698120.htm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500-1000（口径：数值）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https://paper.jyb.cn/zgjyb/images/2022-06/07/12/ZGJYB2022060712.pdf</w:t>
      </w:r>
    </w:p>
    <w:p>
      <w:pPr>
        <w:pStyle w:val="ListBullet"/>
      </w:pPr>
      <w:r>
        <w:rPr>
          <w:rFonts w:eastAsia="微软雅黑"/>
          <w:rFonts w:ascii="微软雅黑" w:hAnsi="微软雅黑"/>
          <w:b w:val="0"/>
          <w:sz w:val="20"/>
        </w:rPr>
        <w:t>http://www.scio.gov.cn/xwfb/gwyxwbgsxwfbh/wqfbh_2284/2017n_8019/2017n05y11rxw/xgbdbj_8363/202207/t20220715_201049.html</w:t>
      </w:r>
    </w:p>
    <w:p>
      <w:pPr>
        <w:pStyle w:val="ListBullet"/>
      </w:pPr>
      <w:r>
        <w:rPr>
          <w:rFonts w:eastAsia="微软雅黑"/>
          <w:rFonts w:ascii="微软雅黑" w:hAnsi="微软雅黑"/>
          <w:b w:val="0"/>
          <w:sz w:val="20"/>
        </w:rPr>
        <w:t>https://news.blcu.edu.cn/info/1011/27218.htm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代理变量：通过孔子学院识别会员单位</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2条间接识别方法，参考其他国家统计模式，将设有孔子学院的大学视为会员单位。证据显示孟加拉国有达卡大学孔子学院和南北大学孔子学院两所孔子学院，分别对应达卡大学和南北大学。这两所大学在孟加拉国境内有实体教学项目，符合数据确认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https://ci.cn/site/1041001000/?lang=lc</w:t>
      </w:r>
    </w:p>
    <w:p>
      <w:pPr>
        <w:pStyle w:val="ListBullet"/>
      </w:pPr>
      <w:r>
        <w:rPr>
          <w:rFonts w:eastAsia="微软雅黑"/>
          <w:rFonts w:ascii="微软雅黑" w:hAnsi="微软雅黑"/>
          <w:b w:val="0"/>
          <w:sz w:val="20"/>
        </w:rPr>
        <w:t>https://ci.cn/en/site/1041002000/kyxw/12677?lang=lc</w:t>
      </w:r>
    </w:p>
    <w:p>
      <w:pPr>
        <w:pStyle w:val="ListBullet"/>
      </w:pPr>
      <w:r>
        <w:rPr>
          <w:rFonts w:eastAsia="微软雅黑"/>
          <w:rFonts w:ascii="微软雅黑" w:hAnsi="微软雅黑"/>
          <w:b w:val="0"/>
          <w:sz w:val="20"/>
        </w:rPr>
        <w:t>https://ci.cn/site/1041002000/kyxw/12671?lang=lc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https://www.chineseteacher.org.cn/industryDynamics/detail.do?idid=5401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https://ci.cn/en/site/1041002000/</w:t>
      </w:r>
    </w:p>
    <w:p>
      <w:pPr>
        <w:pStyle w:val="ListBullet"/>
      </w:pPr>
      <w:r>
        <w:rPr>
          <w:rFonts w:eastAsia="微软雅黑"/>
          <w:rFonts w:ascii="微软雅黑" w:hAnsi="微软雅黑"/>
          <w:b w:val="0"/>
          <w:sz w:val="20"/>
        </w:rPr>
        <w:t>https://news.sina.cn/sa/2006-02-15/detail-ikknscsi9669860.d.html?vt=4</w:t>
      </w:r>
    </w:p>
    <w:p>
      <w:pPr>
        <w:pStyle w:val="ListBullet"/>
      </w:pPr>
      <w:r>
        <w:rPr>
          <w:rFonts w:eastAsia="微软雅黑"/>
          <w:rFonts w:ascii="微软雅黑" w:hAnsi="微软雅黑"/>
          <w:b w:val="0"/>
          <w:sz w:val="20"/>
        </w:rPr>
        <w:t>https://ci.cn/en/site/1041001000/</w:t>
      </w:r>
    </w:p>
    <w:p>
      <w:pPr>
        <w:pStyle w:val="ListBullet"/>
      </w:pPr>
      <w:r>
        <w:rPr>
          <w:rFonts w:eastAsia="微软雅黑"/>
          <w:rFonts w:ascii="微软雅黑" w:hAnsi="微软雅黑"/>
          <w:b w:val="0"/>
          <w:sz w:val="20"/>
        </w:rPr>
        <w:t>https://uoh.edu.cn/info/1123/69267.htm</w:t>
      </w:r>
    </w:p>
    <w:p>
      <w:pPr>
        <w:pStyle w:val="ListBullet"/>
      </w:pPr>
      <w:r>
        <w:rPr>
          <w:rFonts w:eastAsia="微软雅黑"/>
          <w:rFonts w:ascii="微软雅黑" w:hAnsi="微软雅黑"/>
          <w:b w:val="0"/>
          <w:sz w:val="20"/>
        </w:rPr>
        <w:t>http://www.news.cn/world/2023-11/24/c_1129990952.htm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https://ci.cn/jphd/b193a29b-15a7-467f-bc3c-ee462ce85bfa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基于现有证据推导：1) 孔子学院至少2所（达卡大学孔子学院为第二所，暗示至少存在另一所）；2) 无全日制华文学校记录；3) 周末中文班/企业培训中心可能嵌入孔子课堂或少量分布，基于97万汉语学习者规模推断；4) 综合保守估计为2-5个机构，以达卡为中心。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http://paper.people.com.cn/rmrbhwb/html/2019-06/07/content_1929148.htm</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https://bd.china-embassy.gov.cn/zmjw/202009/t20200923_1548251.htm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https://www.ciecef.moe.gov.cn/xxgk/ndbg/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代理变量：基于达卡大学中文系数据估算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优先采用孟加拉国主要大学中文系年度招生数据计算增长率。证据显示达卡大学中文系招生从2020年疫情低点（约100-200人/年）增至2024年约400-600人/年，计算得出年增长率约15-20%。该数据与UNESCO教育领导力报告中南亚学生国际流动增长趋势一致，且孟加拉国高等教育整体国际语言学习需求随中孟经贸增长而上升（2024-2025财年GDP增长3.97%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https://digitallibrary.un.org/record/715736/files/E_ESCAP_67_10-ZH.pdf</w:t>
      </w:r>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https://www.ydylcn.com/gjgk/340554.shtml</w:t>
      </w:r>
    </w:p>
    <w:p>
      <w:pPr>
        <w:pStyle w:val="ListBullet"/>
      </w:pPr>
      <w:r>
        <w:rPr>
          <w:rFonts w:eastAsia="微软雅黑"/>
          <w:rFonts w:ascii="微软雅黑" w:hAnsi="微软雅黑"/>
          <w:b w:val="0"/>
          <w:sz w:val="20"/>
        </w:rPr>
        <w:t>https://www.mfa.gov.cn/web/gjhdq_676201/gj_676203/yz_676205/1206_676764/sbgx_676768/</w:t>
      </w:r>
    </w:p>
    <w:p>
      <w:pPr>
        <w:pStyle w:val="ListBullet"/>
      </w:pPr>
      <w:r>
        <w:rPr>
          <w:rFonts w:eastAsia="微软雅黑"/>
          <w:rFonts w:ascii="微软雅黑" w:hAnsi="微软雅黑"/>
          <w:b w:val="0"/>
          <w:sz w:val="20"/>
        </w:rPr>
        <w:t>http://niis.cssn.cn/xskq/nyyjnew/2022d2q/202303/P020230328378424420278.pdf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267（口径：孟加拉国中资企业协会（BCEA）会员单位数量，作为覆盖主要业务板块的代理指标）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https://www.tech.net.cn/upload/202512/24/202512240902550384.pdf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http://gdfs.customs.gov.cn/customs/302249/zfxxgk/2799825/302274/302277/302276/5941180/index.html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34亿美元（口径：数值）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https://www.britishchamber.cn/wp-content/uploads/2019/04/%E4%B8%80%E5%B8%A6%E4%B8%80%E8%B7%AF%E6%95%99%E8%82%B2%E6%8A%A5%E5%91%8A%EF%BC%88%E4%B8%AD%E6%96%87%E7%89%88%EF%BC%891.pdf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{'student_exchange': '200-500人/年', 'teacher_exchange': '50-150人/年', 'active_programs': '5-10个'}</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2024年7月中孟全面战略合作伙伴关系联合声明中'进一步加强各层次学生交流、联合培养'和'加强教师和研究人员交流、合作研究'的承诺，结合孔子学院活动、鲁班工坊建设、数字教育合作等框架，参考中国整体国际学生流动规模及孟加拉国作为'一带一路'伙伴的定位，采用类似东南亚中小国家交换规模的类比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https://paper.people.com.cn/rmrb/html/2024-07/12/nw.D110000renmrb_20240712_1-02.htm</w:t>
      </w:r>
    </w:p>
    <w:p>
      <w:pPr>
        <w:pStyle w:val="ListBullet"/>
      </w:pPr>
      <w:r>
        <w:rPr>
          <w:rFonts w:eastAsia="微软雅黑"/>
          <w:rFonts w:ascii="微软雅黑" w:hAnsi="微软雅黑"/>
          <w:b w:val="0"/>
          <w:sz w:val="20"/>
        </w:rPr>
        <w:t>https://nl.china-embassy.gov.cn/zgyw/202407/t20240711_11451950.htm</w:t>
      </w:r>
    </w:p>
    <w:p>
      <w:pPr>
        <w:pStyle w:val="ListBullet"/>
      </w:pPr>
      <w:r>
        <w:rPr>
          <w:rFonts w:eastAsia="微软雅黑"/>
          <w:rFonts w:ascii="微软雅黑" w:hAnsi="微软雅黑"/>
          <w:b w:val="0"/>
          <w:sz w:val="20"/>
        </w:rPr>
        <w:t>https://ci.cn/en/hdkj/jphd?pageNum=107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https://ag.china-embassy.gov.cn/zgxw/202407/t20240711_11451950.htm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代理变量：联合国中文翻译服务次数、中孟双边中文联合声明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孟加拉国总理在联合国第78、79、80届联大发言均提供中文翻译版本（非原生中文发言），计为3次；2024年中孟联合声明为中文官方文件，计为1次；其他国际组织未见中文使用证据。合计4次，但均为翻译或双边文件，非主动中文使用，故取1次作为保守估计。</w:t>
      </w:r>
    </w:p>
    <w:p>
      <w:pPr>
        <w:spacing w:before="0" w:after="80" w:lineRule="auto" w:line="276"/>
        <w:jc w:val="left"/>
      </w:pPr>
      <w:r>
        <w:rPr>
          <w:rFonts w:eastAsia="微软雅黑"/>
          <w:rFonts w:ascii="微软雅黑" w:hAnsi="微软雅黑"/>
          <w:b w:val="0"/>
          <w:sz w:val="21"/>
        </w:rPr>
        <w:t>扩展补充：联合国联大发言中文翻译3次（2022、2023、2024年），中孟联合声明中文版1次（2024年），但均为被动翻译或双边文件，非国际组织内部中文使用。</w:t>
      </w:r>
    </w:p>
    <w:p>
      <w:pPr>
        <w:spacing w:before="0" w:after="80" w:lineRule="auto" w:line="276"/>
        <w:jc w:val="left"/>
      </w:pPr>
      <w:r>
        <w:rPr>
          <w:rFonts w:eastAsia="微软雅黑"/>
          <w:rFonts w:ascii="微软雅黑" w:hAnsi="微软雅黑"/>
          <w:b w:val="0"/>
          <w:sz w:val="21"/>
        </w:rPr>
        <w:t>判断：孟加拉国在国际组织中使用中文的证据仅限于联合国提供的翻译服务和中孟双边中文文件，无主动提交中文文件或发言的记录，因此实际使用次数极低。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推导：基于扩展口径五个维度综合评估：1) 国际组织中文学习项目：无证据显示孟加拉国参与的国际组织设有专门中文培训项目；2) 国际会议中文使用：孟加拉国代表在联合国、世界银行、东盟地区论坛等主要使用英文，未见中文同传或发言；3) 中文文件发布：组织文件以英文为主，无中文版本；4) 中文网站内容：组织网站无中文版；5) 中文社交媒体：无中文账号。代理变量（英文使用覆盖率近100%）推导中文使用比例为0。</w:t>
      </w:r>
    </w:p>
    <w:p>
      <w:pPr>
        <w:pStyle w:val="ListBullet"/>
      </w:pPr>
      <w:r>
        <w:rPr>
          <w:rFonts w:eastAsia="微软雅黑"/>
          <w:rFonts w:ascii="微软雅黑" w:hAnsi="微软雅黑"/>
          <w:b w:val="0"/>
          <w:sz w:val="20"/>
        </w:rPr>
        <w:t>依据：所有证据一致表明孟加拉国参与的国际组织中中文使用频率为零，无任何近三年数据支持中文使用。代理变量（英文主导）可靠，推导逻辑清晰。</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https://www.mfa.gov.cn/web/gjhdq_676201/gj_676203/yz_676205/1206_676764/</w:t>
      </w:r>
    </w:p>
    <w:p>
      <w:pPr>
        <w:pStyle w:val="ListBullet"/>
      </w:pPr>
      <w:r>
        <w:rPr>
          <w:rFonts w:eastAsia="微软雅黑"/>
          <w:rFonts w:ascii="微软雅黑" w:hAnsi="微软雅黑"/>
          <w:b w:val="0"/>
          <w:sz w:val="20"/>
        </w:rPr>
        <w:t>http://www.iis.whu.edu.cn/index.php?id=3366</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www.sky.yn.gov.cn/UpLoadFiles/File/2023-07-31/WS7ZLJJSFV8_%E3%80%90%E5%BC%A0%E6%BD%87%E4%BA%88%E3%80%91%E5%AD%9F%E5%8A%A0%E6%8B%89%E5%9B%BD%E5%A4%9A%E5%85%83%E5%B9%B3%E8%A1%A1%E5%A4%96%E4%BA%A4%E7%9A%84%E5%8E%86%E5%8F%B2%E5%90%91%E5%BA%A6%E3%80%81%E7%8E%B0%E5%AE%9E%E8%80%83%E9%87%8F%E4%B8%8E%E5%89%8D%E6%99%AF%E5%B1%95%E6%9C%9B.pdf</w:t>
      </w:r>
    </w:p>
    <w:p>
      <w:pPr>
        <w:pStyle w:val="ListBullet"/>
      </w:pPr>
      <w:r>
        <w:rPr>
          <w:rFonts w:eastAsia="微软雅黑"/>
          <w:rFonts w:ascii="微软雅黑" w:hAnsi="微软雅黑"/>
          <w:b w:val="0"/>
          <w:sz w:val="20"/>
        </w:rPr>
        <w:t>https://bd.china-embassy.gov.cn/mgxx/gk/</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https://www.mfa.gov.cn/web/gjhdq_676201/gj_676203/yz_676205/1206_676764/</w:t>
      </w:r>
    </w:p>
    <w:p>
      <w:pPr>
        <w:pStyle w:val="ListBullet"/>
      </w:pPr>
      <w:r>
        <w:rPr>
          <w:rFonts w:eastAsia="微软雅黑"/>
          <w:rFonts w:ascii="微软雅黑" w:hAnsi="微软雅黑"/>
          <w:b w:val="0"/>
          <w:sz w:val="20"/>
        </w:rPr>
        <w:t>http://www.iis.whu.edu.cn/index.php?id=3366</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https://gadebate.un.org/zh/78/bangladesh</w:t>
      </w:r>
    </w:p>
    <w:p>
      <w:pPr>
        <w:pStyle w:val="ListBullet"/>
      </w:pPr>
      <w:r>
        <w:rPr>
          <w:rFonts w:eastAsia="微软雅黑"/>
          <w:rFonts w:ascii="微软雅黑" w:hAnsi="微软雅黑"/>
          <w:b w:val="0"/>
          <w:sz w:val="20"/>
        </w:rPr>
        <w:t>https://webtv.un.org/zh/asset/k1f/k1fod9fp2f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http://www.news.cn/world/20250531/ede485da24b743fb9334f1cd6fb6e782/c.html</w:t>
      </w:r>
    </w:p>
    <w:p>
      <w:pPr>
        <w:pStyle w:val="ListBullet"/>
      </w:pPr>
      <w:r>
        <w:rPr>
          <w:rFonts w:eastAsia="微软雅黑"/>
          <w:rFonts w:ascii="微软雅黑" w:hAnsi="微软雅黑"/>
          <w:b w:val="0"/>
          <w:sz w:val="20"/>
        </w:rPr>
        <w:t>https://bd.china-embassy.gov.cn/dshd/202306/t20230611_11094832.htm</w:t>
      </w:r>
    </w:p>
    <w:p>
      <w:pPr>
        <w:pStyle w:val="ListBullet"/>
      </w:pPr>
      <w:r>
        <w:rPr>
          <w:rFonts w:eastAsia="微软雅黑"/>
          <w:rFonts w:ascii="微软雅黑" w:hAnsi="微软雅黑"/>
          <w:b w:val="0"/>
          <w:sz w:val="20"/>
        </w:rPr>
        <w:t>https://www.mct.gov.cn/whzx/qgwhxxlb/zj/201209/t20120917_783242.htm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具体案例和框架数据估算：1）达卡大学孔子学院2023年文化遗产日活动（1例）；2）澜湄工坊职业教育项目（1例，持续至2024年后）；3）《习近平谈治国理政》中孟读者会（1例，2025年）；4）非遗文化合作项目（1例，2025年规划）；5）中孟文化合作协定（2016-2020）培训500名汉语教师、邀请100名文化艺术人才、600名青年学生，这些培训项目通常涉及本土化文化实践，按每年2-3个相关活动估算，2016-2020年约10-15例；6）2024年后全面战略伙伴关系延续人文交流，按每年2-3例估算。综合具体案例（4例）和框架衍生案例（10-20例），取保守区间8-15例，排除纯商业和一次性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https://ci.cn/en/jphd/b193a29b-15a7-467f-bc3c-ee462ce85bfa</w:t>
      </w:r>
    </w:p>
    <w:p>
      <w:pPr>
        <w:pStyle w:val="ListBullet"/>
      </w:pPr>
      <w:r>
        <w:rPr>
          <w:rFonts w:eastAsia="微软雅黑"/>
          <w:rFonts w:ascii="微软雅黑" w:hAnsi="微软雅黑"/>
          <w:b w:val="0"/>
          <w:sz w:val="20"/>
        </w:rPr>
        <w:t>http://www.imsilkroad.com/p/540163.html</w:t>
      </w:r>
    </w:p>
    <w:p>
      <w:pPr>
        <w:pStyle w:val="ListBullet"/>
      </w:pPr>
      <w:r>
        <w:rPr>
          <w:rFonts w:eastAsia="微软雅黑"/>
          <w:rFonts w:ascii="微软雅黑" w:hAnsi="微软雅黑"/>
          <w:b w:val="0"/>
          <w:sz w:val="20"/>
        </w:rPr>
        <w:t>http://www.cicg.org.cn/m/2025-05/13/content_43108520.html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https://finance.sina.cn/2016-02-04/detail-ifxpftya4292286.d.html?vt=4</w:t>
      </w:r>
    </w:p>
    <w:p>
      <w:pPr>
        <w:pStyle w:val="ListBullet"/>
      </w:pPr>
      <w:r>
        <w:rPr>
          <w:rFonts w:eastAsia="微软雅黑"/>
          <w:rFonts w:ascii="微软雅黑" w:hAnsi="微软雅黑"/>
          <w:b w:val="0"/>
          <w:sz w:val="20"/>
        </w:rPr>
        <w:t>https://www.wipo.int/web-publications/strengthening-medical-technology-innovation-ecosystems-to-address-non-communicable-diseases-in-least-developed-countries/zh/bangladesh-case-study.html</w:t>
      </w:r>
    </w:p>
    <w:p>
      <w:pPr>
        <w:pStyle w:val="ListBullet"/>
      </w:pPr>
      <w:r>
        <w:rPr>
          <w:rFonts w:eastAsia="微软雅黑"/>
          <w:rFonts w:ascii="微软雅黑" w:hAnsi="微软雅黑"/>
          <w:b w:val="0"/>
          <w:sz w:val="20"/>
        </w:rPr>
        <w:t>https://www.adb.org/sites/default/files/publication/28624/good-practice-training-education-zh_0.pdf</w:t>
      </w:r>
    </w:p>
    <w:p>
      <w:pPr>
        <w:pStyle w:val="ListBullet"/>
      </w:pPr>
      <w:r>
        <w:rPr>
          <w:rFonts w:eastAsia="微软雅黑"/>
          <w:rFonts w:ascii="微软雅黑" w:hAnsi="微软雅黑"/>
          <w:b w:val="0"/>
          <w:sz w:val="20"/>
        </w:rPr>
        <w:t>https://www.un.org/zh/observances/world-youth-skills-day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https://nsda.gov.bd/nsqf</w:t>
      </w:r>
    </w:p>
    <w:p>
      <w:pPr>
        <w:pStyle w:val="ListBullet"/>
      </w:pPr>
      <w:r>
        <w:rPr>
          <w:rFonts w:eastAsia="微软雅黑"/>
          <w:rFonts w:ascii="微软雅黑" w:hAnsi="微软雅黑"/>
          <w:b w:val="0"/>
          <w:sz w:val="20"/>
        </w:rPr>
        <w:t>https://moedu.gov.bd</w:t>
      </w:r>
    </w:p>
    <w:p>
      <w:pPr>
        <w:pStyle w:val="ListBullet"/>
      </w:pPr>
      <w:r>
        <w:rPr>
          <w:rFonts w:eastAsia="微软雅黑"/>
          <w:rFonts w:ascii="微软雅黑" w:hAnsi="微软雅黑"/>
          <w:b w:val="0"/>
          <w:sz w:val="20"/>
        </w:rPr>
        <w:t>https://www.bdeduarticle.com/bangladesh-teacher-registration/</w:t>
      </w:r>
    </w:p>
    <w:p>
      <w:pPr>
        <w:pStyle w:val="ListBullet"/>
      </w:pPr>
      <w:r>
        <w:rPr>
          <w:rFonts w:eastAsia="微软雅黑"/>
          <w:rFonts w:ascii="微软雅黑" w:hAnsi="微软雅黑"/>
          <w:b w:val="0"/>
          <w:sz w:val="20"/>
        </w:rPr>
        <w:t>http://bd.china-embassy.gov.cn/chn/education/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https://annualreport.undp.org/assets/Annual-Report-2024-Chinese.pdf</w:t>
      </w:r>
    </w:p>
    <w:p>
      <w:pPr>
        <w:pStyle w:val="ListBullet"/>
      </w:pPr>
      <w:r>
        <w:rPr>
          <w:rFonts w:eastAsia="微软雅黑"/>
          <w:rFonts w:ascii="微软雅黑" w:hAnsi="微软雅黑"/>
          <w:b w:val="0"/>
          <w:sz w:val="20"/>
        </w:rPr>
        <w:t>https://thedocs.worldbank.org/en/doc/3d6696b41ecd084eaa3b79e889e13ca7-0060052025/original/CWPF-FY23-24-Annual-Report-Chinese.pdf</w:t>
      </w:r>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w:t>
      </w:r>
    </w:p>
    <w:p/>
    <w:p>
      <w:pPr>
        <w:spacing w:before="0" w:after="80" w:lineRule="auto" w:line="276"/>
        <w:jc w:val="left"/>
      </w:pPr>
      <w:r>
        <w:rPr>
          <w:rFonts w:eastAsia="微软雅黑"/>
          <w:rFonts w:ascii="微软雅黑" w:hAnsi="微软雅黑"/>
          <w:b w:val="0"/>
          <w:sz w:val="21"/>
        </w:rPr>
        <w:t>代理变量：南亚国家主流媒体中文教育内容年均发布量类比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孟加拉国主流媒体以孟加拉语和英语为主，无中文媒体或中文栏目记录。教育类内容聚焦本地议题，中孟教育交流报道极少。参考类似南亚国家（如印度）主流媒体中文教育内容年均&lt;10篇，且无重大事件驱动，故估算近3年总量在0-50篇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合成值：0-50</w:t>
      </w:r>
    </w:p>
    <w:p>
      <w:pPr>
        <w:pStyle w:val="ListBullet"/>
      </w:pPr>
      <w:r>
        <w:rPr>
          <w:rFonts w:eastAsia="微软雅黑"/>
          <w:rFonts w:ascii="微软雅黑" w:hAnsi="微软雅黑"/>
          <w:b w:val="0"/>
          <w:sz w:val="20"/>
        </w:rPr>
        <w:t>代理：南亚国家主流媒体中文教育内容年均发布量类比</w:t>
      </w:r>
    </w:p>
    <w:p>
      <w:pPr>
        <w:pStyle w:val="ListBullet"/>
      </w:pPr>
      <w:r>
        <w:rPr>
          <w:rFonts w:eastAsia="微软雅黑"/>
          <w:rFonts w:ascii="微软雅黑" w:hAnsi="微软雅黑"/>
          <w:b w:val="0"/>
          <w:sz w:val="20"/>
        </w:rPr>
        <w:t>推导：孟加拉国主流媒体以孟加拉语和英语为主，无中文媒体或中文栏目记录。教育类内容聚焦本地议题，中孟教育交流报道极少。参考类似南亚国家（如印度）主流媒体中文教育内容年均&lt;10篇，且无重大事件驱动，故估算近3年总量在0-50篇之间。</w:t>
      </w:r>
    </w:p>
    <w:p>
      <w:pPr>
        <w:pStyle w:val="ListBullet"/>
      </w:pPr>
      <w:r>
        <w:rPr>
          <w:rFonts w:eastAsia="微软雅黑"/>
          <w:rFonts w:ascii="微软雅黑" w:hAnsi="微软雅黑"/>
          <w:b w:val="0"/>
          <w:sz w:val="20"/>
        </w:rPr>
        <w:t>依据：缺乏直接数据，基于媒体语言分布、教育报道主题及区域类比推导，不确定性高。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https://zh.wikipedia.org/zh-cn/%E5%AD%9F%E5%8A%A0%E6%8B%89%E5%9B%BD</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https://www.mfa.gov.cn/web/gjhdq_676201/gj_676203/yz_676205/1206_676764/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https://zh.wikipedia.org/zh-cn/%E5%AD%9F%E5%8A%A0%E6%8B%89%E5%9B%BD</w:t>
      </w:r>
    </w:p>
    <w:p>
      <w:pPr>
        <w:pStyle w:val="ListBullet"/>
      </w:pPr>
      <w:r>
        <w:rPr>
          <w:rFonts w:eastAsia="微软雅黑"/>
          <w:rFonts w:ascii="微软雅黑" w:hAnsi="微软雅黑"/>
          <w:b w:val="0"/>
          <w:sz w:val="20"/>
        </w:rPr>
        <w:t>https://www.mofcom.gov.cn/dl/gbdqzn/upload/mengjiala.pdf</w:t>
      </w:r>
    </w:p>
    <w:p>
      <w:pPr>
        <w:pStyle w:val="ListBullet"/>
      </w:pPr>
      <w:r>
        <w:rPr>
          <w:rFonts w:eastAsia="微软雅黑"/>
          <w:rFonts w:ascii="微软雅黑" w:hAnsi="微软雅黑"/>
          <w:b w:val="0"/>
          <w:sz w:val="20"/>
        </w:rPr>
        <w:t>https://www.mfa.gov.cn/web/gjhdq_676201/gj_676203/yz_676205/1206_676764/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https://zh.semrush.com/trending-websites/bd/all</w:t>
      </w:r>
    </w:p>
    <w:p>
      <w:pPr>
        <w:pStyle w:val="ListBullet"/>
      </w:pPr>
      <w:r>
        <w:rPr>
          <w:rFonts w:eastAsia="微软雅黑"/>
          <w:rFonts w:ascii="微软雅黑" w:hAnsi="微软雅黑"/>
          <w:b w:val="0"/>
          <w:sz w:val="20"/>
        </w:rPr>
        <w:t>https://tridenstechnology.com/zh/%E7%A4%BE%E4%BA%A4%E5%AA%92%E4%BD%93%E7%BB%9F%E8%AE%A1/</w:t>
      </w:r>
    </w:p>
    <w:p>
      <w:pPr>
        <w:pStyle w:val="ListBullet"/>
      </w:pPr>
      <w:r>
        <w:rPr>
          <w:rFonts w:eastAsia="微软雅黑"/>
          <w:rFonts w:ascii="微软雅黑" w:hAnsi="微软雅黑"/>
          <w:b w:val="0"/>
          <w:sz w:val="20"/>
        </w:rPr>
        <w:t>https://so08.tci-thaijo.org/index.php/cikkuhygj/article/download/337/253/1107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代理变量：无直接数据，基于证据推断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基于以下证据推断：1) 孟加拉国官方语言为孟加拉语和英语，中文非官方语言；2) 搜索结果未发现任何关于孟加拉国主流媒体或社交媒体中双语（孟加拉语与中文）报道的具体数据或案例；3) 学术文献中未发现相关研究；4) 需要专业机构进行系统内容分析才能获得数据，表明数据稀缺且难以获取</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https://www.mofa.gov.tw/CountryInfo.aspx?CASN=5&amp;n=5&amp;sms=33&amp;s=123</w:t>
      </w:r>
    </w:p>
    <w:p>
      <w:pPr>
        <w:pStyle w:val="ListBullet"/>
      </w:pPr>
      <w:r>
        <w:rPr>
          <w:rFonts w:eastAsia="微软雅黑"/>
          <w:rFonts w:ascii="微软雅黑" w:hAnsi="微软雅黑"/>
          <w:b w:val="0"/>
          <w:sz w:val="20"/>
        </w:rPr>
        <w:t>https://www.mofcom.gov.cn/dl/gbdqzn/upload/mengjiala.pdf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https://m.eefung.com/yanjiu/20260126162926668</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