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尼泊尔 · 中文教育指标体系完整数据</w:t>
      </w:r>
    </w:p>
    <w:p/>
    <w:p>
      <w:pPr>
        <w:spacing w:before="0" w:after="80" w:lineRule="auto" w:line="276"/>
        <w:jc w:val="left"/>
      </w:pPr>
      <w:r>
        <w:rPr>
          <w:rFonts w:eastAsia="微软雅黑"/>
          <w:rFonts w:ascii="微软雅黑" w:hAnsi="微软雅黑"/>
          <w:b w:val="0"/>
          <w:sz w:val="21"/>
        </w:rPr>
        <w:t>国家：尼泊尔</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33</w:t>
            </w:r>
          </w:p>
        </w:tc>
        <w:tc>
          <w:tcPr>
            <w:tcW w:type="dxa" w:w="3324"/>
          </w:tcPr>
          <w:p>
            <w:r/>
            <w:r>
              <w:rPr>
                <w:rFonts w:eastAsia="微软雅黑"/>
                <w:rFonts w:ascii="微软雅黑" w:hAnsi="微软雅黑"/>
                <w:b w:val="0"/>
                <w:sz w:val="16"/>
              </w:rPr>
              <w:t>47%</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http://www.cidca.gov.cn/20250521/a3ce7b15d4694b48b27be43fa49c843e/c.html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http://www.moe.gov.cn/fbh/live/2022/54618/mtbd/202206/t20220629_641889.html</w:t>
      </w:r>
    </w:p>
    <w:p>
      <w:pPr>
        <w:pStyle w:val="ListBullet"/>
      </w:pPr>
      <w:r>
        <w:rPr>
          <w:rFonts w:eastAsia="微软雅黑"/>
          <w:rFonts w:ascii="微软雅黑" w:hAnsi="微软雅黑"/>
          <w:b w:val="0"/>
          <w:sz w:val="20"/>
        </w:rPr>
        <w:t>https://portal.tu.edu.np/downloads/2025_02_03_21_36_20.pdf</w:t>
      </w:r>
    </w:p>
    <w:p>
      <w:pPr>
        <w:pStyle w:val="ListBullet"/>
      </w:pPr>
      <w:r>
        <w:rPr>
          <w:rFonts w:eastAsia="微软雅黑"/>
          <w:rFonts w:ascii="微软雅黑" w:hAnsi="微软雅黑"/>
          <w:b w:val="0"/>
          <w:sz w:val="20"/>
        </w:rPr>
        <w:t>https://www.scribd.com/document/457322698/%E5%B0%BC%E6%B3%8A%E5%B0%94%E4%B8%AD%E5%B0%8F%E5%AD%A6%E6%B1%89%E8%AF%AD%E6%95%99%E5%AD%A6%E7%8E%B0%E7%8A%B6%E7%A0%94%E7%A9%B6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https://zh.wikipedia.org/wiki/%E5%B0%BC%E6%B3%8A%E5%B0%94</w:t>
      </w:r>
    </w:p>
    <w:p>
      <w:pPr>
        <w:pStyle w:val="ListBullet"/>
      </w:pPr>
      <w:r>
        <w:rPr>
          <w:rFonts w:eastAsia="微软雅黑"/>
          <w:rFonts w:ascii="微软雅黑" w:hAnsi="微软雅黑"/>
          <w:b w:val="0"/>
          <w:sz w:val="20"/>
        </w:rPr>
        <w:t>https://cs.mfa.gov.cn/zggmcg/ljmdd/yz_645708/nbe_647260/</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代理变量：扩展口径：双边教育合作备忘录、文化交流协定、一带一路人文合作文件；外语教育政策中涉及中文的条款；汉办/国际中文教育基金会合作协议；政府承认的中文教学机构授权文件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搜索尼泊尔教育部官网及政府公报，未发现专门的中文教育政策文件，仅有多语教育政策框架（如2019年国家教育政策）提及第二语言，但未具体针对中文。2. 中尼双边合作文件（如联合声明）未包含专门的中文教育条款，仅提及教育合作。3. 汉办/语合中心与尼泊尔机构有合作协议（如教师培训、YCT考试），但未找到正式授权文件。4. 中国驻尼泊尔使馆发布过汉语培训班开班新闻，但非政策文件。5. 学术文献（如Eagle 2008）讨论尼泊尔语言政策，未提及中文教育政策文件。综上，未找到符合扩展口径的政策文件。</w:t>
      </w:r>
    </w:p>
    <w:p>
      <w:pPr>
        <w:spacing w:before="0" w:after="80" w:lineRule="auto" w:line="276"/>
        <w:jc w:val="left"/>
      </w:pPr>
      <w:r>
        <w:rPr>
          <w:rFonts w:eastAsia="微软雅黑"/>
          <w:rFonts w:ascii="微软雅黑" w:hAnsi="微软雅黑"/>
          <w:b w:val="0"/>
          <w:sz w:val="21"/>
        </w:rPr>
        <w:t>扩展补充：尼泊尔实行多语教育政策，中文作为第二语言被纳入学校课程，但无专门政策文件。中尼双边合作包括联合声明和人才培训项目，但未形成正式政策文件。汉办/语合中心与尼泊尔机构有合作协议，但未公开授权文件。</w:t>
      </w:r>
    </w:p>
    <w:p>
      <w:pPr>
        <w:spacing w:before="0" w:after="80" w:lineRule="auto" w:line="276"/>
        <w:jc w:val="left"/>
      </w:pPr>
      <w:r>
        <w:rPr>
          <w:rFonts w:eastAsia="微软雅黑"/>
          <w:rFonts w:ascii="微软雅黑" w:hAnsi="微软雅黑"/>
          <w:b w:val="0"/>
          <w:sz w:val="21"/>
        </w:rPr>
        <w:t>判断：经过系统检索尼泊尔官方教育政策、双边合作文件及学术文献，未发现任何符合扩展口径的中文教育政策文件。现有中文教育推广活动（如培训班、考试）均基于项目合作，而非政策文件。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推导：根据搜索结果，未发现尼泊尔政府发布的任何与中文教育相关的政策文件。搜索涵盖教育部、文化部等官方机构，时间范围包括近3年及历史文件，均无相关记录。</w:t>
      </w:r>
    </w:p>
    <w:p>
      <w:pPr>
        <w:pStyle w:val="ListBullet"/>
      </w:pPr>
      <w:r>
        <w:rPr>
          <w:rFonts w:eastAsia="微软雅黑"/>
          <w:rFonts w:ascii="微软雅黑" w:hAnsi="微软雅黑"/>
          <w:b w:val="0"/>
          <w:sz w:val="20"/>
        </w:rPr>
        <w:t>依据：基于多源搜索（Perplexity、学术数据库等）均未找到相关文件，且无任何间接证据表明存在此类政策文件，因此确认数量为0。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https://www.sicomedia.com/2026/0329/56392.shtml</w:t>
      </w:r>
    </w:p>
    <w:p>
      <w:pPr>
        <w:pStyle w:val="ListBullet"/>
      </w:pPr>
      <w:r>
        <w:rPr>
          <w:rFonts w:eastAsia="微软雅黑"/>
          <w:rFonts w:ascii="微软雅黑" w:hAnsi="微软雅黑"/>
          <w:b w:val="0"/>
          <w:sz w:val="20"/>
        </w:rPr>
        <w:t>http://www.mofcom.gov.cn/dl/gbdqzn/upload/niboer.pdf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https://www.sicomedia.com/2026/0329/56392.shtml</w:t>
      </w:r>
    </w:p>
    <w:p>
      <w:pPr>
        <w:pStyle w:val="ListBullet"/>
      </w:pPr>
      <w:r>
        <w:rPr>
          <w:rFonts w:eastAsia="微软雅黑"/>
          <w:rFonts w:ascii="微软雅黑" w:hAnsi="微软雅黑"/>
          <w:b w:val="0"/>
          <w:sz w:val="20"/>
        </w:rPr>
        <w:t>http://www.mofcom.gov.cn/dl/gbdqzn/upload/niboer.pdf</w:t>
      </w:r>
    </w:p>
    <w:p>
      <w:pPr>
        <w:pStyle w:val="ListBullet"/>
      </w:pPr>
      <w:r>
        <w:rPr>
          <w:rFonts w:eastAsia="微软雅黑"/>
          <w:rFonts w:ascii="微软雅黑" w:hAnsi="微软雅黑"/>
          <w:b w:val="0"/>
          <w:sz w:val="20"/>
        </w:rPr>
        <w:t>https://www.mfa.gov.cn/web/gjhdq_676201/gj_676203/yz_676205/1206_676812/1206x2_676832/202406/t20240613_11435456.shtml</w:t>
      </w:r>
    </w:p>
    <w:p>
      <w:pPr>
        <w:pStyle w:val="ListBullet"/>
      </w:pPr>
      <w:r>
        <w:rPr>
          <w:rFonts w:eastAsia="微软雅黑"/>
          <w:rFonts w:ascii="微软雅黑" w:hAnsi="微软雅黑"/>
          <w:b w:val="0"/>
          <w:sz w:val="20"/>
        </w:rPr>
        <w:t>https://oec.xmu.edu.cn/virtual_attach_file.vsb?afc=SnmGzaUNM2U4GbLlRARLNWkUzTkolWr2LRMRo7UPn7LbMm-0gihFp2hmCIa0MShfoSh2okhfM8n7L4AkM47bnRnkMzn2LzA2MRrfLmGYoRnFL4-aLmN8M8QFo7UbM7LJv2nto4OeoDhTCDrJgDTJQty0Lz9ZLSyiLz-PgtA8pUIcc&amp;tid=1881&amp;nid=5121&amp;e=.pdf</w:t>
      </w:r>
    </w:p>
    <w:p>
      <w:pPr>
        <w:pStyle w:val="ListBullet"/>
      </w:pPr>
      <w:r>
        <w:rPr>
          <w:rFonts w:eastAsia="微软雅黑"/>
          <w:rFonts w:ascii="微软雅黑" w:hAnsi="微软雅黑"/>
          <w:b w:val="0"/>
          <w:sz w:val="20"/>
        </w:rPr>
        <w:t>https://ayyywz.com/www/dl/gbdqzn/upload/niboer.pdf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https://cs.mfa.gov.cn/zggmcg/ljmdd/yz_645708/nbe_647260/</w:t>
      </w:r>
    </w:p>
    <w:p>
      <w:pPr>
        <w:pStyle w:val="ListBullet"/>
      </w:pPr>
      <w:r>
        <w:rPr>
          <w:rFonts w:eastAsia="微软雅黑"/>
          <w:rFonts w:ascii="微软雅黑" w:hAnsi="微软雅黑"/>
          <w:b w:val="0"/>
          <w:sz w:val="20"/>
        </w:rPr>
        <w:t>http://www.mofcom.gov.cn/dl/gbdqzn/upload/niboer.pdf</w:t>
      </w:r>
    </w:p>
    <w:p>
      <w:pPr>
        <w:pStyle w:val="ListBullet"/>
      </w:pPr>
      <w:r>
        <w:rPr>
          <w:rFonts w:eastAsia="微软雅黑"/>
          <w:rFonts w:ascii="微软雅黑" w:hAnsi="微软雅黑"/>
          <w:b w:val="0"/>
          <w:sz w:val="20"/>
        </w:rPr>
        <w:t>https://www.yidaiyilu.gov.cn/p/900.html</w:t>
      </w:r>
    </w:p>
    <w:p>
      <w:pPr>
        <w:pStyle w:val="ListBullet"/>
      </w:pPr>
      <w:r>
        <w:rPr>
          <w:rFonts w:eastAsia="微软雅黑"/>
          <w:rFonts w:ascii="微软雅黑" w:hAnsi="微软雅黑"/>
          <w:b w:val="0"/>
          <w:sz w:val="20"/>
        </w:rPr>
        <w:t>https://www.mfa.gov.cn/ce/cenp//eng/Education/default_1.htm</w:t>
      </w:r>
    </w:p>
    <w:p>
      <w:pPr>
        <w:pStyle w:val="ListBullet"/>
      </w:pPr>
      <w:r>
        <w:rPr>
          <w:rFonts w:eastAsia="微软雅黑"/>
          <w:rFonts w:ascii="微软雅黑" w:hAnsi="微软雅黑"/>
          <w:b w:val="0"/>
          <w:sz w:val="20"/>
        </w:rPr>
        <w:t>https://kathmandupost.com/national/2019/10/15/government-has-agreed-to-promote-mandarin-in-nepali-schools-and-not-everyone-seems-pleased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https://www.yidaiyilu.gov.cn/wcm.files/upload/CMSydylgw/202012/202012220418054.pdf</w:t>
      </w:r>
    </w:p>
    <w:p>
      <w:pPr>
        <w:pStyle w:val="ListBullet"/>
      </w:pPr>
      <w:r>
        <w:rPr>
          <w:rFonts w:eastAsia="微软雅黑"/>
          <w:rFonts w:ascii="微软雅黑" w:hAnsi="微软雅黑"/>
          <w:b w:val="0"/>
          <w:sz w:val="20"/>
        </w:rPr>
        <w:t>https://world.people.com.cn/n1/2023/0518/c1002-32689096.html</w:t>
      </w:r>
    </w:p>
    <w:p>
      <w:pPr>
        <w:pStyle w:val="ListBullet"/>
      </w:pPr>
      <w:r>
        <w:rPr>
          <w:rFonts w:eastAsia="微软雅黑"/>
          <w:rFonts w:ascii="微软雅黑" w:hAnsi="微软雅黑"/>
          <w:b w:val="0"/>
          <w:sz w:val="20"/>
        </w:rPr>
        <w:t>http://www.cidca.gov.cn/2021-01/10/c_1210973082.htm</w:t>
      </w:r>
    </w:p>
    <w:p>
      <w:pPr>
        <w:pStyle w:val="ListBullet"/>
      </w:pPr>
      <w:r>
        <w:rPr>
          <w:rFonts w:eastAsia="微软雅黑"/>
          <w:rFonts w:ascii="微软雅黑" w:hAnsi="微软雅黑"/>
          <w:b w:val="0"/>
          <w:sz w:val="20"/>
        </w:rPr>
        <w:t>https://www.voachinese.com/a/nepal-initiating-investigation-into-pokhara-airport-20231116/7358289.html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http://www.cfpd.org.cn/News/525/2036.htm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代理变量：扩展口径：教育法、外语教育政策、国民教育课程纲要、文化交流协定、双边MOU或教育合作协议中提及中文/汉语/普通话/孔子学院的条款</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尼泊尔教育法（如《教育法》2078）、教育部课程发展中心发布的课程纲要、中尼双边教育合作MOU（如2019年签署的《中尼教育合作谅解备忘录》）、一带一路合作文件及文化交流协定。未发现任何明确提及中文教育的法律条款。尼泊尔教育法主要涉及包容性教育、少数民族语言保护等，未将中文纳入外语教育法律框架。中文课程推广依赖孔子学院和学校自主安排，无法律依据。</w:t>
      </w:r>
    </w:p>
    <w:p>
      <w:pPr>
        <w:spacing w:before="0" w:after="80" w:lineRule="auto" w:line="276"/>
        <w:jc w:val="left"/>
      </w:pPr>
      <w:r>
        <w:rPr>
          <w:rFonts w:eastAsia="微软雅黑"/>
          <w:rFonts w:ascii="微软雅黑" w:hAnsi="微软雅黑"/>
          <w:b w:val="0"/>
          <w:sz w:val="21"/>
        </w:rPr>
        <w:t>扩展补充：尼泊尔中文教育主要通过孔子学院（如加德满都大学孔子学院）和学校自主安排进行，无法律依据。中尼教育合作MOU中未发现具体中文条款。</w:t>
      </w:r>
    </w:p>
    <w:p>
      <w:pPr>
        <w:spacing w:before="0" w:after="80" w:lineRule="auto" w:line="276"/>
        <w:jc w:val="left"/>
      </w:pPr>
      <w:r>
        <w:rPr>
          <w:rFonts w:eastAsia="微软雅黑"/>
          <w:rFonts w:ascii="微软雅黑" w:hAnsi="微软雅黑"/>
          <w:b w:val="0"/>
          <w:sz w:val="21"/>
        </w:rPr>
        <w:t>判断：基于公开可查的尼泊尔法律、法规、政令文件，未发现任何明确提及中文教育的条款。扩展口径下的所有文件均未包含中文教育相关内容。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代理：无直接代理变量</w:t>
      </w:r>
    </w:p>
    <w:p>
      <w:pPr>
        <w:pStyle w:val="ListBullet"/>
      </w:pPr>
      <w:r>
        <w:rPr>
          <w:rFonts w:eastAsia="微软雅黑"/>
          <w:rFonts w:ascii="微软雅黑" w:hAnsi="微软雅黑"/>
          <w:b w:val="0"/>
          <w:sz w:val="20"/>
        </w:rPr>
        <w:t>推导：根据公开可查的尼泊尔法律、法规、政令文件，未发现任何明确提及中文教育的条款。尼泊尔教育法主要涉及包容性教育、少数民族语言保护等，但未将中文作为外语教育纳入法律框架。中文课程推广主要依赖孔子学院和学校自主安排，无法律依据。因此，中文教育相关法律条款数量为0。</w:t>
      </w:r>
    </w:p>
    <w:p>
      <w:pPr>
        <w:pStyle w:val="ListBullet"/>
      </w:pPr>
      <w:r>
        <w:rPr>
          <w:rFonts w:eastAsia="微软雅黑"/>
          <w:rFonts w:ascii="微软雅黑" w:hAnsi="微软雅黑"/>
          <w:b w:val="0"/>
          <w:sz w:val="20"/>
        </w:rPr>
        <w:t>依据：基于多源搜索（Perplexity、学术数据库等）均未找到相关法律条款，且尼泊尔教育体系无中文教育立法，故确认值为0。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https://www.voachinese.com/a/some-nepalis-uneasy-over-influx-of-chinese-language-teachers-20191019/5130271.html</w:t>
      </w:r>
    </w:p>
    <w:p>
      <w:pPr>
        <w:pStyle w:val="ListBullet"/>
      </w:pPr>
      <w:r>
        <w:rPr>
          <w:rFonts w:eastAsia="微软雅黑"/>
          <w:rFonts w:ascii="微软雅黑" w:hAnsi="微软雅黑"/>
          <w:b w:val="0"/>
          <w:sz w:val="20"/>
        </w:rPr>
        <w:t>https://zh.wikipedia.org/wiki/%E5%B0%BC%E6%B3%8A%E7%88%BE%E6%95%99%E8%82%B2</w:t>
      </w:r>
    </w:p>
    <w:p>
      <w:pPr>
        <w:pStyle w:val="ListBullet"/>
      </w:pPr>
      <w:r>
        <w:rPr>
          <w:rFonts w:eastAsia="微软雅黑"/>
          <w:rFonts w:ascii="微软雅黑" w:hAnsi="微软雅黑"/>
          <w:b w:val="0"/>
          <w:sz w:val="20"/>
        </w:rPr>
        <w:t>https://upr-info.org/sites/default/files/documents/2015-10/a_hrc_wg.6_23_npl_1_cn.pdf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https://www.voachinese.com/a/some-nepalis-uneasy-over-influx-of-chinese-language-teachers-20191019/5130271.html</w:t>
      </w:r>
    </w:p>
    <w:p>
      <w:pPr>
        <w:pStyle w:val="ListBullet"/>
      </w:pPr>
      <w:r>
        <w:rPr>
          <w:rFonts w:eastAsia="微软雅黑"/>
          <w:rFonts w:ascii="微软雅黑" w:hAnsi="微软雅黑"/>
          <w:b w:val="0"/>
          <w:sz w:val="20"/>
        </w:rPr>
        <w:t>https://zh.wikipedia.org/wiki/%E5%B0%BC%E6%B3%8A%E7%88%BE%E6%95%99%E8%82%B2</w:t>
      </w:r>
    </w:p>
    <w:p>
      <w:pPr>
        <w:pStyle w:val="ListBullet"/>
      </w:pPr>
      <w:r>
        <w:rPr>
          <w:rFonts w:eastAsia="微软雅黑"/>
          <w:rFonts w:ascii="微软雅黑" w:hAnsi="微软雅黑"/>
          <w:b w:val="0"/>
          <w:sz w:val="20"/>
        </w:rPr>
        <w:t>https://upr-info.org/sites/default/files/documents/2015-10/a_hrc_wg.6_23_npl_1_cn.pdf</w:t>
      </w:r>
    </w:p>
    <w:p>
      <w:pPr>
        <w:pStyle w:val="ListBullet"/>
      </w:pPr>
      <w:r>
        <w:rPr>
          <w:rFonts w:eastAsia="微软雅黑"/>
          <w:rFonts w:ascii="微软雅黑" w:hAnsi="微软雅黑"/>
          <w:b w:val="0"/>
          <w:sz w:val="20"/>
        </w:rPr>
        <w:t>https://www.sicomedia.com/2026/0421/56884.shtml</w:t>
      </w:r>
    </w:p>
    <w:p>
      <w:pPr>
        <w:pStyle w:val="ListBullet"/>
      </w:pPr>
      <w:r>
        <w:rPr>
          <w:rFonts w:eastAsia="微软雅黑"/>
          <w:rFonts w:ascii="微软雅黑" w:hAnsi="微软雅黑"/>
          <w:b w:val="0"/>
          <w:sz w:val="20"/>
        </w:rPr>
        <w:t>https://zh.wikipedia.org/wiki/%E5%B0%BC%E6%B3%8A%E7%88%BE%E6%95%99%E8%82%B2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代理变量：尼泊尔政府对中国机构的态度及立法动向、教育部对外语教育的监管政策变化、媒体近3年报道的中文教学争议事件、对外来文化的限制或排斥倾向、教育政策中影响中文推广的隐性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未发现尼泊尔教育政策中存在排斥中文的现象或风险。尼泊尔已有85所私立和公立学校提供中文课程，部分私立学校将其列为必修课，孔子学院协调教学。中国计划派100名教师覆盖每所公立学校。虽有部分人视中文教学为‘新殖民主义’，但无政策限制或关停事件。教育部监管政策未针对外语教育设限。媒体争议报道较少，且未导致政策变化。</w:t>
      </w:r>
    </w:p>
    <w:p>
      <w:pPr>
        <w:spacing w:before="0" w:after="80" w:lineRule="auto" w:line="276"/>
        <w:jc w:val="left"/>
      </w:pPr>
      <w:r>
        <w:rPr>
          <w:rFonts w:eastAsia="微软雅黑"/>
          <w:rFonts w:ascii="微软雅黑" w:hAnsi="微软雅黑"/>
          <w:b w:val="0"/>
          <w:sz w:val="21"/>
        </w:rPr>
        <w:t>扩展补充：尼泊尔教育部未出台限制外语教育的政策；孔子学院运营正常；媒体争议仅停留在观点层面，未引发政策变动。</w:t>
      </w:r>
    </w:p>
    <w:p>
      <w:pPr>
        <w:spacing w:before="0" w:after="80" w:lineRule="auto" w:line="276"/>
        <w:jc w:val="left"/>
      </w:pPr>
      <w:r>
        <w:rPr>
          <w:rFonts w:eastAsia="微软雅黑"/>
          <w:rFonts w:ascii="微软雅黑" w:hAnsi="微软雅黑"/>
          <w:b w:val="0"/>
          <w:sz w:val="21"/>
        </w:rPr>
        <w:t>判断：多来源一致表明尼泊尔积极推广中文教育，无政策排斥或风险事件。扩展口径下未发现任何排斥迹象。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推导：搜索未发现尼泊尔教育政策中存在排斥中文的现象或风险，无相关事件或政策记录。</w:t>
      </w:r>
    </w:p>
    <w:p>
      <w:pPr>
        <w:pStyle w:val="ListBullet"/>
      </w:pPr>
      <w:r>
        <w:rPr>
          <w:rFonts w:eastAsia="微软雅黑"/>
          <w:rFonts w:ascii="微软雅黑" w:hAnsi="微软雅黑"/>
          <w:b w:val="0"/>
          <w:sz w:val="20"/>
        </w:rPr>
        <w:t>依据：基于当前搜索未找到任何排斥中文的证据，但信息覆盖可能不全面，故置信度为中等。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https://upr-info.org/sites/default/files/documents/2015-10/a_hrc_wg.6_23_npl_1_cn.pdf</w:t>
      </w:r>
    </w:p>
    <w:p>
      <w:pPr>
        <w:pStyle w:val="ListBullet"/>
      </w:pPr>
      <w:r>
        <w:rPr>
          <w:rFonts w:eastAsia="微软雅黑"/>
          <w:rFonts w:ascii="微软雅黑" w:hAnsi="微软雅黑"/>
          <w:b w:val="0"/>
          <w:sz w:val="20"/>
        </w:rPr>
        <w:t>https://docs.un.org/zh/CRPD/C/NPL/CO/1</w:t>
      </w:r>
    </w:p>
    <w:p>
      <w:pPr>
        <w:pStyle w:val="ListBullet"/>
      </w:pPr>
      <w:r>
        <w:rPr>
          <w:rFonts w:eastAsia="微软雅黑"/>
          <w:rFonts w:ascii="微软雅黑" w:hAnsi="微软雅黑"/>
          <w:b w:val="0"/>
          <w:sz w:val="20"/>
        </w:rPr>
        <w:t>https://www.unesco.org/zh/articles/shixueertongshulianglianxu7nianpanshengda273yi</w:t>
      </w:r>
    </w:p>
    <w:p>
      <w:pPr>
        <w:pStyle w:val="ListBullet"/>
      </w:pPr>
      <w:r>
        <w:rPr>
          <w:rFonts w:eastAsia="微软雅黑"/>
          <w:rFonts w:ascii="微软雅黑" w:hAnsi="微软雅黑"/>
          <w:b w:val="0"/>
          <w:sz w:val="20"/>
        </w:rPr>
        <w:t>https://www.voachinese.com/a/some-nepalis-uneasy-over-influx-of-chinese-language-teachers-20191019/5130271.html</w:t>
      </w:r>
    </w:p>
    <w:p>
      <w:pPr>
        <w:pStyle w:val="ListBullet"/>
      </w:pPr>
      <w:r>
        <w:rPr>
          <w:rFonts w:eastAsia="微软雅黑"/>
          <w:rFonts w:ascii="微软雅黑" w:hAnsi="微软雅黑"/>
          <w:b w:val="0"/>
          <w:sz w:val="20"/>
        </w:rPr>
        <w:t>https://h5.ifeng.com/c/vivoArticle/v002axKysMxOOHNHsJcdfoWGe1pZ99T0To9KhiJjjEDy48c__?isNews=1&amp;showComments=0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https://nsc.hueb.edu.cn/1.pdf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https://www.crggcn.com/skwx_crgg/c_expert?AuthorID=170300983&amp;SiteID=25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5-15篇</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基于扩展检索策略下的部分数据库返回结果及定性分析推断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维度复合评估体系，对尼泊尔中文教育领域论文质量进行拟合计算。由于证据显示：1）无尼泊尔学者在SCI/SSCI、CSSCI或核心期刊发表中文教育领域论文的记录；2）跨语言引用追踪无有效数据；3）仅有的学术活动为论文集，未进入主流索引数据库。因此，论文质量拟合值极低，定性为极低。</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合成值：极低</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基于扩展口径的多维度复合评估体系，对尼泊尔中文教育领域论文质量进行拟合计算。由于证据显示：1）无尼泊尔学者在SCI/SSCI、CSSCI或核心期刊发表中文教育领域论文的记录；2）跨语言引用追踪无有效数据；3）仅有的学术活动为论文集，未进入主流索引数据库。因此，论文质量拟合值极低，定性为极低。</w:t>
      </w:r>
    </w:p>
    <w:p>
      <w:pPr>
        <w:pStyle w:val="ListBullet"/>
      </w:pPr>
      <w:r>
        <w:rPr>
          <w:rFonts w:eastAsia="微软雅黑"/>
          <w:rFonts w:ascii="微软雅黑" w:hAnsi="微软雅黑"/>
          <w:b w:val="0"/>
          <w:sz w:val="20"/>
        </w:rPr>
        <w:t>依据：所有搜索渠道均未发现尼泊尔学者在高质量期刊发表中文教育领域论文的证据，仅有一份会议论文集，无法支撑任何量化数值，故定性为极低。</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https://www.ci.cn/en/site/1361002000/kyxw/78e5ab23-6640-4dbf-bb23-0710aa8232b3</w:t>
      </w:r>
    </w:p>
    <w:p>
      <w:pPr>
        <w:pStyle w:val="ListBullet"/>
      </w:pPr>
      <w:r>
        <w:rPr>
          <w:rFonts w:eastAsia="微软雅黑"/>
          <w:rFonts w:ascii="微软雅黑" w:hAnsi="微软雅黑"/>
          <w:b w:val="0"/>
          <w:sz w:val="20"/>
        </w:rPr>
        <w:t>https://www.sicomedia.com/2025/0510/48577.shtml</w:t>
      </w:r>
    </w:p>
    <w:p>
      <w:pPr>
        <w:pStyle w:val="ListBullet"/>
      </w:pPr>
      <w:r>
        <w:rPr>
          <w:rFonts w:eastAsia="微软雅黑"/>
          <w:rFonts w:ascii="微软雅黑" w:hAnsi="微软雅黑"/>
          <w:b w:val="0"/>
          <w:sz w:val="20"/>
        </w:rPr>
        <w:t>https://www.jfdaily.com/news/detail?id=908536</w:t>
      </w:r>
    </w:p>
    <w:p>
      <w:pPr>
        <w:pStyle w:val="ListBullet"/>
      </w:pPr>
      <w:r>
        <w:rPr>
          <w:rFonts w:eastAsia="微软雅黑"/>
          <w:rFonts w:ascii="微软雅黑" w:hAnsi="微软雅黑"/>
          <w:b w:val="0"/>
          <w:sz w:val="20"/>
        </w:rPr>
        <w:t>https://nsc.hueb.edu.cn/info/1065/1282.htm</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https://ayyywz.com/www/dl/gbdqzn/upload/niboer.pdf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https://nast.gov.np/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代理变量：间接推导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基于证据中的相关线索和扩展推断：1) 搜索结果无直接名单显示尼泊尔学者担任指定中文核心期刊编委；2) 相关线索表明尼泊尔学者参与汉语教材编写等周边活动，但未链接到核心期刊编委身份；3) 扩展推断显示中文核心期刊（环境生物学等领域）中尼泊尔学者占比近零，推导此类国际学者在中文核心期刊编委中罕见；4) 其他结果均无关。综合推导尼泊尔学者在扩展口径下可能极少数（0或1）参与，但无确切数字。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https://docs.lib.purdue.edu/cgi/viewcontent.cgi?article=1027&amp;context=lcpubs</w:t>
      </w:r>
    </w:p>
    <w:p>
      <w:pPr>
        <w:pStyle w:val="ListBullet"/>
      </w:pPr>
      <w:r>
        <w:rPr>
          <w:rFonts w:eastAsia="微软雅黑"/>
          <w:rFonts w:ascii="微软雅黑" w:hAnsi="微软雅黑"/>
          <w:b w:val="0"/>
          <w:sz w:val="20"/>
        </w:rPr>
        <w:t>https://unesdoc.unesco.org/ark:/48223/pf0000235431_chi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https://cj.sina.cn/articles/view/5814158408/15a8d044802701yhg4?froms=ggmp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https://www.sky.yn.gov.cn/UpLoadFiles/File/2025-12-15/RGPPG6Q4LQ5_%E5%96%9C%E9%A9%AC%E6%8B%89%E9%9B%85%E5%8C%BA%E5%9F%9F%E7%A0%94%E7%A9%B6.pdf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描述的尼泊尔本土化中文教材开发处于起步阶段、标准化教材有限、未见具体编写项目报道、但存在研讨会建议和间接支持等情况，推断实际开发数量极少但非零。证据显示：1）特里布文大学和加德满都大学未见主导编写项目；2）孔子学院提供平台但无明确教材编写记录；3）研讨会提出分年级设计教材建议但未确认实施；4）培训间接促进教材应用但无具体项目细节；5）学校中文课程教材本土化滞后。综合判断，可能存在少量非正式讲义或辅助材料，但无规模化开发，故给出0-5的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https://www.hwjyw.com/qwarticle/392476.html</w:t>
      </w:r>
    </w:p>
    <w:p>
      <w:pPr>
        <w:pStyle w:val="ListBullet"/>
      </w:pPr>
      <w:r>
        <w:rPr>
          <w:rFonts w:eastAsia="微软雅黑"/>
          <w:rFonts w:ascii="微软雅黑" w:hAnsi="微软雅黑"/>
          <w:b w:val="0"/>
          <w:sz w:val="20"/>
        </w:rPr>
        <w:t>https://www.scribd.com/document/458372300/%E5%B0%BC%E6%B3%8A%E5%B0%94%E4%B8%AD%E5%B0%8F%E5%AD%A6%E6%B1%89%E8%AF%AD%E6%95%99%E5%AD%A6%E7%8E%B0%E7%8A%B6%E7%A0%94%E7%A9%B6-pdf</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教材数量进行估算：1）尼泊尔本地出版的《简单读写汉字》1本；2）中国出版的12本双语图书（2018年）；3）中国为尼泊尔学习者编写的听力教材1本；4）2020年提及的多本双语图书（未给出具体数量，按至少1本计）。此外，考虑到扩展口径包含电子版、计划出版教材等未明确计数的类别，以及可能存在未在证据中列出的教材，采用区间值15-20本作为合理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http://news.xinhuanet.com/world/2015-01/24/c_127416422.htm</w:t>
      </w:r>
    </w:p>
    <w:p>
      <w:pPr>
        <w:pStyle w:val="ListBullet"/>
      </w:pPr>
      <w:r>
        <w:rPr>
          <w:rFonts w:eastAsia="微软雅黑"/>
          <w:rFonts w:ascii="微软雅黑" w:hAnsi="微软雅黑"/>
          <w:b w:val="0"/>
          <w:sz w:val="20"/>
        </w:rPr>
        <w:t>http://mil.news.sina.com.cn/2018-04-23/doc-ifznefkh9784699.shtml</w:t>
      </w:r>
    </w:p>
    <w:p>
      <w:pPr>
        <w:pStyle w:val="ListBullet"/>
      </w:pPr>
      <w:r>
        <w:rPr>
          <w:rFonts w:eastAsia="微软雅黑"/>
          <w:rFonts w:ascii="微软雅黑" w:hAnsi="微软雅黑"/>
          <w:b w:val="0"/>
          <w:sz w:val="20"/>
        </w:rPr>
        <w:t>http://www.cctss.org/article/headlines/5887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https://cn.ichei.org/news/information/104.html</w:t>
      </w:r>
    </w:p>
    <w:p>
      <w:pPr>
        <w:pStyle w:val="ListBullet"/>
      </w:pPr>
      <w:r>
        <w:rPr>
          <w:rFonts w:eastAsia="微软雅黑"/>
          <w:rFonts w:ascii="微软雅黑" w:hAnsi="微软雅黑"/>
          <w:b w:val="0"/>
          <w:sz w:val="20"/>
        </w:rPr>
        <w:t>https://unesdoc.unesco.org/ark:/48223/pf0000394970_chi</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https://careers.reandabernardi.com/assets/compro/assets/frontend_assets/doc/pub_con/1563503474_pubCon_Nepal.pdf</w:t>
      </w:r>
    </w:p>
    <w:p>
      <w:pPr>
        <w:pStyle w:val="ListBullet"/>
      </w:pPr>
      <w:r>
        <w:rPr>
          <w:rFonts w:eastAsia="微软雅黑"/>
          <w:rFonts w:ascii="微软雅黑" w:hAnsi="微软雅黑"/>
          <w:b w:val="0"/>
          <w:sz w:val="20"/>
        </w:rPr>
        <w:t>https://zh.wikipedia.org/wiki/%E5%B0%BC%E6%B3%8A%E5%B0%94</w:t>
      </w:r>
    </w:p>
    <w:p>
      <w:pPr>
        <w:pStyle w:val="ListBullet"/>
      </w:pPr>
      <w:r>
        <w:rPr>
          <w:rFonts w:eastAsia="微软雅黑"/>
          <w:rFonts w:ascii="微软雅黑" w:hAnsi="微软雅黑"/>
          <w:b w:val="0"/>
          <w:sz w:val="20"/>
        </w:rPr>
        <w:t>https://ayyywz.com/www/dl/gbdqzn/upload/niboer.pdf</w:t>
      </w:r>
    </w:p>
    <w:p>
      <w:pPr>
        <w:pStyle w:val="ListBullet"/>
      </w:pPr>
      <w:r>
        <w:rPr>
          <w:rFonts w:eastAsia="微软雅黑"/>
          <w:rFonts w:ascii="微软雅黑" w:hAnsi="微软雅黑"/>
          <w:b w:val="0"/>
          <w:sz w:val="20"/>
        </w:rPr>
        <w:t>http://www.mofcom.gov.cn/dl/gbdqzn/upload/niboer.pdf</w:t>
      </w:r>
    </w:p>
    <w:p>
      <w:pPr>
        <w:pStyle w:val="ListBullet"/>
      </w:pPr>
      <w:r>
        <w:rPr>
          <w:rFonts w:eastAsia="微软雅黑"/>
          <w:rFonts w:ascii="微软雅黑" w:hAnsi="微软雅黑"/>
          <w:b w:val="0"/>
          <w:sz w:val="20"/>
        </w:rPr>
        <w:t>https://www.sky.yn.gov.cn/UpLoadFiles/File/2024-01-18/HKAPJADQB38_%E6%97%8F%E7%BE%A4%E4%BC%A0%E7%BB%9F%E4%B8%8E%E7%A4%BE%E4%BC%9A%E9%80%82%E5%BA%94%E2%80%94%E2%80%94%E5%B0%BC%E6%B3%8A%E5%B0%94%E6%B5%B7%E5%A4%96%E8%97%8F%E4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根据扩展口径，从证据中识别出以下符合条件的平台/网站：1) 特里布文大学孔子学院（尼泊尔教育机构运营的中文学习平台）；2) 熊猫阅读平台（针对尼泊尔学习者设计的中文课程平台）；3) 52中文海外培训基地（尼泊尔本土机构独立开发/运营的中文学习网站）；4) LeanIn国际义工旅行-尼泊尔博卡拉中文教学项目（尼泊尔非政府组织支持的中文学习项目网站）。证据中明确提及这4个实体符合扩展口径的定义，且无其他符合条件的平台被提及。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https://ci.tu.edu.np/news/637</w:t>
      </w:r>
    </w:p>
    <w:p>
      <w:pPr>
        <w:pStyle w:val="ListBullet"/>
      </w:pPr>
      <w:r>
        <w:rPr>
          <w:rFonts w:eastAsia="微软雅黑"/>
          <w:rFonts w:ascii="微软雅黑" w:hAnsi="微软雅黑"/>
          <w:b w:val="0"/>
          <w:sz w:val="20"/>
        </w:rPr>
        <w:t>https://tradeinservices.mofcom.gov.cn/article/yyfw/yyfwzjplgd/202501/171752.html</w:t>
      </w:r>
    </w:p>
    <w:p>
      <w:pPr>
        <w:pStyle w:val="ListBullet"/>
      </w:pPr>
      <w:r>
        <w:rPr>
          <w:rFonts w:eastAsia="微软雅黑"/>
          <w:rFonts w:ascii="微软雅黑" w:hAnsi="微软雅黑"/>
          <w:b w:val="0"/>
          <w:sz w:val="20"/>
        </w:rPr>
        <w:t>http://www.52chinese.cn/Home/Page/index/cid/35.html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代理变量：国际平台本地化版本数量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根据扩展口径，统计近3年（2022-2025）在Google Play、Apple App Store中可下载、支持尼泊尔语界面或针对尼泊尔用户的中文学习应用。证据显示有Nepali Chinese Translator、Ling、Mondly、uTalk、MasterAnyLanguage等5款明确支持尼泊尔语-中文学习的国际平台本地化版本，另有2-5款辅助工具（如学习尼泊尔语应用）可间接用于中</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合成值：5-10</w:t>
      </w:r>
    </w:p>
    <w:p>
      <w:pPr>
        <w:pStyle w:val="ListBullet"/>
      </w:pPr>
      <w:r>
        <w:rPr>
          <w:rFonts w:eastAsia="微软雅黑"/>
          <w:rFonts w:ascii="微软雅黑" w:hAnsi="微软雅黑"/>
          <w:b w:val="0"/>
          <w:sz w:val="20"/>
        </w:rPr>
        <w:t>代理：国际平台本地化版本数量</w:t>
      </w:r>
    </w:p>
    <w:p>
      <w:pPr>
        <w:pStyle w:val="ListBullet"/>
      </w:pPr>
      <w:r>
        <w:rPr>
          <w:rFonts w:eastAsia="微软雅黑"/>
          <w:rFonts w:ascii="微软雅黑" w:hAnsi="微软雅黑"/>
          <w:b w:val="0"/>
          <w:sz w:val="20"/>
        </w:rPr>
        <w:t>推导：根据扩展口径，统计近3年（2022-2025）在Google Play、Apple App Store中可下载、支持尼泊尔语界面或针对尼泊尔用户的中文学习应用。证据显示有Nepali Chinese Translator、Ling、Mondly、uTalk、MasterAnyLanguage等5款明确支持尼泊尔语-中文学习的国际平台本地化版本，另有2-5款辅助工具（如学习尼泊尔语应用）可间接用于中文学习，但非纯中文学习应用。本地开发应用未见证据。因此估计总数为5-10个。</w:t>
      </w:r>
    </w:p>
    <w:p>
      <w:pPr>
        <w:pStyle w:val="ListBullet"/>
      </w:pPr>
      <w:r>
        <w:rPr>
          <w:rFonts w:eastAsia="微软雅黑"/>
          <w:rFonts w:ascii="微软雅黑" w:hAnsi="微软雅黑"/>
          <w:b w:val="0"/>
          <w:sz w:val="20"/>
        </w:rPr>
        <w:t>依据：证据主要来自Perplexity搜索，列出了5款明确支持尼泊尔语-中文学习的应用，但部分应用（如Mondly、uTalk）主要面向尼泊尔语学习而非中文学习，且本地应用商店数据缺失。因此采用区间估计，反映不确定性。</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https://play.google.com/store/apps/details?id=com.happydev4u.nepalichinesetranslator&amp;hl=zh_HK</w:t>
      </w:r>
    </w:p>
    <w:p>
      <w:pPr>
        <w:pStyle w:val="ListBullet"/>
      </w:pPr>
      <w:r>
        <w:rPr>
          <w:rFonts w:eastAsia="微软雅黑"/>
          <w:rFonts w:ascii="微软雅黑" w:hAnsi="微软雅黑"/>
          <w:b w:val="0"/>
          <w:sz w:val="20"/>
        </w:rPr>
        <w:t>https://play.google.com/store/apps/details?id=com.simyasolutions.ling.ne&amp;hl=zh</w:t>
      </w:r>
    </w:p>
    <w:p>
      <w:pPr>
        <w:pStyle w:val="ListBullet"/>
      </w:pPr>
      <w:r>
        <w:rPr>
          <w:rFonts w:eastAsia="微软雅黑"/>
          <w:rFonts w:ascii="微软雅黑" w:hAnsi="微软雅黑"/>
          <w:b w:val="0"/>
          <w:sz w:val="20"/>
        </w:rPr>
        <w:t>https://apps.apple.com/us/app/mondly-%E5%AD%A6%E4%B9%A041%E7%A7%8D%E8%AF%AD%E8%A8%80/id987873536?l=zh-Hans-CN&amp;platform=watch</w:t>
      </w:r>
    </w:p>
    <w:p>
      <w:pPr>
        <w:pStyle w:val="ListBullet"/>
      </w:pPr>
      <w:r>
        <w:rPr>
          <w:rFonts w:eastAsia="微软雅黑"/>
          <w:rFonts w:ascii="微软雅黑" w:hAnsi="微软雅黑"/>
          <w:b w:val="0"/>
          <w:sz w:val="20"/>
        </w:rPr>
        <w:t>https://play.google.com/store/apps/details?id=com.eurotalk.utalk.nepali&amp;hl=zh_HK</w:t>
      </w:r>
    </w:p>
    <w:p>
      <w:pPr>
        <w:pStyle w:val="ListBullet"/>
      </w:pPr>
      <w:r>
        <w:rPr>
          <w:rFonts w:eastAsia="微软雅黑"/>
          <w:rFonts w:ascii="微软雅黑" w:hAnsi="微软雅黑"/>
          <w:b w:val="0"/>
          <w:sz w:val="20"/>
        </w:rPr>
        <w:t>https://www.masteranylanguage.com/c/b/en/28-Chinese-Nepali-Apps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https://play.google.com/store/apps/details?id=com.happydev4u.nepalichinesetranslator&amp;hl=zh_HK</w:t>
      </w:r>
    </w:p>
    <w:p>
      <w:pPr>
        <w:pStyle w:val="ListBullet"/>
      </w:pPr>
      <w:r>
        <w:rPr>
          <w:rFonts w:eastAsia="微软雅黑"/>
          <w:rFonts w:ascii="微软雅黑" w:hAnsi="微软雅黑"/>
          <w:b w:val="0"/>
          <w:sz w:val="20"/>
        </w:rPr>
        <w:t>https://play.google.com/store/apps/details?id=com.simyasolutions.ling.ne&amp;hl=zh</w:t>
      </w:r>
    </w:p>
    <w:p>
      <w:pPr>
        <w:pStyle w:val="ListBullet"/>
      </w:pPr>
      <w:r>
        <w:rPr>
          <w:rFonts w:eastAsia="微软雅黑"/>
          <w:rFonts w:ascii="微软雅黑" w:hAnsi="微软雅黑"/>
          <w:b w:val="0"/>
          <w:sz w:val="20"/>
        </w:rPr>
        <w:t>https://apps.apple.com/us/app/mondly-%E5%AD%A6%E4%B9%A041%E7%A7%8D%E8%AF%AD%E8%A8%80/id987873536?l=zh-Hans-CN&amp;platform=watch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https://www.yidaiyilu.gov.cn/p/900.html</w:t>
      </w:r>
    </w:p>
    <w:p>
      <w:pPr>
        <w:pStyle w:val="ListBullet"/>
      </w:pPr>
      <w:r>
        <w:rPr>
          <w:rFonts w:eastAsia="微软雅黑"/>
          <w:rFonts w:ascii="微软雅黑" w:hAnsi="微软雅黑"/>
          <w:b w:val="0"/>
          <w:sz w:val="20"/>
        </w:rPr>
        <w:t>http://www.cctss.org/article/headlines/7584</w:t>
      </w:r>
    </w:p>
    <w:p>
      <w:pPr>
        <w:pStyle w:val="ListBullet"/>
      </w:pPr>
      <w:r>
        <w:rPr>
          <w:rFonts w:eastAsia="微软雅黑"/>
          <w:rFonts w:ascii="微软雅黑" w:hAnsi="微软雅黑"/>
          <w:b w:val="0"/>
          <w:sz w:val="20"/>
        </w:rPr>
        <w:t>https://www.scribd.com/document/457322698/%E5%B0%BC%E6%B3%8A%E5%B0%94%E4%B8%AD%E5%B0%8F%E5%AD%A6%E6%B1%89%E8%AF%AD%E6%95%99%E5%AD%A6%E7%8E%B0%E7%8A%B6%E7%A0%94%E7%A9%B6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https://www.lib.eduhk.hk/pure-data/pub/201809527/201809527_1.pdf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http://old2022.bulletin.cas.cn/publish_article/2023/9/20230911.htm</w:t>
      </w:r>
    </w:p>
    <w:p>
      <w:pPr>
        <w:pStyle w:val="ListBullet"/>
      </w:pPr>
      <w:r>
        <w:rPr>
          <w:rFonts w:eastAsia="微软雅黑"/>
          <w:rFonts w:ascii="微软雅黑" w:hAnsi="微软雅黑"/>
          <w:b w:val="0"/>
          <w:sz w:val="20"/>
        </w:rPr>
        <w:t>http://www.mofcom.gov.cn/dl/gbdqzn/upload/niboer.pdf</w:t>
      </w:r>
    </w:p>
    <w:p>
      <w:pPr>
        <w:pStyle w:val="ListBullet"/>
      </w:pPr>
      <w:r>
        <w:rPr>
          <w:rFonts w:eastAsia="微软雅黑"/>
          <w:rFonts w:ascii="微软雅黑" w:hAnsi="微软雅黑"/>
          <w:b w:val="0"/>
          <w:sz w:val="20"/>
        </w:rPr>
        <w:t>http://ydyl.china.com.cn/2023-10/18/content_116757067.shtml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https://www.scribd.com/document/458372300/%E5%B0%BC%E6%B3%8A%E5%B0%94%E4%B8%AD%E5%B0%8F%E5%AD%A6%E6%B1%89%E8%AF%AD%E6%95%99%E5%AD%A6%E7%8E%B0%E7%8A%B6%E7%A0%94%E7%A9%B6-pdf</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代理变量：无直接代理变量，基于公开信息推断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尼泊尔大学拨款委员会（UGC）名单、各高校官网及学术数据库，仅加德满都大学设有汉语国际教育相关本科专业，但无明确硕士或博士学位点记录。其他高校未发现相关学位点。因此，尼泊尔高校国际中文教育博士/硕士点数量为0。</w:t>
      </w:r>
    </w:p>
    <w:p>
      <w:pPr>
        <w:spacing w:before="0" w:after="80" w:lineRule="auto" w:line="276"/>
        <w:jc w:val="left"/>
      </w:pPr>
      <w:r>
        <w:rPr>
          <w:rFonts w:eastAsia="微软雅黑"/>
          <w:rFonts w:ascii="微软雅黑" w:hAnsi="微软雅黑"/>
          <w:b w:val="0"/>
          <w:sz w:val="21"/>
        </w:rPr>
        <w:t>扩展补充：无</w:t>
      </w:r>
    </w:p>
    <w:p>
      <w:pPr>
        <w:spacing w:before="0" w:after="80" w:lineRule="auto" w:line="276"/>
        <w:jc w:val="left"/>
      </w:pPr>
      <w:r>
        <w:rPr>
          <w:rFonts w:eastAsia="微软雅黑"/>
          <w:rFonts w:ascii="微软雅黑" w:hAnsi="微软雅黑"/>
          <w:b w:val="0"/>
          <w:sz w:val="21"/>
        </w:rPr>
        <w:t>判断：公开信息有限，未找到任何本土博硕点或联合培养项目，但可能存在未公开的留学生数据。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代理：无直接代理变量，基于公开信息推断</w:t>
      </w:r>
    </w:p>
    <w:p>
      <w:pPr>
        <w:pStyle w:val="ListBullet"/>
      </w:pPr>
      <w:r>
        <w:rPr>
          <w:rFonts w:eastAsia="微软雅黑"/>
          <w:rFonts w:ascii="微软雅黑" w:hAnsi="微软雅黑"/>
          <w:b w:val="0"/>
          <w:sz w:val="20"/>
        </w:rPr>
        <w:t>推导：经检索尼泊尔大学拨款委员会（UGC）名单、各高校官网及学术数据库，仅加德满都大学设有汉语国际教育相关本科专业，但无明确硕士或博士学位点记录。其他高校未发现相关学位点。因此，尼泊尔高校国际中文教育博士/硕士点数量为0。</w:t>
      </w:r>
    </w:p>
    <w:p>
      <w:pPr>
        <w:pStyle w:val="ListBullet"/>
      </w:pPr>
      <w:r>
        <w:rPr>
          <w:rFonts w:eastAsia="微软雅黑"/>
          <w:rFonts w:ascii="微软雅黑" w:hAnsi="微软雅黑"/>
          <w:b w:val="0"/>
          <w:sz w:val="20"/>
        </w:rPr>
        <w:t>依据：证据显示加德满都大学有汉语国际教育专业，但未明确硕士/博士点；其他高校无相关记录。由于信息可能不完整，置信度为中等。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https://portal.tu.edu.np/downloads/2025_02_03_21_36_20.pdf</w:t>
      </w:r>
    </w:p>
    <w:p>
      <w:pPr>
        <w:pStyle w:val="ListBullet"/>
      </w:pPr>
      <w:r>
        <w:rPr>
          <w:rFonts w:eastAsia="微软雅黑"/>
          <w:rFonts w:ascii="微软雅黑" w:hAnsi="微软雅黑"/>
          <w:b w:val="0"/>
          <w:sz w:val="20"/>
        </w:rPr>
        <w:t>http://m.ithc.cn:9000/article/474580</w:t>
      </w:r>
    </w:p>
    <w:p>
      <w:pPr>
        <w:pStyle w:val="ListBullet"/>
      </w:pPr>
      <w:r>
        <w:rPr>
          <w:rFonts w:eastAsia="微软雅黑"/>
          <w:rFonts w:ascii="微软雅黑" w:hAnsi="微软雅黑"/>
          <w:b w:val="0"/>
          <w:sz w:val="20"/>
        </w:rPr>
        <w:t>https://cs.mfa.gov.cn/zggmcg/ljmdd/yz_645708/nbe_647260/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Pr>
        <w:pStyle w:val="ListBullet"/>
      </w:pPr>
      <w:r>
        <w:rPr>
          <w:rFonts w:eastAsia="微软雅黑"/>
          <w:rFonts w:ascii="微软雅黑" w:hAnsi="微软雅黑"/>
          <w:b w:val="0"/>
          <w:sz w:val="20"/>
        </w:rPr>
        <w:t>http://m.ithc.cn:9000/article/474580</w:t>
      </w:r>
    </w:p>
    <w:p>
      <w:pPr>
        <w:pStyle w:val="ListBullet"/>
      </w:pPr>
      <w:r>
        <w:rPr>
          <w:rFonts w:eastAsia="微软雅黑"/>
          <w:rFonts w:ascii="微软雅黑" w:hAnsi="微软雅黑"/>
          <w:b w:val="0"/>
          <w:sz w:val="20"/>
        </w:rPr>
        <w:t>https://cs.mfa.gov.cn/zggmcg/ljmdd/yz_645708/nbe_647260/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https://www.chinanews.com.cn/dxw/2025/04-16/10400625.shtml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https://www.jfdaily.com/news/detail?id=908536</w:t>
      </w:r>
    </w:p>
    <w:p>
      <w:pPr>
        <w:pStyle w:val="ListBullet"/>
      </w:pPr>
      <w:r>
        <w:rPr>
          <w:rFonts w:eastAsia="微软雅黑"/>
          <w:rFonts w:ascii="微软雅黑" w:hAnsi="微软雅黑"/>
          <w:b w:val="0"/>
          <w:sz w:val="20"/>
        </w:rPr>
        <w:t>https://wap.chinanews.com/wap/detail/chs/zw/10537066.shtml</w:t>
      </w:r>
    </w:p>
    <w:p>
      <w:pPr>
        <w:pStyle w:val="ListBullet"/>
      </w:pPr>
      <w:r>
        <w:rPr>
          <w:rFonts w:eastAsia="微软雅黑"/>
          <w:rFonts w:ascii="微软雅黑" w:hAnsi="微软雅黑"/>
          <w:b w:val="0"/>
          <w:sz w:val="20"/>
        </w:rPr>
        <w:t>https://www.yidaiyilu.gov.cn/p/0NAHV231.html</w:t>
      </w:r>
    </w:p>
    <w:p>
      <w:pPr>
        <w:pStyle w:val="ListBullet"/>
      </w:pPr>
      <w:r>
        <w:rPr>
          <w:rFonts w:eastAsia="微软雅黑"/>
          <w:rFonts w:ascii="微软雅黑" w:hAnsi="微软雅黑"/>
          <w:b w:val="0"/>
          <w:sz w:val="20"/>
        </w:rPr>
        <w:t>https://nsc.hueb.edu.cn/info/1065/1282.htm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240（口径：数值）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https://www.hwjyw.com/qwarticle/392476.html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间接识别方案确认尼泊尔境内符合世汉理事会会员资格的组织数量。具体包括：1）两所孔子学院（加德满都大学孔子学院、特里布文大学孔子学院）作为基础会员；2）LRI孔子课堂作为合作中文教育机构；3）未发现其他明确符合扩展口径第2、3项（高校中文系/课程、中文教师协会、汉学研究机构）的机构。因此合计为3个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https://np.china-embassy.gov.cn/whhjyjl/kzxy/</w:t>
      </w:r>
    </w:p>
    <w:p>
      <w:pPr>
        <w:pStyle w:val="ListBullet"/>
      </w:pPr>
      <w:r>
        <w:rPr>
          <w:rFonts w:eastAsia="微软雅黑"/>
          <w:rFonts w:ascii="微软雅黑" w:hAnsi="微软雅黑"/>
          <w:b w:val="0"/>
          <w:sz w:val="20"/>
        </w:rPr>
        <w:t>http://www.news.cn/world/2022-08/17/c_1128920717.htm</w:t>
      </w:r>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基于扩展口径中的证据推导：1) 尼泊尔主要公立综合性大学中，特里布文大学、马亨德拉梵文大学、加德满都大学、博克拉大学、普尔阪查尔大学等5所大学可能开设中文专业/课程（证据[1]提及）；2) 尼泊尔高等教育机构总数基于外交部2023年数据约13所公立机构（证据[1]），但实际总数包括私立机构可能超过100所（证据[1]历史估计）。采用保守估计：以公立机构13所为分母，5所开设中文课程为分子，计算得5÷13≈38.5%，但此值高估；考虑到私立机构多数未开设中文专业，调整分母为实际总数约130所（历史估计），分子保持5所，得5÷130≈3.8%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https://www.mfa.gov.cn/web/gjhdq_676201/gj_676203/yz_676205/1206_676812/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https://m.hujiang.com/th/p710424/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http://www.news.cn/world/2022-08/17/c_1128920717.htm</w:t>
      </w:r>
    </w:p>
    <w:p>
      <w:pPr>
        <w:pStyle w:val="ListBullet"/>
      </w:pPr>
      <w:r>
        <w:rPr>
          <w:rFonts w:eastAsia="微软雅黑"/>
          <w:rFonts w:ascii="微软雅黑" w:hAnsi="微软雅黑"/>
          <w:b w:val="0"/>
          <w:sz w:val="20"/>
        </w:rPr>
        <w:t>http://world.people.com.cn/n1/2023/0711/c1002-40033069.html</w:t>
      </w:r>
    </w:p>
    <w:p>
      <w:pPr>
        <w:pStyle w:val="ListBullet"/>
      </w:pPr>
      <w:r>
        <w:rPr>
          <w:rFonts w:eastAsia="微软雅黑"/>
          <w:rFonts w:ascii="微软雅黑" w:hAnsi="微软雅黑"/>
          <w:b w:val="0"/>
          <w:sz w:val="20"/>
        </w:rPr>
        <w:t>https://ci.cn/en/jphd/11a27a02-350a-4368-9156-2495b8864c3a</w:t>
      </w:r>
    </w:p>
    <w:p>
      <w:pPr>
        <w:pStyle w:val="ListBullet"/>
      </w:pPr>
      <w:r>
        <w:rPr>
          <w:rFonts w:eastAsia="微软雅黑"/>
          <w:rFonts w:ascii="微软雅黑" w:hAnsi="微软雅黑"/>
          <w:b w:val="0"/>
          <w:sz w:val="20"/>
        </w:rPr>
        <w:t>https://ci.cn/en/jphd/953ece93-6cd2-4040-87af-70e08e0a9371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https://nsc.hueb.edu.cn/info/1065/1282.htm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https://np.china-embassy.gov.cn/chn/sgjs/dszyjhjhd/201807/t20180718_2038974.htm</w:t>
      </w:r>
    </w:p>
    <w:p>
      <w:pPr>
        <w:pStyle w:val="ListBullet"/>
      </w:pPr>
      <w:r>
        <w:rPr>
          <w:rFonts w:eastAsia="微软雅黑"/>
          <w:rFonts w:ascii="微软雅黑" w:hAnsi="微软雅黑"/>
          <w:b w:val="0"/>
          <w:sz w:val="20"/>
        </w:rPr>
        <w:t>https://nsc.hueb.edu.cn/info/1065/1282.htm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代理变量：机构数量统计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根据提供的证据，尼泊尔中文教育/教师协会单位包括：1. 加德满都大学孔子学院；2. 特里布文大学孔子学院；3. 加德满都大学孔子学院下设的四所孔子课堂；4. LRI孔子课堂；5. 尼泊尔中国文化教育协会；6. 尼泊尔中文教育学会；7. 维纳斯学校汉语教学点。总计8个明确提及的单位。扩展口径中提及的其他途径（如教育部注册名录、大学委员会认证名单、媒体报道、学术数据库、华人社团等）在现有证据中未提供具体新增单位数量，因此基于现有证据统计为8个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https://www.imsilkroad.com/news/p/491209.html</w:t>
      </w:r>
    </w:p>
    <w:p>
      <w:pPr>
        <w:pStyle w:val="ListBullet"/>
      </w:pPr>
      <w:r>
        <w:rPr>
          <w:rFonts w:eastAsia="微软雅黑"/>
          <w:rFonts w:ascii="微软雅黑" w:hAnsi="微软雅黑"/>
          <w:b w:val="0"/>
          <w:sz w:val="20"/>
        </w:rPr>
        <w:t>https://portal.tu.edu.np/downloads/2025_02_03_21_36_20.pdf</w:t>
      </w:r>
    </w:p>
    <w:p>
      <w:pPr>
        <w:pStyle w:val="ListBullet"/>
      </w:pPr>
      <w:r>
        <w:rPr>
          <w:rFonts w:eastAsia="微软雅黑"/>
          <w:rFonts w:ascii="微软雅黑" w:hAnsi="微软雅黑"/>
          <w:b w:val="0"/>
          <w:sz w:val="20"/>
        </w:rPr>
        <w:t>https://nsc.hueb.edu.cn/info/1065/1282.htm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0.05-0.10</w:t>
      </w:r>
    </w:p>
    <w:p/>
    <w:p>
      <w:pPr>
        <w:spacing w:before="0" w:after="80" w:lineRule="auto" w:line="276"/>
        <w:jc w:val="left"/>
      </w:pPr>
      <w:r>
        <w:rPr>
          <w:rFonts w:eastAsia="微软雅黑"/>
          <w:rFonts w:ascii="微软雅黑" w:hAnsi="微软雅黑"/>
          <w:b w:val="0"/>
          <w:sz w:val="21"/>
        </w:rPr>
        <w:t>代理变量：偏远地区中文教学点数量/偏远地区总数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基于证据中明确提及的偏远地区中文教学点（Namo Buddha创古佛学院中文课程）和志愿者分布情况，结合扩展口径数据源推断。证据显示：1）孔子学院/课堂（3个）均位于加德满都，不符合偏远标准；2）博克拉旅游汉语课程距加德满都约200km，可能接近但未明确超过偏远判定标准（直线距离&gt;200公里）；3）Namo Buddha山区佛学院课程明确位于偏远地区（距加德满都2小时车程，西藏边境附近，符合海拔&gt;2500米或偏远条件）；4）志愿者教师分布全国但具体地址有限，其中部分可能覆盖偏远地区，但无确切数量。根据尼泊尔地理和人口分布（约77个县，多数为偏远山区），保守估计偏远地区中文教学点（包括佛学院课程和可能存在的志愿者教学点）约占偏远地区总数的5%-10%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Pr>
        <w:pStyle w:val="ListBullet"/>
      </w:pPr>
      <w:r>
        <w:rPr>
          <w:rFonts w:eastAsia="微软雅黑"/>
          <w:rFonts w:ascii="微软雅黑" w:hAnsi="微软雅黑"/>
          <w:b w:val="0"/>
          <w:sz w:val="20"/>
        </w:rPr>
        <w:t>http://www.cctss.org/article/headlines/7584</w:t>
      </w:r>
    </w:p>
    <w:p>
      <w:pPr>
        <w:pStyle w:val="ListBullet"/>
      </w:pPr>
      <w:r>
        <w:rPr>
          <w:rFonts w:eastAsia="微软雅黑"/>
          <w:rFonts w:ascii="微软雅黑" w:hAnsi="微软雅黑"/>
          <w:b w:val="0"/>
          <w:sz w:val="20"/>
        </w:rPr>
        <w:t>https://dener.org/zh-hant/nipoer-zhangqihaiwaizhongwenjiaoxue/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https://portal.tu.edu.np/downloads/2025_02_03_21_36_20.pdf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https://www.mfa.gov.cn/ziliao_674904/1179_674909/201910/t20191013_9869158.shtml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http://www.mofcom.gov.cn/dl/gbdqzn/upload/niboer.pdf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http://www.scio.gov.cn/xwfb/dfxwfb/gssfbh/xz_13851/202502/t20250206_884153.html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1.15（口径：数值（亿美元））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http://www.mofcom.gov.cn/dl/gbdqzn/upload/niboer.pdf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根据扩展口径，统计了以下项目：1) 尼泊尔蓝毗尼佛教大学孔子学院（已备案正式运营）；2) 尼泊尔中国研究院（已签约揭牌）；3) 北京外国语大学尼泊尔研究中心（已揭牌）；4) 重庆建筑工程学院与尼泊尔加德满都理工学院教育合作（签署备忘录）；5) 洛阳师范学院与尼泊尔高校中文国际教育合作（筹备中）；6) 华东师范大学与尼泊尔加德满都大学合作（筹备中）；7) “汉语桥”尼泊尔教育工作者访华之旅（2023年短期培训）；8) “汉语桥”尼泊尔教育工作者访华团（2024年短期培训）；9) 国际中文教育志愿者项目（持续短期培训）。证据中未明确提及在线中文教育合作项目、尼泊尔本土高校中文专业课程引进项目、或中尼企业/非政府组织支持项目，但现有9个项目已涵盖扩展口径中的第1、2、4类合作形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https://news.blcu.edu.cn/info/1011/36018.htm</w:t>
      </w:r>
    </w:p>
    <w:p>
      <w:pPr>
        <w:pStyle w:val="ListBullet"/>
      </w:pPr>
      <w:r>
        <w:rPr>
          <w:rFonts w:eastAsia="微软雅黑"/>
          <w:rFonts w:ascii="微软雅黑" w:hAnsi="微软雅黑"/>
          <w:b w:val="0"/>
          <w:sz w:val="20"/>
        </w:rPr>
        <w:t>https://cn.chinadaily.com.cn/a/202501/13/WS6784b7c1a310b59111dad803.html</w:t>
      </w:r>
    </w:p>
    <w:p>
      <w:pPr>
        <w:pStyle w:val="ListBullet"/>
      </w:pPr>
      <w:r>
        <w:rPr>
          <w:rFonts w:eastAsia="微软雅黑"/>
          <w:rFonts w:ascii="微软雅黑" w:hAnsi="微软雅黑"/>
          <w:b w:val="0"/>
          <w:sz w:val="20"/>
        </w:rPr>
        <w:t>https://gj.nfu.edu.cn/info/1221/2401.htm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https://ayyywz.com/www/dl/gbdqzn/upload/niboer.pdf</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https://www.yidaiyilu.gov.cn/wcm.files/upload/CMSydylgw/202012/202012220418054.pdf</w:t>
      </w:r>
    </w:p>
    <w:p>
      <w:pPr>
        <w:pStyle w:val="ListBullet"/>
      </w:pPr>
      <w:r>
        <w:rPr>
          <w:rFonts w:eastAsia="微软雅黑"/>
          <w:rFonts w:ascii="微软雅黑" w:hAnsi="微软雅黑"/>
          <w:b w:val="0"/>
          <w:sz w:val="20"/>
        </w:rPr>
        <w:t>https://jwc.bfsu.edu.cn/__local/D/3A/4F/B6A703A30B3B2EF996DE3EDFB25_DAD9653B_C6FB98.pdf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http://np.mofcom.gov.cn/tpzj/art/2024/art_38877119beab43a39aa5541702fb9e8f.html</w:t>
      </w:r>
    </w:p>
    <w:p>
      <w:pPr>
        <w:pStyle w:val="ListBullet"/>
      </w:pPr>
      <w:r>
        <w:rPr>
          <w:rFonts w:eastAsia="微软雅黑"/>
          <w:rFonts w:ascii="微软雅黑" w:hAnsi="微软雅黑"/>
          <w:b w:val="0"/>
          <w:sz w:val="20"/>
        </w:rPr>
        <w:t>https://cn.chinadaily.com.cn/a/202501/13/WS6784b7c1a310b59111dad803.html</w:t>
      </w:r>
    </w:p>
    <w:p>
      <w:pPr>
        <w:pStyle w:val="ListBullet"/>
      </w:pPr>
      <w:r>
        <w:rPr>
          <w:rFonts w:eastAsia="微软雅黑"/>
          <w:rFonts w:ascii="微软雅黑" w:hAnsi="微软雅黑"/>
          <w:b w:val="0"/>
          <w:sz w:val="20"/>
        </w:rPr>
        <w:t>https://en.ichei.org/news/information/274.html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0.35中代表发言比例；尼泊尔政府与国际组织签署的双语/多语协议中中文地位；尼泊尔驻华使馆及国际组织代表处中文服务能力；尼泊尔参与的中文培训项目与国际会议）</w:t>
      </w:r>
    </w:p>
    <w:p/>
    <w:p>
      <w:pPr>
        <w:spacing w:before="0" w:after="80" w:lineRule="auto" w:line="276"/>
        <w:jc w:val="left"/>
      </w:pPr>
      <w:r>
        <w:rPr>
          <w:rFonts w:eastAsia="微软雅黑"/>
          <w:rFonts w:ascii="微软雅黑" w:hAnsi="微软雅黑"/>
          <w:b w:val="0"/>
          <w:sz w:val="21"/>
        </w:rPr>
        <w:t>代理变量：尼泊尔参与的中文主导国际组织（如上合组织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代理变量综合评估。尼泊尔在上合组织为观察员国，中文使用有限；双语协议中中文地位较低；驻华使馆提供中文服务但频率不高；中文培训项目和国际会议参与度中等。综合映射为0.35（0-1区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合成值：0.35</w:t>
      </w:r>
    </w:p>
    <w:p>
      <w:pPr>
        <w:pStyle w:val="ListBullet"/>
      </w:pPr>
      <w:r>
        <w:rPr>
          <w:rFonts w:eastAsia="微软雅黑"/>
          <w:rFonts w:ascii="微软雅黑" w:hAnsi="微软雅黑"/>
          <w:b w:val="0"/>
          <w:sz w:val="20"/>
        </w:rPr>
        <w:t>代理：尼泊尔参与的中文主导国际组织（如上合组织）中代表发言比例；尼泊尔政府与国际组织签署的双语/多语协议中中文地位；尼泊尔驻华使馆及国际组织代表处中文服务能力；尼泊尔参与的中文培训项目与国际会议</w:t>
      </w:r>
    </w:p>
    <w:p>
      <w:pPr>
        <w:pStyle w:val="ListBullet"/>
      </w:pPr>
      <w:r>
        <w:rPr>
          <w:rFonts w:eastAsia="微软雅黑"/>
          <w:rFonts w:ascii="微软雅黑" w:hAnsi="微软雅黑"/>
          <w:b w:val="0"/>
          <w:sz w:val="20"/>
        </w:rPr>
        <w:t>推导：基于扩展口径，通过代理变量综合评估。尼泊尔在上合组织为观察员国，中文使用有限；双语协议中中文地位较低；驻华使馆提供中文服务但频率不高；中文培训项目和国际会议参与度中等。综合映射为0.35（0-1区间）。</w:t>
      </w:r>
    </w:p>
    <w:p>
      <w:pPr>
        <w:pStyle w:val="ListBullet"/>
      </w:pPr>
      <w:r>
        <w:rPr>
          <w:rFonts w:eastAsia="微软雅黑"/>
          <w:rFonts w:ascii="微软雅黑" w:hAnsi="微软雅黑"/>
          <w:b w:val="0"/>
          <w:sz w:val="20"/>
        </w:rPr>
        <w:t>依据：缺乏直接数据，主要依赖代理变量和定性判断，证据不足，置信度低。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http://www.news.cn/world/20250726/375746d7c38445ee935fe33d010f2801/c.html</w:t>
      </w:r>
    </w:p>
    <w:p>
      <w:pPr>
        <w:pStyle w:val="ListBullet"/>
      </w:pPr>
      <w:r>
        <w:rPr>
          <w:rFonts w:eastAsia="微软雅黑"/>
          <w:rFonts w:ascii="微软雅黑" w:hAnsi="微软雅黑"/>
          <w:b w:val="0"/>
          <w:sz w:val="20"/>
        </w:rPr>
        <w:t>https://www.gnfccsco.com/2025-03/07/c_184711.htm</w:t>
      </w:r>
    </w:p>
    <w:p>
      <w:pPr>
        <w:pStyle w:val="ListBullet"/>
      </w:pPr>
      <w:r>
        <w:rPr>
          <w:rFonts w:eastAsia="微软雅黑"/>
          <w:rFonts w:ascii="微软雅黑" w:hAnsi="微软雅黑"/>
          <w:b w:val="0"/>
          <w:sz w:val="20"/>
        </w:rPr>
        <w:t>https://cn.chinadiplomacy.org.cn/2025-08/28/content_118046314.shtml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http://bridge.chinese.cn/c24/647/647_24260_1.html</w:t>
      </w:r>
    </w:p>
    <w:p>
      <w:pPr>
        <w:pStyle w:val="ListBullet"/>
      </w:pPr>
      <w:r>
        <w:rPr>
          <w:rFonts w:eastAsia="微软雅黑"/>
          <w:rFonts w:ascii="微软雅黑" w:hAnsi="微软雅黑"/>
          <w:b w:val="0"/>
          <w:sz w:val="20"/>
        </w:rPr>
        <w:t>http://bridge.chinese.cn/s18/652/652_24261_1.html</w:t>
      </w:r>
    </w:p>
    <w:p>
      <w:pPr>
        <w:pStyle w:val="ListBullet"/>
      </w:pPr>
      <w:r>
        <w:rPr>
          <w:rFonts w:eastAsia="微软雅黑"/>
          <w:rFonts w:ascii="微软雅黑" w:hAnsi="微软雅黑"/>
          <w:b w:val="0"/>
          <w:sz w:val="20"/>
        </w:rPr>
        <w:t>https://www.fmprc.gov.cn/web/gjhdq_676201/gj_676203/yz_676205/1206_676812/1206x2_676832/201705/t20170521_9301164.shtml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至少3（口径：数值）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http://www.news.cn/world/20250203/5a534df1cddc42d0ab7495d5f992a3ca/c.html</w:t>
      </w:r>
    </w:p>
    <w:p>
      <w:pPr>
        <w:pStyle w:val="ListBullet"/>
      </w:pPr>
      <w:r>
        <w:rPr>
          <w:rFonts w:eastAsia="微软雅黑"/>
          <w:rFonts w:ascii="微软雅黑" w:hAnsi="微软雅黑"/>
          <w:b w:val="0"/>
          <w:sz w:val="20"/>
        </w:rPr>
        <w:t>http://www.zangx.com/home/news/info/id/851/catId/42.html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w:t>
      </w:r>
    </w:p>
    <w:p/>
    <w:p>
      <w:pPr>
        <w:spacing w:before="0" w:after="80" w:lineRule="auto" w:line="276"/>
        <w:jc w:val="left"/>
      </w:pPr>
      <w:r>
        <w:rPr>
          <w:rFonts w:eastAsia="微软雅黑"/>
          <w:rFonts w:ascii="微软雅黑" w:hAnsi="微软雅黑"/>
          <w:b w:val="0"/>
          <w:sz w:val="21"/>
        </w:rPr>
        <w:t>代理变量：基于曝光案例与平台事件推导的创作规模估计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证据显示2023-2024年尼泊尔本地中文内容有限，主要案例为尼泊尔小伙儿在《中国星光大道》演唱中文歌曲的视频。2. 2023年11月至2024年尼泊尔实施抖音禁令，可能抑制了本地创作者的中文短视频传播。3. 基于禁令持续数月推算视频输出下降80%，2024年解除后中文内容占比&lt;1%。4. 结合YouTube单一案例/综艺曝光率推导，总计2023-2024年本地中文视频作品约为5-10件，主要在YouTube/Bilibili等平台零星上传。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https://www.youtube.com/watch?v=nuYeU6Q7-To</w:t>
      </w:r>
    </w:p>
    <w:p>
      <w:pPr>
        <w:pStyle w:val="ListBullet"/>
      </w:pPr>
      <w:r>
        <w:rPr>
          <w:rFonts w:eastAsia="微软雅黑"/>
          <w:rFonts w:ascii="微软雅黑" w:hAnsi="微软雅黑"/>
          <w:b w:val="0"/>
          <w:sz w:val="20"/>
        </w:rPr>
        <w:t>https://thebitjoy.com/zh/blogs/blog/tiktok-ban-nepal-what-happened-why-it-was-banned-and-why-it-back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0.15-0.25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基于扩展口径多维度加权评估：1) 课程项目类型：短期培训为主（旅游汉语、电力汉语），少量证书课程；2) 课程时长与强度：2-6个月（80小时至标准工坊模式）；3) 学员规模与覆盖范围：累计超500人，集中在加德满都及旅游城市；4) 职业技能领域：旅游（成熟）、电力（新兴），医疗/工程有潜力但无直接数据；5) 实施机构层级：大使馆+孔子学院+高校+行业协会（中尼官方主导）；6) 认证与就业：结业证书为主，就业衔接聚焦“一带一路”合作需求。综合评估，课程占比较低但呈增长趋势，主要受限于项目规模与领域集中度。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https://www.chineseteacher.org.cn/industryDynamics/detail.do?idid=18229</w:t>
      </w:r>
    </w:p>
    <w:p>
      <w:pPr>
        <w:pStyle w:val="ListBullet"/>
      </w:pPr>
      <w:r>
        <w:rPr>
          <w:rFonts w:eastAsia="微软雅黑"/>
          <w:rFonts w:ascii="微软雅黑" w:hAnsi="微软雅黑"/>
          <w:b w:val="0"/>
          <w:sz w:val="20"/>
        </w:rPr>
        <w:t>http://www.news.cn/world/20241217/071d73fe3fac4c7abf882bb64599c84a/c.html</w:t>
      </w:r>
    </w:p>
    <w:p>
      <w:pPr>
        <w:pStyle w:val="ListBullet"/>
      </w:pPr>
      <w:r>
        <w:rPr>
          <w:rFonts w:eastAsia="微软雅黑"/>
          <w:rFonts w:ascii="微软雅黑" w:hAnsi="微软雅黑"/>
          <w:b w:val="0"/>
          <w:sz w:val="20"/>
        </w:rPr>
        <w:t>https://m.chinanews.com/wap/detail/cht/zw/10537066.shtml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http://www.dzswsw.com/news/2023-06-08/2758.html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w:t>
      </w:r>
    </w:p>
    <w:p/>
    <w:p>
      <w:pPr>
        <w:spacing w:before="0" w:after="80" w:lineRule="auto" w:line="276"/>
        <w:jc w:val="left"/>
      </w:pPr>
      <w:r>
        <w:rPr>
          <w:rFonts w:eastAsia="微软雅黑"/>
          <w:rFonts w:ascii="微软雅黑" w:hAnsi="微软雅黑"/>
          <w:b w:val="0"/>
          <w:sz w:val="21"/>
        </w:rPr>
        <w:t>代理变量：定性分级评估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采用定性分级评估方法。证据显示：1）尼泊尔中资企业约60家，是中国最大外资来源国和工程承包主力，分布在工程承包、水电、公路、通讯等多个领域，表明企业基础需求存在；2）中尼经贸合作密切，2023年双边贸易18亿美元，中国是尼泊尔最大游客来源国，且已签署13个投资项目意向（涵盖水电、旅游等），隐含本地员工语言培训需求；3）但证据中缺乏中文培训机构活跃度、孔子学院数量、HSK考生人数等替代指标的具体量化数据，无法支撑“高”等级（如培训机构广泛覆盖或多项指标突出）。综合判断，企业定制化中文培训项目数处于“中”等级，反映一定需求但未达高度活跃或规模化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https://www.yidaiyilu.gov.cn/wcm.files/upload/CMSydylgw/202012/202012220418054.pdf</w:t>
      </w:r>
    </w:p>
    <w:p>
      <w:pPr>
        <w:pStyle w:val="ListBullet"/>
      </w:pPr>
      <w:r>
        <w:rPr>
          <w:rFonts w:eastAsia="微软雅黑"/>
          <w:rFonts w:ascii="微软雅黑" w:hAnsi="微软雅黑"/>
          <w:b w:val="0"/>
          <w:sz w:val="20"/>
        </w:rPr>
        <w:t>http://www.mofcom.gov.cn/dl/gbdqzn/upload/niboer.pdf</w:t>
      </w:r>
    </w:p>
    <w:p>
      <w:pPr>
        <w:pStyle w:val="ListBullet"/>
      </w:pPr>
      <w:r>
        <w:rPr>
          <w:rFonts w:eastAsia="微软雅黑"/>
          <w:rFonts w:ascii="微软雅黑" w:hAnsi="微软雅黑"/>
          <w:b w:val="0"/>
          <w:sz w:val="20"/>
        </w:rPr>
        <w:t>https://yzs.mofcom.gov.cn/yzjmhz/sbhzjk/art/2023/art_5784ec03ac5e4ba18444836013e9b5a5.html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关键事实：1）尼泊尔本土主流媒体（国家级电视台、广播电台、主要报纸、新闻网站）以尼泊尔语和英语为主，无证据显示发布中文内容；2）仅发现外部平台（如南亚网络电视）发布少量尼泊尔相关中文新闻，但非尼泊尔本土主流媒体；3）教育类中文内容仅见一例外部平台（熊猫阅读），非主流媒体发布。结合扩展口径要求（尼泊尔境内主流媒体），推断尼泊尔主流媒体中文教育类内容发布数量极低，采用保守上限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https://www.sicomedia.com/nanyaqiguo/niboerxinwen/</w:t>
      </w:r>
    </w:p>
    <w:p>
      <w:pPr>
        <w:pStyle w:val="ListBullet"/>
      </w:pPr>
      <w:r>
        <w:rPr>
          <w:rFonts w:eastAsia="微软雅黑"/>
          <w:rFonts w:ascii="微软雅黑" w:hAnsi="微软雅黑"/>
          <w:b w:val="0"/>
          <w:sz w:val="20"/>
        </w:rPr>
        <w:t>https://rsf.org/zh-hans/pays/n%C3%A9pal</w:t>
      </w:r>
    </w:p>
    <w:p>
      <w:pPr>
        <w:pStyle w:val="ListBullet"/>
      </w:pPr>
      <w:r>
        <w:rPr>
          <w:rFonts w:eastAsia="微软雅黑"/>
          <w:rFonts w:ascii="微软雅黑" w:hAnsi="微软雅黑"/>
          <w:b w:val="0"/>
          <w:sz w:val="20"/>
        </w:rPr>
        <w:t>https://www.epr.ink/news/110882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5-10万（口径：数值）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https://zh.semrush.com/trending-websites/np/mass-media</w:t>
      </w:r>
    </w:p>
    <w:p>
      <w:pPr>
        <w:pStyle w:val="ListBullet"/>
      </w:pPr>
      <w:r>
        <w:rPr>
          <w:rFonts w:eastAsia="微软雅黑"/>
          <w:rFonts w:ascii="微软雅黑" w:hAnsi="微软雅黑"/>
          <w:b w:val="0"/>
          <w:sz w:val="20"/>
        </w:rPr>
        <w:t>https://zh.semrush.com/trending-websites/global/all/</w:t>
      </w:r>
    </w:p>
    <w:p>
      <w:pPr>
        <w:pStyle w:val="ListBullet"/>
      </w:pPr>
      <w:r>
        <w:rPr>
          <w:rFonts w:eastAsia="微软雅黑"/>
          <w:rFonts w:ascii="微软雅黑" w:hAnsi="微软雅黑"/>
          <w:b w:val="0"/>
          <w:sz w:val="20"/>
        </w:rPr>
        <w:t>https://www.secrss.com/articles/10495</w:t>
      </w:r>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唯一具体案例（2012年《加德满都邮报》英语报道）及扩展口径分析推导：1）主流媒体仅发现1例相关报道（非明确双语），无其他主流媒体、地方媒体、教育机构官网或自媒体渠道的双语报道案例；2）社交媒体平台（Facebook、Twitter等）无任何双语内容数据；3）无时间动态数据（仅2012年单例）及受众互动数据（无点赞、分享、评论记录）；4）语言混合程度低（案例为英语单语，无中文版本）。结合孔子学院活动（如培训5000名学生）可能带来有限媒体曝光，但无量化比例证据，推断双语报道比例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https://nsc.hueb.edu.cn/info/1065/1282.htm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https://m.eefung.com/yanjiu/20260126162926668</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