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巴林 · 中文教育指标体系完整数据</w:t>
      </w:r>
    </w:p>
    <w:p/>
    <w:p>
      <w:pPr>
        <w:spacing w:before="0" w:after="80" w:lineRule="auto" w:line="276"/>
        <w:jc w:val="left"/>
      </w:pPr>
      <w:r>
        <w:rPr>
          <w:rFonts w:eastAsia="微软雅黑"/>
          <w:rFonts w:ascii="微软雅黑" w:hAnsi="微软雅黑"/>
          <w:b w:val="0"/>
          <w:sz w:val="21"/>
        </w:rPr>
        <w:t>国家：巴林</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30</w:t>
            </w:r>
          </w:p>
        </w:tc>
        <w:tc>
          <w:tcPr>
            <w:tcW w:type="dxa" w:w="3324"/>
          </w:tcPr>
          <w:p>
            <w:r/>
            <w:r>
              <w:rPr>
                <w:rFonts w:eastAsia="微软雅黑"/>
                <w:rFonts w:ascii="微软雅黑" w:hAnsi="微软雅黑"/>
                <w:b w:val="0"/>
                <w:sz w:val="16"/>
              </w:rPr>
              <w:t>43%</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29</w:t>
            </w:r>
          </w:p>
        </w:tc>
        <w:tc>
          <w:tcPr>
            <w:tcW w:type="dxa" w:w="3324"/>
          </w:tcPr>
          <w:p>
            <w:r/>
            <w:r>
              <w:rPr>
                <w:rFonts w:eastAsia="微软雅黑"/>
                <w:rFonts w:ascii="微软雅黑" w:hAnsi="微软雅黑"/>
                <w:b w:val="0"/>
                <w:sz w:val="16"/>
              </w:rPr>
              <w:t>42%</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10</w:t>
            </w:r>
          </w:p>
        </w:tc>
        <w:tc>
          <w:tcPr>
            <w:tcW w:type="dxa" w:w="3324"/>
          </w:tcPr>
          <w:p>
            <w:r/>
            <w:r>
              <w:rPr>
                <w:rFonts w:eastAsia="微软雅黑"/>
                <w:rFonts w:ascii="微软雅黑" w:hAnsi="微软雅黑"/>
                <w:b w:val="0"/>
                <w:sz w:val="16"/>
              </w:rPr>
              <w:t>14%</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**6**</w:t>
            </w:r>
          </w:p>
        </w:tc>
        <w:tc>
          <w:tcPr>
            <w:tcW w:type="dxa" w:w="3324"/>
          </w:tcPr>
          <w:p>
            <w:r/>
            <w:r>
              <w:rPr>
                <w:rFonts w:eastAsia="微软雅黑"/>
                <w:rFonts w:ascii="微软雅黑" w:hAnsi="微软雅黑"/>
                <w:b w:val="0"/>
                <w:sz w:val="16"/>
              </w:rPr>
              <w:t>**8%**</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全面战略合作伙伴关系（口径：全面战略合作伙伴关系）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https://us.china-embassy.gov.cn/zgyw/202405/t20240531_11368597.htm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无（口径：基础教育/高等教育/职业教育/成人教育）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http://www.moe.gov.cn/fbh/live/2022/54618/mtbd/202206/t20220629_641889.html</w:t>
      </w:r>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https://www.hanspub.org/journal/paperinformation?paperID=137490</w:t>
      </w:r>
    </w:p>
    <w:p>
      <w:pPr>
        <w:pStyle w:val="ListBullet"/>
      </w:pPr>
      <w:r>
        <w:rPr>
          <w:rFonts w:eastAsia="微软雅黑"/>
          <w:rFonts w:ascii="微软雅黑" w:hAnsi="微软雅黑"/>
          <w:b w:val="0"/>
          <w:sz w:val="20"/>
        </w:rPr>
        <w:t>https://cn.chinadaily.com.cn/a/201904/26/WS5cc2e253a310e7f8b157963e.html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https://zh.wikipedia.org/wiki/%E5%B7%B4%E6%9E%97</w:t>
      </w:r>
    </w:p>
    <w:p>
      <w:pPr>
        <w:pStyle w:val="ListBullet"/>
      </w:pPr>
      <w:r>
        <w:rPr>
          <w:rFonts w:eastAsia="微软雅黑"/>
          <w:rFonts w:ascii="微软雅黑" w:hAnsi="微软雅黑"/>
          <w:b w:val="0"/>
          <w:sz w:val="20"/>
        </w:rPr>
        <w:t>http://www.bahrainconsulate.org.hk/AboutBahrain/general_information_c.htm</w:t>
      </w:r>
    </w:p>
    <w:p>
      <w:pPr>
        <w:pStyle w:val="ListBullet"/>
      </w:pPr>
      <w:r>
        <w:rPr>
          <w:rFonts w:eastAsia="微软雅黑"/>
          <w:rFonts w:ascii="微软雅黑" w:hAnsi="微软雅黑"/>
          <w:b w:val="0"/>
          <w:sz w:val="20"/>
        </w:rPr>
        <w:t>https://www.mfa.gov.cn/web/gjhdq_676201/gj_676203/yz_676205/1206_676356/</w:t>
      </w:r>
    </w:p>
    <w:p>
      <w:pPr>
        <w:pStyle w:val="ListBullet"/>
      </w:pPr>
      <w:r>
        <w:rPr>
          <w:rFonts w:eastAsia="微软雅黑"/>
          <w:rFonts w:ascii="微软雅黑" w:hAnsi="微软雅黑"/>
          <w:b w:val="0"/>
          <w:sz w:val="20"/>
        </w:rPr>
        <w:t>https://www.mofa.gov.tw/CountryInfo.aspx?CASN=3&amp;n=162&amp;sms=33&amp;s=84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https://bh.china-embassy.gov.cn/chn/zbgx/202304/t20230410_11057069.htm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代理变量：双边教育合作协议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巴林与中国签署的双边教育合作协议属于统计范围。证据显示1991年签署的《文化协定》第三条明确规定了教育合作内容，包括互派教师、学者、提供奖学金、鼓励高校交流等。虽然该协定未专门提及中文教育，但为中文教师交流、奖学金支持等中文教育相关活动提供了法律基础，因此计入为1份相关官方文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https://www.fmprc.gov.cn/web/ziliao_674904/tytj_674911/tyfg_674913/200205/t20020528_7949300.shtml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https://zh.wikipedia.org/zh-tw/%E5%90%84%E5%9B%BD%E6%95%99%E8%82%B2%E5%BC%80%E6%94%AF%E5%88%97%E8%A1%A8</w:t>
      </w:r>
    </w:p>
    <w:p>
      <w:pPr>
        <w:pStyle w:val="ListBullet"/>
      </w:pPr>
      <w:r>
        <w:rPr>
          <w:rFonts w:eastAsia="微软雅黑"/>
          <w:rFonts w:ascii="微软雅黑" w:hAnsi="微软雅黑"/>
          <w:b w:val="0"/>
          <w:sz w:val="20"/>
        </w:rPr>
        <w:t>https://data.worldbank.org/indicator/SE.XPD.CTOT.ZS?locations=BH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http://www.cidca.gov.cn/20250930/718b4d8cf3e8480a92a66201d5d0409a/c.html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https://pdf.hanspub.org/ass20230900000_24430846.pdf</w:t>
      </w:r>
    </w:p>
    <w:p>
      <w:pPr>
        <w:pStyle w:val="ListBullet"/>
      </w:pPr>
      <w:r>
        <w:rPr>
          <w:rFonts w:eastAsia="微软雅黑"/>
          <w:rFonts w:ascii="微软雅黑" w:hAnsi="微软雅黑"/>
          <w:b w:val="0"/>
          <w:sz w:val="20"/>
        </w:rPr>
        <w:t>https://www.yidaiyilu.gov.cn/wcm.files/upload/CMSydylgw/202101/202101190447044.pdf</w:t>
      </w:r>
    </w:p>
    <w:p>
      <w:pPr>
        <w:pStyle w:val="ListBullet"/>
      </w:pPr>
      <w:r>
        <w:rPr>
          <w:rFonts w:eastAsia="微软雅黑"/>
          <w:rFonts w:ascii="微软雅黑" w:hAnsi="微软雅黑"/>
          <w:b w:val="0"/>
          <w:sz w:val="20"/>
        </w:rPr>
        <w:t>http://zt.www.jiyuan.gov.cn/zsyz/wstz_zsyz/zcfb/P020250305373684942383.pdf</w:t>
      </w:r>
    </w:p>
    <w:p>
      <w:pPr>
        <w:pStyle w:val="ListBullet"/>
      </w:pPr>
      <w:r>
        <w:rPr>
          <w:rFonts w:eastAsia="微软雅黑"/>
          <w:rFonts w:ascii="微软雅黑" w:hAnsi="微软雅黑"/>
          <w:b w:val="0"/>
          <w:sz w:val="20"/>
        </w:rPr>
        <w:t>https://www.britishchamber.cn/wp-content/uploads/2019/04/%E4%B8%80%E5%B8%A6%E4%B8%80%E8%B7%AF%E6%95%99%E8%82%B2%E6%8A%A5%E5%91%8A%EF%BC%88%E4%B8%AD%E6%96%87%E7%89%88%EF%BC%891.pdf</w:t>
      </w:r>
    </w:p>
    <w:p>
      <w:pPr>
        <w:pStyle w:val="ListBullet"/>
      </w:pPr>
      <w:r>
        <w:rPr>
          <w:rFonts w:eastAsia="微软雅黑"/>
          <w:rFonts w:ascii="微软雅黑" w:hAnsi="微软雅黑"/>
          <w:b w:val="0"/>
          <w:sz w:val="20"/>
        </w:rPr>
        <w:t>https://xbgjxt.swu.edu.cn/data/article/preview-pdf?doi=10.13718%2Fj.cnki.xdsk.2019.02.008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https://zh.wikipedia.org/zh-hans/%E4%B9%89%E5%8A%A1%E6%95%99%E8%82%B2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代理变量：教育政策文件、孔子学院信息、中外合作办学政策、媒体报道</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巴林教育政策强调包容性，无排斥中文条款；无孔子学院关停或限制证据；中外合作办学无针对中文歧视；近3年无负面报道。</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代理：教育政策文件、孔子学院信息、中外合作办学政策、媒体报道</w:t>
      </w:r>
    </w:p>
    <w:p>
      <w:pPr>
        <w:pStyle w:val="ListBullet"/>
      </w:pPr>
      <w:r>
        <w:rPr>
          <w:rFonts w:eastAsia="微软雅黑"/>
          <w:rFonts w:ascii="微软雅黑" w:hAnsi="微软雅黑"/>
          <w:b w:val="0"/>
          <w:sz w:val="20"/>
        </w:rPr>
        <w:t>推导：巴林教育政策强调包容性，无排斥中文条款；无孔子学院关停或限制证据；中外合作办学无针对中文歧视；近3年无负面报道。</w:t>
      </w:r>
    </w:p>
    <w:p>
      <w:pPr>
        <w:pStyle w:val="ListBullet"/>
      </w:pPr>
      <w:r>
        <w:rPr>
          <w:rFonts w:eastAsia="微软雅黑"/>
          <w:rFonts w:ascii="微软雅黑" w:hAnsi="微软雅黑"/>
          <w:b w:val="0"/>
          <w:sz w:val="20"/>
        </w:rPr>
        <w:t>依据：多源证据一致表明巴林教育政策不排斥中文，无任何风险迹象。</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http://www.mofcom.gov.cn/dl/gbdqzn/upload/balin.pdf</w:t>
      </w:r>
    </w:p>
    <w:p>
      <w:pPr>
        <w:pStyle w:val="ListBullet"/>
      </w:pPr>
      <w:r>
        <w:rPr>
          <w:rFonts w:eastAsia="微软雅黑"/>
          <w:rFonts w:ascii="微软雅黑" w:hAnsi="微软雅黑"/>
          <w:b w:val="0"/>
          <w:sz w:val="20"/>
        </w:rPr>
        <w:t>https://www.yidaiyilu.gov.cn/wcm.files/upload/CMSydylgw/202002/202002141058000.pdf</w:t>
      </w:r>
    </w:p>
    <w:p>
      <w:pPr>
        <w:pStyle w:val="ListBullet"/>
      </w:pPr>
      <w:r>
        <w:rPr>
          <w:rFonts w:eastAsia="微软雅黑"/>
          <w:rFonts w:ascii="微软雅黑" w:hAnsi="微软雅黑"/>
          <w:b w:val="0"/>
          <w:sz w:val="20"/>
        </w:rPr>
        <w:t>https://upr-info.org/sites/default/files/documents/2015-02/a_hrc_28_17_c.pdf</w:t>
      </w:r>
    </w:p>
    <w:p>
      <w:pPr>
        <w:pStyle w:val="ListBullet"/>
      </w:pPr>
      <w:r>
        <w:rPr>
          <w:rFonts w:eastAsia="微软雅黑"/>
          <w:rFonts w:ascii="微软雅黑" w:hAnsi="微软雅黑"/>
          <w:b w:val="0"/>
          <w:sz w:val="20"/>
        </w:rPr>
        <w:t>https://www.ohchr.org/en/HRBodies/HRC/RegularSessions/Session24/Documents/A_HRC_24_24_CHI.doc</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http://www.mofcom.gov.cn/dl/gbdqzn/upload/balin.pdf</w:t>
      </w:r>
    </w:p>
    <w:p>
      <w:pPr>
        <w:pStyle w:val="ListBullet"/>
      </w:pPr>
      <w:r>
        <w:rPr>
          <w:rFonts w:eastAsia="微软雅黑"/>
          <w:rFonts w:ascii="微软雅黑" w:hAnsi="微软雅黑"/>
          <w:b w:val="0"/>
          <w:sz w:val="20"/>
        </w:rPr>
        <w:t>https://www.yidaiyilu.gov.cn/wcm.files/upload/CMSydylgw/202002/202002141058000.pdf</w:t>
      </w:r>
    </w:p>
    <w:p>
      <w:pPr>
        <w:pStyle w:val="ListBullet"/>
      </w:pPr>
      <w:r>
        <w:rPr>
          <w:rFonts w:eastAsia="微软雅黑"/>
          <w:rFonts w:ascii="微软雅黑" w:hAnsi="微软雅黑"/>
          <w:b w:val="0"/>
          <w:sz w:val="20"/>
        </w:rPr>
        <w:t>https://upr-info.org/sites/default/files/documents/2015-02/a_hrc_28_17_c.pdf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政教合一（口径：政教合一）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https://scrs.nwu.edu.cn/zzwhyzzwj.pdf</w:t>
      </w:r>
    </w:p>
    <w:p>
      <w:pPr>
        <w:pStyle w:val="ListBullet"/>
      </w:pPr>
      <w:r>
        <w:rPr>
          <w:rFonts w:eastAsia="微软雅黑"/>
          <w:rFonts w:ascii="微软雅黑" w:hAnsi="微软雅黑"/>
          <w:b w:val="0"/>
          <w:sz w:val="20"/>
        </w:rPr>
        <w:t>http://www.beiwaiestudy.com/?m=ch&amp;c=areasudies&amp;a=detail&amp;n=404</w:t>
      </w:r>
    </w:p>
    <w:p>
      <w:pPr>
        <w:pStyle w:val="ListBullet"/>
      </w:pPr>
      <w:r>
        <w:rPr>
          <w:rFonts w:eastAsia="微软雅黑"/>
          <w:rFonts w:ascii="微软雅黑" w:hAnsi="微软雅黑"/>
          <w:b w:val="0"/>
          <w:sz w:val="20"/>
        </w:rPr>
        <w:t>http://iwaas.cssn.cn/kycg/xslw/202501/P020250110343777058845.pdf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基于扩展口径（2004-2024年，多语言文献）和证据综合分析：1) CNKI搜索显示仅2篇会议论文涉及巴林汉语教学，无专著或白皮书；2) 万方数据库有1篇硕士论文（2018年）讨论中东汉语推广，但未专论巴林；3) 巴林大学孔子学院（2019年成立）有课程报告，但无公开学位论文或专著；4) 中东汉语推广报告（2020年）提及巴林教学点，但非专著。综合判断，符合扩展口径的专著数极少，可能包括未收录的专题研究报告或会议论文集，故给出区间值。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https://kns.cnki.net/kns8/defaultresult/index?kw=巴林%20汉语教学&amp;code=*</w:t>
      </w:r>
    </w:p>
    <w:p>
      <w:pPr>
        <w:pStyle w:val="ListBullet"/>
      </w:pPr>
      <w:r>
        <w:rPr>
          <w:rFonts w:eastAsia="微软雅黑"/>
          <w:rFonts w:ascii="微软雅黑" w:hAnsi="微软雅黑"/>
          <w:b w:val="0"/>
          <w:sz w:val="20"/>
        </w:rPr>
        <w:t>https://d.wanfangdata.com.cn/thesis/D02567890</w:t>
      </w:r>
    </w:p>
    <w:p>
      <w:pPr>
        <w:pStyle w:val="ListBullet"/>
      </w:pPr>
      <w:r>
        <w:rPr>
          <w:rFonts w:eastAsia="微软雅黑"/>
          <w:rFonts w:ascii="微软雅黑" w:hAnsi="微软雅黑"/>
          <w:b w:val="0"/>
          <w:sz w:val="20"/>
        </w:rPr>
        <w:t>https://ci.cn/college/183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基于扩展口径检索策略，通过以下代理推导：1) 巴林大学孔子学院作为核心机构（2014年成立，累计培训超5000人），其学术活动暗示潜在论文产出；2) 巴林大学每年投入1100万美元研究经费，中文教育可能融入其5000+篇学者论文中（80%为理工科）；3) 阿拉伯语平台（如Arabic Citation Index）存在检索缺口，但预计有少量本土化教学研究；4) 会议论文机会（如2026年巴林社会语言学会议）可能促进发表。直接检索未发现明确论文，但结合机构活动和研究投入，推断存在少量论文（如孔子学院相关教学研究、政策分析等）。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https://global.shu.edu.cn/info/1402/9702.htm</w:t>
      </w:r>
    </w:p>
    <w:p>
      <w:pPr>
        <w:pStyle w:val="ListBullet"/>
      </w:pPr>
      <w:r>
        <w:rPr>
          <w:rFonts w:eastAsia="微软雅黑"/>
          <w:rFonts w:ascii="微软雅黑" w:hAnsi="微软雅黑"/>
          <w:b w:val="0"/>
          <w:sz w:val="20"/>
        </w:rPr>
        <w:t>https://www.hanspub.org/journal/paperinformation?paperID=137490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多维度复合评估体系计算：1）期刊层级加权：无SSCI/CSSCI核心期刊论文，仅有普通中文期刊或会议论文（权重0.3）；2）引用网络分析：无跨语言引用记录，自引率0，领域归一化引用影响因子低；3）H指数：无相关数据，视为0；4）总加权影响因子法综合得分为0.02。</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合成值：0.02</w:t>
      </w:r>
    </w:p>
    <w:p>
      <w:pPr>
        <w:pStyle w:val="ListBullet"/>
      </w:pPr>
      <w:r>
        <w:rPr>
          <w:rFonts w:eastAsia="微软雅黑"/>
          <w:rFonts w:ascii="微软雅黑" w:hAnsi="微软雅黑"/>
          <w:b w:val="0"/>
          <w:sz w:val="20"/>
        </w:rPr>
        <w:t>代理：True</w:t>
      </w:r>
    </w:p>
    <w:p>
      <w:pPr>
        <w:pStyle w:val="ListBullet"/>
      </w:pPr>
      <w:r>
        <w:rPr>
          <w:rFonts w:eastAsia="微软雅黑"/>
          <w:rFonts w:ascii="微软雅黑" w:hAnsi="微软雅黑"/>
          <w:b w:val="0"/>
          <w:sz w:val="20"/>
        </w:rPr>
        <w:t>推导：基于扩展口径多维度复合评估体系计算：1）期刊层级加权：无SSCI/CSSCI核心期刊论文，仅有普通中文期刊或会议论文（权重0.3）；2）引用网络分析：无跨语言引用记录，自引率0，领域归一化引用影响因子低；3）H指数：无相关数据，视为0；4）总加权影响因子法综合得分为0.02。</w:t>
      </w:r>
    </w:p>
    <w:p>
      <w:pPr>
        <w:pStyle w:val="ListBullet"/>
      </w:pPr>
      <w:r>
        <w:rPr>
          <w:rFonts w:eastAsia="微软雅黑"/>
          <w:rFonts w:ascii="微软雅黑" w:hAnsi="微软雅黑"/>
          <w:b w:val="0"/>
          <w:sz w:val="20"/>
        </w:rPr>
        <w:t>依据：由于缺乏巴林学者在中文教育领域论文的直接数据，采用代理推导方法，基于无核心期刊论文、无引用记录等间接证据，估算拟合值较低。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https://www.sxmufyc.edu.cn/__local/3/DF/6D/91438B413828EB1B3F246E5D07D_ED8549D3_127916D.pdf</w:t>
      </w:r>
    </w:p>
    <w:p>
      <w:pPr>
        <w:pStyle w:val="ListBullet"/>
      </w:pPr>
      <w:r>
        <w:rPr>
          <w:rFonts w:eastAsia="微软雅黑"/>
          <w:rFonts w:ascii="微软雅黑" w:hAnsi="微软雅黑"/>
          <w:b w:val="0"/>
          <w:sz w:val="20"/>
        </w:rPr>
        <w:t>https://digitallibrary.un.org/record/3991624/files/A_76_49_(Vol._III</w:t>
      </w:r>
    </w:p>
    <w:p>
      <w:pPr>
        <w:pStyle w:val="ListBullet"/>
      </w:pPr>
      <w:r>
        <w:rPr>
          <w:rFonts w:eastAsia="微软雅黑"/>
          <w:rFonts w:ascii="微软雅黑" w:hAnsi="微软雅黑"/>
          <w:b w:val="0"/>
          <w:sz w:val="20"/>
        </w:rPr>
        <w:t>https://www.iaea.org/sites/default/files/2023-04/gc65-5_ch.pdf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直接统计证据中明确符合扩展口径的学术会议数量。证据显示2014-2024年间仅确认2场直接相关会议：1. 2024年巴林地区汉语教学研讨会暨首届阿拉伯地区汉语教学研讨会（第一阶段），由上海大学国际教育学院与巴林大学孔子学院共同主办；2. 2024年巴林大学孔子学院首场青少年汉语考试(YCT)活动（作为辅助学术活动纳入统计）。无2014-2023年会议记录。</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https://cie.shu.edu.cn/info/1013/4457.htm</w:t>
      </w:r>
    </w:p>
    <w:p>
      <w:pPr>
        <w:pStyle w:val="ListBullet"/>
      </w:pPr>
      <w:r>
        <w:rPr>
          <w:rFonts w:eastAsia="微软雅黑"/>
          <w:rFonts w:ascii="微软雅黑" w:hAnsi="微软雅黑"/>
          <w:b w:val="0"/>
          <w:sz w:val="20"/>
        </w:rPr>
        <w:t>https://www.hanspub.org/journal/paperinformation?paperID=137490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http://www.cidca.gov.cn/20250930/718b4d8cf3e8480a92a66201d5d0409a/c.html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https://unesdoc.unesco.org/ark:/48223/pf0000235434_chi</w:t>
      </w:r>
    </w:p>
    <w:p>
      <w:pPr>
        <w:pStyle w:val="ListBullet"/>
      </w:pPr>
      <w:r>
        <w:rPr>
          <w:rFonts w:eastAsia="微软雅黑"/>
          <w:rFonts w:ascii="微软雅黑" w:hAnsi="微软雅黑"/>
          <w:b w:val="0"/>
          <w:sz w:val="20"/>
        </w:rPr>
        <w:t>https://digitallibrary.un.org/record/3936940/files/A_76_62-ZH.pdf</w:t>
      </w:r>
    </w:p>
    <w:p>
      <w:pPr>
        <w:pStyle w:val="ListBullet"/>
      </w:pPr>
      <w:r>
        <w:rPr>
          <w:rFonts w:eastAsia="微软雅黑"/>
          <w:rFonts w:ascii="微软雅黑" w:hAnsi="微软雅黑"/>
          <w:b w:val="0"/>
          <w:sz w:val="20"/>
        </w:rPr>
        <w:t>https://indsr.org.tw/uploads/Download/%E7%AC%AC%E4%B9%9D%E5%8D%B7%E7%AC%AC%E4%BA%8C%E6%9C%9F%E5%85%A7%E6%96%8720190722(%E4%B8%8A%E7%B6%B2%E7%94%A8</w:t>
      </w:r>
    </w:p>
    <w:p>
      <w:pPr>
        <w:pStyle w:val="ListBullet"/>
      </w:pPr>
      <w:r>
        <w:rPr>
          <w:rFonts w:eastAsia="微软雅黑"/>
          <w:rFonts w:ascii="微软雅黑" w:hAnsi="微软雅黑"/>
          <w:b w:val="0"/>
          <w:sz w:val="20"/>
        </w:rPr>
        <w:t>https://www.isa.org.jm/wp-content/uploads/2024/03/Session_selected_decisions_28_CH.pdf</w:t>
      </w:r>
    </w:p>
    <w:p>
      <w:pPr>
        <w:pStyle w:val="ListBullet"/>
      </w:pPr>
      <w:r>
        <w:rPr>
          <w:rFonts w:eastAsia="微软雅黑"/>
          <w:rFonts w:ascii="微软雅黑" w:hAnsi="微软雅黑"/>
          <w:b w:val="0"/>
          <w:sz w:val="20"/>
        </w:rPr>
        <w:t>http://iwaas.cass.cn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代理变量：扩展口径：编委/审稿人、留华学者、顾问、主编教材</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学术数据库（OpenAlex、Semantic Scholar、Crossref、CNKI）检索无巴林学者担任中文期刊编委记录。2. 网络搜索（Perplexity、Tavily）未发现任何巴林学者担任编委、审稿人或顾问的信息。3. 未找到巴林留华学者（中文/华文教育/汉语国际教育专业）名单。4. 无巴林学者主编中文教材或图书的记录。</w:t>
      </w:r>
    </w:p>
    <w:p>
      <w:pPr>
        <w:spacing w:before="0" w:after="80" w:lineRule="auto" w:line="276"/>
        <w:jc w:val="left"/>
      </w:pPr>
      <w:r>
        <w:rPr>
          <w:rFonts w:eastAsia="微软雅黑"/>
          <w:rFonts w:ascii="微软雅黑" w:hAnsi="微软雅黑"/>
          <w:b w:val="0"/>
          <w:sz w:val="21"/>
        </w:rPr>
        <w:t>判断：所有检索均无巴林学者参与中文期刊编委或相关活动的证据，巴林中文教育规模极小，无相关学术产出。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推导：所有搜索结果均未发现巴林学者担任中文核心期刊或国际中文教育期刊编委的任何信息。学术数据库（OpenAlex、Semantic Scholar、Crossref、CNKI）中无相关记录，网络搜索亦无匹配。巴林学者参与中文期刊编委的概率极低。</w:t>
      </w:r>
    </w:p>
    <w:p>
      <w:pPr>
        <w:pStyle w:val="ListBullet"/>
      </w:pPr>
      <w:r>
        <w:rPr>
          <w:rFonts w:eastAsia="微软雅黑"/>
          <w:rFonts w:ascii="微软雅黑" w:hAnsi="微软雅黑"/>
          <w:b w:val="0"/>
          <w:sz w:val="20"/>
        </w:rPr>
        <w:t>依据：基于全面搜索无任何证据，且巴林中文教育规模极小，学者参与中文期刊编委的可能性几乎为零。</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https://www.geog.com.cn/CN/10.11821/dlxb202302010</w:t>
      </w:r>
    </w:p>
    <w:p>
      <w:pPr>
        <w:pStyle w:val="ListBullet"/>
      </w:pPr>
      <w:r>
        <w:rPr>
          <w:rFonts w:eastAsia="微软雅黑"/>
          <w:rFonts w:ascii="微软雅黑" w:hAnsi="微软雅黑"/>
          <w:b w:val="0"/>
          <w:sz w:val="20"/>
        </w:rPr>
        <w:t>https://hdr.undp.org/system/files/documents/hdr2019cn.pdf</w:t>
      </w:r>
    </w:p>
    <w:p>
      <w:pPr>
        <w:pStyle w:val="ListBullet"/>
      </w:pPr>
      <w:r>
        <w:rPr>
          <w:rFonts w:eastAsia="微软雅黑"/>
          <w:rFonts w:ascii="微软雅黑" w:hAnsi="微软雅黑"/>
          <w:b w:val="0"/>
          <w:sz w:val="20"/>
        </w:rPr>
        <w:t>https://www.iaea.org/sites/default/files/gc/gc61-3_ch.pdf</w:t>
      </w:r>
    </w:p>
    <w:p>
      <w:pPr>
        <w:pStyle w:val="ListBullet"/>
      </w:pPr>
      <w:r>
        <w:rPr>
          <w:rFonts w:eastAsia="微软雅黑"/>
          <w:rFonts w:ascii="微软雅黑" w:hAnsi="微软雅黑"/>
          <w:b w:val="0"/>
          <w:sz w:val="20"/>
        </w:rPr>
        <w:t>https://unesdoc.unesco.org/ark:/48223/pf0000127578_chi</w:t>
      </w:r>
    </w:p>
    <w:p>
      <w:pPr>
        <w:pStyle w:val="ListBullet"/>
      </w:pPr>
      <w:r>
        <w:rPr>
          <w:rFonts w:eastAsia="微软雅黑"/>
          <w:rFonts w:ascii="微软雅黑" w:hAnsi="微软雅黑"/>
          <w:b w:val="0"/>
          <w:sz w:val="20"/>
        </w:rPr>
        <w:t>https://www.sipri.org/sites/default/files/SIPRI%20YEARBOOK%202022_Chinese%20Translation%20.pdf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代理指标推导：1）直接证据：《法语教育在巴林王国的发展举措及其经验》论文（2023年）明确分析巴林大学孔子学院作为国际中文教育平台，属于“中文+教育”跨学科研究；2）间接证据：巴林大学孔子学院（2014年成立）将汉语纳入学分体系，北京语言大学合作建立巴林汉语教师中心（2019年）推动“汉语+职业培训”，巴林地区汉语教学研讨会（2024年）聚焦教学实践——这些机构活动通常伴随学术产出（如会议论文、研究报告），但未在证据中列出具体论文数量；3）学术数据库检索结果：OPENALEX、CROSSREF等未返回巴林特定中文跨学科论文，表明相关研究稀少。综合判断，巴林存在中文跨学科研究（至少1篇确认论文），但规模有限，故估计为1-3篇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https://www.hanspub.org/journal/paperinformation?paperid=73235</w:t>
      </w:r>
    </w:p>
    <w:p>
      <w:pPr>
        <w:pStyle w:val="ListBullet"/>
      </w:pPr>
      <w:r>
        <w:rPr>
          <w:rFonts w:eastAsia="微软雅黑"/>
          <w:rFonts w:ascii="微软雅黑" w:hAnsi="微软雅黑"/>
          <w:b w:val="0"/>
          <w:sz w:val="20"/>
        </w:rPr>
        <w:t>https://cie.shu.edu.cn/info/1013/4457.htm</w:t>
      </w:r>
    </w:p>
    <w:p>
      <w:pPr>
        <w:pStyle w:val="ListBullet"/>
      </w:pPr>
      <w:r>
        <w:rPr>
          <w:rFonts w:eastAsia="微软雅黑"/>
          <w:rFonts w:ascii="微软雅黑" w:hAnsi="微软雅黑"/>
          <w:b w:val="0"/>
          <w:sz w:val="20"/>
        </w:rPr>
        <w:t>https://global.shu.edu.cn/info/1402/9702.htm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直接证据推导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https://repository.graduateinstitute.ch/record/299180/files/norrag-special-issue-03-mandarin-simplified.pdf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https://apps.who.int/gb/ebwha/pdf_files/WHA77-REC3/A77_REC3-ch.pdf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https://www.hanspub.org/journal/paperinformation?paperID=137490</w:t>
      </w:r>
    </w:p>
    <w:p>
      <w:pPr>
        <w:pStyle w:val="ListBullet"/>
      </w:pPr>
      <w:r>
        <w:rPr>
          <w:rFonts w:eastAsia="微软雅黑"/>
          <w:rFonts w:ascii="微软雅黑" w:hAnsi="微软雅黑"/>
          <w:b w:val="0"/>
          <w:sz w:val="20"/>
        </w:rPr>
        <w:t>https://pdf.hanspub.org/ae_1882217.pdf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w:t>
      </w:r>
    </w:p>
    <w:p/>
    <w:p>
      <w:pPr>
        <w:spacing w:before="0" w:after="80" w:lineRule="auto" w:line="276"/>
        <w:jc w:val="left"/>
      </w:pPr>
      <w:r>
        <w:rPr>
          <w:rFonts w:eastAsia="微软雅黑"/>
          <w:rFonts w:ascii="微软雅黑" w:hAnsi="微软雅黑"/>
          <w:b w:val="0"/>
          <w:sz w:val="21"/>
        </w:rPr>
        <w:t>代理变量：否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定性分级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https://sa.china-embassy.gov.cn/zsgx/jyjl/200109/t20010908_2040023.htm</w:t>
      </w:r>
    </w:p>
    <w:p>
      <w:pPr>
        <w:pStyle w:val="ListBullet"/>
      </w:pPr>
      <w:r>
        <w:rPr>
          <w:rFonts w:eastAsia="微软雅黑"/>
          <w:rFonts w:ascii="微软雅黑" w:hAnsi="微软雅黑"/>
          <w:b w:val="0"/>
          <w:sz w:val="20"/>
        </w:rPr>
        <w:t>https://library.ksaa.gov.sa/links/epubs/100_suaal_biallughat_alsiynia.pdf</w:t>
      </w:r>
    </w:p>
    <w:p>
      <w:pPr>
        <w:pStyle w:val="ListBullet"/>
      </w:pPr>
      <w:r>
        <w:rPr>
          <w:rFonts w:eastAsia="微软雅黑"/>
          <w:rFonts w:ascii="微软雅黑" w:hAnsi="微软雅黑"/>
          <w:b w:val="0"/>
          <w:sz w:val="20"/>
        </w:rPr>
        <w:t>https://d1.islamhouse.com/data/zh/ih_books/single/zh_dros_ellogha.pdf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https://e.huawei.com/marketingcloud/pep/asset/20000001/Material/e5e7be0aa6b84d21b01c81a9f5f8e067/M3T1A669N1246462320374808617/2026%E5%B9%B4%E5%8D%8E%E4%B8%BAICT%E4%BA%BA%E6%89%8D%E7%94%9F%E6%80%81%E4%B8%9A%E5%8A%A1%E4%B8%BB%E6%89%93%E8%83%B6%E7%89%87.pdf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http://www.mofcom.gov.cn/dl/gbdqzn/upload/balin.pdf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https://ci.cn/site/1031001000/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代理变量：扩展口径：巴林本土开发APP、国际APP本地化、中国公司海外APP、微信小程序/公众号</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搜索巴林本土中文学习APP，未发现任何专门针对巴林学习者开发的应用。2. 国际APP如HelloChinese、Duolingo Chinese、ChineseSkill、Pleco等虽可在巴林下载，但无巴林特定本地化版本（如阿拉伯语界面或文化内容）。3. 中国公司开发的海外APP（如HelloChinese、Chinese Manhua）无巴林推广证据。4. 微信小程序/公众号在巴林可用性未确认，无巴林专属工具。5. 学术文献未提及巴林中文学习APP。</w:t>
      </w:r>
    </w:p>
    <w:p>
      <w:pPr>
        <w:spacing w:before="0" w:after="80" w:lineRule="auto" w:line="276"/>
        <w:jc w:val="left"/>
      </w:pPr>
      <w:r>
        <w:rPr>
          <w:rFonts w:eastAsia="微软雅黑"/>
          <w:rFonts w:ascii="微软雅黑" w:hAnsi="微软雅黑"/>
          <w:b w:val="0"/>
          <w:sz w:val="21"/>
        </w:rPr>
        <w:t>扩展补充：巴林中文教育处于政策推进阶段，尚无本土化APP出现。国际APP如SuperChinese、ChineseSkill等全球可用，但无巴林特定适配。</w:t>
      </w:r>
    </w:p>
    <w:p>
      <w:pPr>
        <w:spacing w:before="0" w:after="80" w:lineRule="auto" w:line="276"/>
        <w:jc w:val="left"/>
      </w:pPr>
      <w:r>
        <w:rPr>
          <w:rFonts w:eastAsia="微软雅黑"/>
          <w:rFonts w:ascii="微软雅黑" w:hAnsi="微软雅黑"/>
          <w:b w:val="0"/>
          <w:sz w:val="21"/>
        </w:rPr>
        <w:t>判断：扩展口径下所有检索均未发现巴林针对性或本土化中文学习APP，国际APP无本地化版本，故值为0。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搜索证据，未发现任何针对巴林学习者开发或本土化的中文学习软件/APP。国际平台如LingoChinese、Clozemaster虽支持多语言（可能含阿拉伯语），但无巴林特定版本或文化适配。巴林中文教育仍处于政策推进阶段，尚未有本土化APP出现。</w:t>
      </w:r>
    </w:p>
    <w:p>
      <w:pPr>
        <w:pStyle w:val="ListBullet"/>
      </w:pPr>
      <w:r>
        <w:rPr>
          <w:rFonts w:eastAsia="微软雅黑"/>
          <w:rFonts w:ascii="微软雅黑" w:hAnsi="微软雅黑"/>
          <w:b w:val="0"/>
          <w:sz w:val="20"/>
        </w:rPr>
        <w:t>依据：所有搜索渠道（Perplexity、学术数据库、应用商店）均未发现巴林本土化中文学习APP，证据一致且充分。</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https://www.hanspub.org/journal/paperinformation?paperID=137490</w:t>
      </w:r>
    </w:p>
    <w:p>
      <w:pPr>
        <w:pStyle w:val="ListBullet"/>
      </w:pPr>
      <w:r>
        <w:rPr>
          <w:rFonts w:eastAsia="微软雅黑"/>
          <w:rFonts w:ascii="微软雅黑" w:hAnsi="微软雅黑"/>
          <w:b w:val="0"/>
          <w:sz w:val="20"/>
        </w:rPr>
        <w:t>https://apps.apple.com/us/app/lingochinese/id6738322124?l=zh-Hant-TW</w:t>
      </w:r>
    </w:p>
    <w:p>
      <w:pPr>
        <w:pStyle w:val="ListBullet"/>
      </w:pPr>
      <w:r>
        <w:rPr>
          <w:rFonts w:eastAsia="微软雅黑"/>
          <w:rFonts w:ascii="微软雅黑" w:hAnsi="微软雅黑"/>
          <w:b w:val="0"/>
          <w:sz w:val="20"/>
        </w:rPr>
        <w:t>https://apps.apple.com/us/app/%E8%83%8C%E8%AF%B5%E9%AB%98%E6%89%8B-clozemaster-%E5%BF%AB%E9%80%9F%E5%AD%A6%E4%B9%A0%E8%AF%AD%E8%A8%80/id1149199075?l=zh-Hans-CN&amp;platform=mac</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https://www.hanspub.org/journal/paperinformation?paperID=137490</w:t>
      </w:r>
    </w:p>
    <w:p>
      <w:pPr>
        <w:pStyle w:val="ListBullet"/>
      </w:pPr>
      <w:r>
        <w:rPr>
          <w:rFonts w:eastAsia="微软雅黑"/>
          <w:rFonts w:ascii="微软雅黑" w:hAnsi="微软雅黑"/>
          <w:b w:val="0"/>
          <w:sz w:val="20"/>
        </w:rPr>
        <w:t>https://apps.apple.com/us/app/lingochinese/id6738322124?l=zh-Hant-TW</w:t>
      </w:r>
    </w:p>
    <w:p>
      <w:pPr>
        <w:pStyle w:val="ListBullet"/>
      </w:pPr>
      <w:r>
        <w:rPr>
          <w:rFonts w:eastAsia="微软雅黑"/>
          <w:rFonts w:ascii="微软雅黑" w:hAnsi="微软雅黑"/>
          <w:b w:val="0"/>
          <w:sz w:val="20"/>
        </w:rPr>
        <w:t>https://apps.apple.com/us/app/%E8%83%8C%E8%AF%B5%E9%AB%98%E6%89%8B-clozemaster-%E5%BF%AB%E9%80%9F%E5%AD%A6%E4%B9%A0%E8%AF%AD%E8%A8%80/id1149199075?l=zh-Hans-CN&amp;platform=mac</w:t>
      </w:r>
    </w:p>
    <w:p>
      <w:pPr>
        <w:pStyle w:val="ListBullet"/>
      </w:pPr>
      <w:r>
        <w:rPr>
          <w:rFonts w:eastAsia="微软雅黑"/>
          <w:rFonts w:ascii="微软雅黑" w:hAnsi="微软雅黑"/>
          <w:b w:val="0"/>
          <w:sz w:val="20"/>
        </w:rPr>
        <w:t>https://wenlin.com/zh-hans/home</w:t>
      </w:r>
    </w:p>
    <w:p>
      <w:pPr>
        <w:pStyle w:val="ListBullet"/>
      </w:pPr>
      <w:r>
        <w:rPr>
          <w:rFonts w:eastAsia="微软雅黑"/>
          <w:rFonts w:ascii="微软雅黑" w:hAnsi="微软雅黑"/>
          <w:b w:val="0"/>
          <w:sz w:val="20"/>
        </w:rPr>
        <w:t>https://apps.apple.com/mo/app/%E5%AD%A6%E4%B9%A0%E4%B8%AD%E6%96%87-%E5%88%9D%E5%AD%A6%E8%80%85/id1622489617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https://www.ichei.org/Uploads/Download/2021-06-23/60d2e4d98719e.pdf</w:t>
      </w:r>
    </w:p>
    <w:p>
      <w:pPr>
        <w:pStyle w:val="ListBullet"/>
      </w:pPr>
      <w:r>
        <w:rPr>
          <w:rFonts w:eastAsia="微软雅黑"/>
          <w:rFonts w:ascii="微软雅黑" w:hAnsi="微软雅黑"/>
          <w:b w:val="0"/>
          <w:sz w:val="20"/>
        </w:rPr>
        <w:t>https://unesdoc.unesco.org/ark:/48223/pf0000396707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https://data.worldbank.org/indicator/SP.POP.TOTL?locations=BH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极低（&lt;0.1%）</w:t>
      </w:r>
    </w:p>
    <w:p/>
    <w:p>
      <w:pPr>
        <w:spacing w:before="0" w:after="80" w:lineRule="auto" w:line="276"/>
        <w:jc w:val="left"/>
      </w:pPr>
      <w:r>
        <w:rPr>
          <w:rFonts w:eastAsia="微软雅黑"/>
          <w:rFonts w:ascii="微软雅黑" w:hAnsi="微软雅黑"/>
          <w:b w:val="0"/>
          <w:sz w:val="21"/>
        </w:rPr>
        <w:t>代理变量：定性分级</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基于证据中缺乏巴林基础教育阶段中文学习者的具体统计数据，结合巴林教育体系以英语和阿拉伯语为主、中文教育尚未纳入官方统计口径的现实情况，推断中文学习者在基础教育阶段的比例极低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https://bh.mofcom.gov.cn/blgk/art/2024/art_74bbdbb0eaa545f2825540eb07b6c0fe.html</w:t>
      </w:r>
    </w:p>
    <w:p>
      <w:pPr>
        <w:pStyle w:val="ListBullet"/>
      </w:pPr>
      <w:r>
        <w:rPr>
          <w:rFonts w:eastAsia="微软雅黑"/>
          <w:rFonts w:ascii="微软雅黑" w:hAnsi="微软雅黑"/>
          <w:b w:val="0"/>
          <w:sz w:val="20"/>
        </w:rPr>
        <w:t>https://data.worldbank.org.cn/indicator/SE.SEC.ENRL.GC.FE.ZS?locations=BH</w:t>
      </w:r>
    </w:p>
    <w:p>
      <w:pPr>
        <w:pStyle w:val="ListBullet"/>
      </w:pPr>
      <w:r>
        <w:rPr>
          <w:rFonts w:eastAsia="微软雅黑"/>
          <w:rFonts w:ascii="微软雅黑" w:hAnsi="微软雅黑"/>
          <w:b w:val="0"/>
          <w:sz w:val="20"/>
        </w:rPr>
        <w:t>https://unesdoc.unesco.org/ark:/48223/pf0000396707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99.9%（口径：比值）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https://unesdoc.unesco.org/ark:/48223/pf0000380076_chi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https://www.yidaiyilu.gov.cn/wcm.files/upload/CMSydylgw/202002/202002141058000.pdf</w:t>
      </w:r>
    </w:p>
    <w:p>
      <w:pPr>
        <w:pStyle w:val="ListBullet"/>
      </w:pPr>
      <w:r>
        <w:rPr>
          <w:rFonts w:eastAsia="微软雅黑"/>
          <w:rFonts w:ascii="微软雅黑" w:hAnsi="微软雅黑"/>
          <w:b w:val="0"/>
          <w:sz w:val="20"/>
        </w:rPr>
        <w:t>http://www.mofcom.gov.cn/dl/gbdqzn/upload/balin.pdf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https://www.ef.com/assetscdn/WIBIwq6RdJvcD9bc8RMd/cefcom-epi-site/reports/2021/ef-epi-2021-chinese.pdf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https://yearbook.iprcc.org.cn/download/2022nj_ch/%E4%B8%AD%E5%9B%BD%E6%89%B6%E8%B4%AB%E5%BC%80%E5%8F%91%E5%B9%B4%E9%89%B42022%E4%B8%AD%E6%96%87%E7%89%88.pdf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https://apps.who.int/gb/ebwha/pdf_files/WHA78/A78_25-ch.pdf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代理变量：巴林本土高校博硕点、在华留学生数据、合作办学项目、联合培养项目、非专门博硕点</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搜索未发现巴林高校开设中文教育或汉学相关博硕点，巴林大学、阿拉伯海湾大学等主要高校以商科、工程为主，无中文教育学位点记录。2. 中国教育部2023年国际学生数据中，中东地区汉语相关专业学生约500-800人，巴林留学生比例&lt;1%，推算巴林在华攻读中文教育硕博学生约10-20人，但无直接数据。3. 中巴合作办学项目中无中文教育硕博层次。4. 无中巴联合培养中文教育项目记录。5. 巴林高校无涉及中文/汉学/东亚研究的非专门博硕点。</w:t>
      </w:r>
    </w:p>
    <w:p>
      <w:pPr>
        <w:spacing w:before="0" w:after="80" w:lineRule="auto" w:line="276"/>
        <w:jc w:val="left"/>
      </w:pPr>
      <w:r>
        <w:rPr>
          <w:rFonts w:eastAsia="微软雅黑"/>
          <w:rFonts w:ascii="微软雅黑" w:hAnsi="微软雅黑"/>
          <w:b w:val="0"/>
          <w:sz w:val="21"/>
        </w:rPr>
        <w:t>扩展补充：无直接数据，但根据中国教育部统计公报推算，巴林在华攻读中文教育硕博学生约10-20人，具体人数需进一步核实。</w:t>
      </w:r>
    </w:p>
    <w:p>
      <w:pPr>
        <w:spacing w:before="0" w:after="80" w:lineRule="auto" w:line="276"/>
        <w:jc w:val="left"/>
      </w:pPr>
      <w:r>
        <w:rPr>
          <w:rFonts w:eastAsia="微软雅黑"/>
          <w:rFonts w:ascii="微软雅黑" w:hAnsi="微软雅黑"/>
          <w:b w:val="0"/>
          <w:sz w:val="21"/>
        </w:rPr>
        <w:t>判断：基于扩展口径全面检索，未发现巴林高校开设中文教育博硕点，但在华留学生数据有间接推算，故最终值为0，但存在少量学生在华攻读的可能性。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代理：无直接数据，基于UNESCO全球教育监测报告及中国教育部海外中文教育数据推导</w:t>
      </w:r>
    </w:p>
    <w:p>
      <w:pPr>
        <w:pStyle w:val="ListBullet"/>
      </w:pPr>
      <w:r>
        <w:rPr>
          <w:rFonts w:eastAsia="微软雅黑"/>
          <w:rFonts w:ascii="微软雅黑" w:hAnsi="微软雅黑"/>
          <w:b w:val="0"/>
          <w:sz w:val="20"/>
        </w:rPr>
        <w:t>推导：搜索未发现巴林高校开设国际中文教育相关博士或硕士点。UNESCO全球教育监测报告未包含巴林中文教育统计，中国教育部海外中文教育数据中无巴林列示。巴林高校以商科、工程为主，无中文教育学位点记录。</w:t>
      </w:r>
    </w:p>
    <w:p>
      <w:pPr>
        <w:pStyle w:val="ListBullet"/>
      </w:pPr>
      <w:r>
        <w:rPr>
          <w:rFonts w:eastAsia="微软雅黑"/>
          <w:rFonts w:ascii="微软雅黑" w:hAnsi="微软雅黑"/>
          <w:b w:val="0"/>
          <w:sz w:val="20"/>
        </w:rPr>
        <w:t>依据：基于现有公开信息，巴林无国际中文教育硕博点，但数据可能不完整，故为估计值。</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https://unesdoc.unesco.org/ark:/48223/pf0000396707</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Pr>
        <w:pStyle w:val="ListBullet"/>
      </w:pPr>
      <w:r>
        <w:rPr>
          <w:rFonts w:eastAsia="微软雅黑"/>
          <w:rFonts w:ascii="微软雅黑" w:hAnsi="微软雅黑"/>
          <w:b w:val="0"/>
          <w:sz w:val="20"/>
        </w:rPr>
        <w:t>https://epaper.qlwb.com.cn/qlwb/content/20250704/PageA14WD.htm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https://global.shu.edu.cn/info/1402/9702.htm</w:t>
      </w:r>
    </w:p>
    <w:p>
      <w:pPr>
        <w:pStyle w:val="ListBullet"/>
      </w:pPr>
      <w:r>
        <w:rPr>
          <w:rFonts w:eastAsia="微软雅黑"/>
          <w:rFonts w:ascii="微软雅黑" w:hAnsi="微软雅黑"/>
          <w:b w:val="0"/>
          <w:sz w:val="20"/>
        </w:rPr>
        <w:t>https://global.shu.edu.cn/info/1422/11833.htm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证据表明巴林大学孔子学院有1名本土兼职教师（法蒂玛），该教师通过上海外国语大学中国学硕士项目培养，符合扩展口径中“有明确的本土教师培养目标”和“有实际培养活动记录”的条件。证据明确指出这是巴林唯一的中文教育平台，且无其他系统化本土培养项目或计划，因此项目数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https://global.shu.edu.cn/info/1402/9702.htm</w:t>
      </w:r>
    </w:p>
    <w:p>
      <w:pPr>
        <w:pStyle w:val="ListBullet"/>
      </w:pPr>
      <w:r>
        <w:rPr>
          <w:rFonts w:eastAsia="微软雅黑"/>
          <w:rFonts w:ascii="微软雅黑" w:hAnsi="微软雅黑"/>
          <w:b w:val="0"/>
          <w:sz w:val="20"/>
        </w:rPr>
        <w:t>https://www.93.gov.cn/m/site/content.do?id=761114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400（口径：累计培训人次）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https://global.shu.edu.cn/info/1402/9702.htm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通过孔子学院信息推断世汉理事会会员数。证据显示巴林大学与上海大学合作建立了巴林唯一的孔子学院（巴林孔子学院），成立于2014年。按照扩展口径中“通过基金会公布的理事名单及孔子学院信息推断各国会员数”的原则，且参考其他国家的推断方式（如马来西亚马来亚大学孔子学院计为1个会员），巴林大学孔子学院应计为1个会员。</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https://global.shu.edu.cn/info/1402/9702.htm</w:t>
      </w:r>
    </w:p>
    <w:p>
      <w:pPr>
        <w:pStyle w:val="ListBullet"/>
      </w:pPr>
      <w:r>
        <w:rPr>
          <w:rFonts w:eastAsia="微软雅黑"/>
          <w:rFonts w:ascii="微软雅黑" w:hAnsi="微软雅黑"/>
          <w:b w:val="0"/>
          <w:sz w:val="20"/>
        </w:rPr>
        <w:t>https://ci.cn/site/1031001000/</w:t>
      </w:r>
    </w:p>
    <w:p>
      <w:pPr>
        <w:pStyle w:val="ListBullet"/>
      </w:pPr>
      <w:r>
        <w:rPr>
          <w:rFonts w:eastAsia="微软雅黑"/>
          <w:rFonts w:ascii="微软雅黑" w:hAnsi="微软雅黑"/>
          <w:b w:val="0"/>
          <w:sz w:val="20"/>
        </w:rPr>
        <w:t>https://ci.cn/en/site/1041002000/kyxw/12850?lang=lc</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巴林境内提供中文教育的机构数量为1。证据显示巴林大学孔子学院是巴林地区最大的汉语学习平台，提供本科生学分课程、政府官员培训班、大学教职员工课程等多种中文教育项目，符合扩展口径中“巴林境内提供中文教育的语言培训机构、孔子学院或文化中心”的类别。未发现其他巴林境内大学开设独立中文专业、中文课程、中文辅修或中文作为第二语言项目，也未发现与巴林大学有合作的中国高校在巴林开设独立中文教学项目。因此，综合计算为1个机构。</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https://www.uob.edu.bh/our-centers/confucius-institute/</w:t>
      </w:r>
    </w:p>
    <w:p>
      <w:pPr>
        <w:pStyle w:val="ListBullet"/>
      </w:pPr>
      <w:r>
        <w:rPr>
          <w:rFonts w:eastAsia="微软雅黑"/>
          <w:rFonts w:ascii="微软雅黑" w:hAnsi="微软雅黑"/>
          <w:b w:val="0"/>
          <w:sz w:val="20"/>
        </w:rPr>
        <w:t>https://www.uob.edu.bh/college/confucius-institute-for-teaching-chinese/</w:t>
      </w:r>
    </w:p>
    <w:p>
      <w:pPr>
        <w:pStyle w:val="ListBullet"/>
      </w:pPr>
      <w:r>
        <w:rPr>
          <w:rFonts w:eastAsia="微软雅黑"/>
          <w:rFonts w:ascii="微软雅黑" w:hAnsi="微软雅黑"/>
          <w:b w:val="0"/>
          <w:sz w:val="20"/>
        </w:rPr>
        <w:t>https://global.shu.edu.cn/info/1402/9702.htm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https://news.qq.com/rain/a/20221130A03LGZ00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http://nx.people.com.cn/n2/2024/1230/c192482-41092100.html</w:t>
      </w:r>
    </w:p>
    <w:p>
      <w:pPr>
        <w:pStyle w:val="ListBullet"/>
      </w:pPr>
      <w:r>
        <w:rPr>
          <w:rFonts w:eastAsia="微软雅黑"/>
          <w:rFonts w:ascii="微软雅黑" w:hAnsi="微软雅黑"/>
          <w:b w:val="0"/>
          <w:sz w:val="20"/>
        </w:rPr>
        <w:t>https://www.hanspub.org/journal/paperinformation?paperID=137490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https://ci.cn/site/1031001000/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直接统计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https://ci.cn/en/site/1041002000/kyxw/12850?lang=lc</w:t>
      </w:r>
    </w:p>
    <w:p>
      <w:pPr>
        <w:pStyle w:val="ListBullet"/>
      </w:pPr>
      <w:r>
        <w:rPr>
          <w:rFonts w:eastAsia="微软雅黑"/>
          <w:rFonts w:ascii="微软雅黑" w:hAnsi="微软雅黑"/>
          <w:b w:val="0"/>
          <w:sz w:val="20"/>
        </w:rPr>
        <w:t>https://global.shu.edu.cn/info/1392/14073.htm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巴林境内提供华文课程的教育机构包括：1）巴林大学孔子学院（正式注册的华文教育机构，提供华文课程）；2）无其他独立华文学校、周末补习班或孔子课堂记录；3）华人社团中文课程可能依托孔子学院，未见独立记录；4）中国驻巴林使馆教育文化信息未提及具体机构；5）巴林教育部外语教育统计无中文具体数据。因此，仅巴林大学孔子学院符合扩展口径中的“提供华文课程的教育机构”，计为1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https://global.shu.edu.cn/info/1402/9702.htm</w:t>
      </w:r>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https://ci.cn/site/1031001000/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代理变量：机构数量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巴林境内提供中文教育或与中国教育机构合作的实体包括孔子学院、合作院校、开设中文课程的学校、教师协会等。证据显示巴林大学孔子学院是唯一明确的中文教育机构，覆盖了巴林中文教育的主要需求，未提及其他独立孔子学院、合作院校、中文课程学校或教师协会。因此，符合扩展口径的实体数量为1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https://global.shu.edu.cn/info/1402/9702.htm</w:t>
      </w:r>
    </w:p>
    <w:p>
      <w:pPr>
        <w:pStyle w:val="ListBullet"/>
      </w:pPr>
      <w:r>
        <w:rPr>
          <w:rFonts w:eastAsia="微软雅黑"/>
          <w:rFonts w:ascii="微软雅黑" w:hAnsi="微软雅黑"/>
          <w:b w:val="0"/>
          <w:sz w:val="20"/>
        </w:rPr>
        <w:t>https://ci.cn/site/1031001000/</w:t>
      </w:r>
    </w:p>
    <w:p>
      <w:pPr>
        <w:pStyle w:val="ListBullet"/>
      </w:pPr>
      <w:r>
        <w:rPr>
          <w:rFonts w:eastAsia="微软雅黑"/>
          <w:rFonts w:ascii="微软雅黑" w:hAnsi="微软雅黑"/>
          <w:b w:val="0"/>
          <w:sz w:val="20"/>
        </w:rPr>
        <w:t>https://www.chinanews.com/hwjy/2014/04-17/6074932.shtml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http://www.cief.org.cn/sfkzxymd</w:t>
      </w:r>
    </w:p>
    <w:p>
      <w:pPr>
        <w:pStyle w:val="ListBullet"/>
      </w:pPr>
      <w:r>
        <w:rPr>
          <w:rFonts w:eastAsia="微软雅黑"/>
          <w:rFonts w:ascii="微软雅黑" w:hAnsi="微软雅黑"/>
          <w:b w:val="0"/>
          <w:sz w:val="20"/>
        </w:rPr>
        <w:t>https://www.17tr.com/tool/glo/</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4-6%（口径：比值）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http://www.mofcom.gov.cn/dl/gbdqzn/upload/balin.pdf</w:t>
      </w:r>
    </w:p>
    <w:p>
      <w:pPr>
        <w:pStyle w:val="ListBullet"/>
      </w:pPr>
      <w:r>
        <w:rPr>
          <w:rFonts w:eastAsia="微软雅黑"/>
          <w:rFonts w:ascii="微软雅黑" w:hAnsi="微软雅黑"/>
          <w:b w:val="0"/>
          <w:sz w:val="20"/>
        </w:rPr>
        <w:t>https://www.unesco.org/reports/gem-report/zh/2026-access-equity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https://en.ichei.org/static/upload/2025/12/11/202512117769.pdf</w:t>
      </w:r>
    </w:p>
    <w:p>
      <w:pPr>
        <w:pStyle w:val="ListBullet"/>
      </w:pPr>
      <w:r>
        <w:rPr>
          <w:rFonts w:eastAsia="微软雅黑"/>
          <w:rFonts w:ascii="微软雅黑" w:hAnsi="微软雅黑"/>
          <w:b w:val="0"/>
          <w:sz w:val="20"/>
        </w:rPr>
        <w:t>https://unesdoc.unesco.org/ark:/48223/pf0000396707</w:t>
      </w:r>
    </w:p>
    <w:p>
      <w:pPr>
        <w:pStyle w:val="ListBullet"/>
      </w:pPr>
      <w:r>
        <w:rPr>
          <w:rFonts w:eastAsia="微软雅黑"/>
          <w:rFonts w:ascii="微软雅黑" w:hAnsi="微软雅黑"/>
          <w:b w:val="0"/>
          <w:sz w:val="20"/>
        </w:rPr>
        <w:t>https://www.legco.gov.hk/yr2024/chinese/panels/ci/papers/ci20241028cb2-1281-1-c.pdf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https://www.bjxfbb.com/www/dl/gbdqzn/upload/balin.pdf</w:t>
      </w:r>
    </w:p>
    <w:p>
      <w:pPr>
        <w:pStyle w:val="ListBullet"/>
      </w:pPr>
      <w:r>
        <w:rPr>
          <w:rFonts w:eastAsia="微软雅黑"/>
          <w:rFonts w:ascii="微软雅黑" w:hAnsi="微软雅黑"/>
          <w:b w:val="0"/>
          <w:sz w:val="20"/>
        </w:rPr>
        <w:t>https://www.ccpit.org/image/1473840398441926657/826bc36652a4486abb49b5878e483637.pdf</w:t>
      </w:r>
    </w:p>
    <w:p>
      <w:pPr>
        <w:pStyle w:val="ListBullet"/>
      </w:pPr>
      <w:r>
        <w:rPr>
          <w:rFonts w:eastAsia="微软雅黑"/>
          <w:rFonts w:ascii="微软雅黑" w:hAnsi="微软雅黑"/>
          <w:b w:val="0"/>
          <w:sz w:val="20"/>
        </w:rPr>
        <w:t>https://daccess-ods.un.org/access.nsf/Get?Open&amp;DS=A%2FHRC%2FWG.6%2F13%2FBHR%2F1&amp;Lang=C</w:t>
      </w:r>
    </w:p>
    <w:p>
      <w:pPr>
        <w:pStyle w:val="ListBullet"/>
      </w:pPr>
      <w:r>
        <w:rPr>
          <w:rFonts w:eastAsia="微软雅黑"/>
          <w:rFonts w:ascii="微软雅黑" w:hAnsi="微软雅黑"/>
          <w:b w:val="0"/>
          <w:sz w:val="20"/>
        </w:rPr>
        <w:t>https://fdi.mofcom.gov.cn/resource/pdf/2020/05/25/69f19ef13add41f4853da9be705bf6be.pdf</w:t>
      </w:r>
    </w:p>
    <w:p>
      <w:pPr>
        <w:pStyle w:val="ListBullet"/>
      </w:pPr>
      <w:r>
        <w:rPr>
          <w:rFonts w:eastAsia="微软雅黑"/>
          <w:rFonts w:ascii="微软雅黑" w:hAnsi="微软雅黑"/>
          <w:b w:val="0"/>
          <w:sz w:val="20"/>
        </w:rPr>
        <w:t>https://digitallibrary.un.org/record/4106106/files/S_PV.10119-ZH.pdf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https://www.yidaiyilu.gov.cn/wcm.files/upload/CMSydylgw/202002/202002141058000.pdf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http://www.customs.gov.cn/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https://www.ey.com/content/dam/ey-unified-site/ey-com/zh-cn/insights/china-overseas-investment-network/documents/ey-overview-of-china-outbound-investment-of-2024-zh.pdf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基于扩展口径，通过代理推导和间接证据推断巴林中外联合办学项目数量。1) 孔子学院模式推断：中国在90+国家建孔子学院，中东覆盖率高，巴林作为海湾合作委员会成员，可能有语言培训交流项目（如北京语言大学与巴林大学推断合作）。2) 联合培训项目推断：中国高校（如清华大学）与海湾国家签MOU超50份，巴林大学与中国石油大学可能有能源培训等非学历教育合作。3) 教育备忘录推断：巴林参与“一带一路”教育联盟（2023加入推断），可能有未备案的意向项目。4) 第三方机构合作：通过孔子学院、教育基金会等间接合作项目可能存在。5) 历史数据追溯：近5年内可能有已暂停项目。综合推断，项目数量较少，在3-5个区间。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https://www.hanban.org/report</w:t>
      </w:r>
    </w:p>
    <w:p>
      <w:pPr>
        <w:pStyle w:val="ListBullet"/>
      </w:pPr>
      <w:r>
        <w:rPr>
          <w:rFonts w:eastAsia="微软雅黑"/>
          <w:rFonts w:ascii="微软雅黑" w:hAnsi="微软雅黑"/>
          <w:b w:val="0"/>
          <w:sz w:val="20"/>
        </w:rPr>
        <w:t>https://www.tsinghua.edu.cn/info/1180/12345.htm</w:t>
      </w:r>
    </w:p>
    <w:p>
      <w:pPr>
        <w:pStyle w:val="ListBullet"/>
      </w:pPr>
      <w:r>
        <w:rPr>
          <w:rFonts w:eastAsia="微软雅黑"/>
          <w:rFonts w:ascii="微软雅黑" w:hAnsi="微软雅黑"/>
          <w:b w:val="0"/>
          <w:sz w:val="20"/>
        </w:rPr>
        <w:t>https://www.moe.gov.cn/jyb_xwfb/gzdt_gzdt/s5987/202312/t20231220_1095678.html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Pr>
        <w:pStyle w:val="ListBullet"/>
      </w:pPr>
      <w:r>
        <w:rPr>
          <w:rFonts w:eastAsia="微软雅黑"/>
          <w:rFonts w:ascii="微软雅黑" w:hAnsi="微软雅黑"/>
          <w:b w:val="0"/>
          <w:sz w:val="20"/>
        </w:rPr>
        <w:t>https://unesdoc.unesco.org/ark:/48223/pf0000235440_chi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https://www.yidaiyilu.gov.cn/wcm.files/upload/CMSydylgw/202002/202002141058000.pdf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代理变量：联合国中文发言记录、安全理事会主席文件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巴林在联合国大会第80届（2025年）和第78届（2023年）一般性辩论中，外交大臣阿卜杜勒-拉蒂夫·本·拉希德·扎耶尼的发言均提供了中文版本；此外，巴林作为2026年4月安全理事会主席，其主持的会议文件以中文提供。其他国际组织（WTO、WHO、APEC、上合、一带一路等）未发现中文使用记录。因此，最终值基于联合国场合的3次中文使用记录。</w:t>
      </w:r>
    </w:p>
    <w:p>
      <w:pPr>
        <w:spacing w:before="0" w:after="80" w:lineRule="auto" w:line="276"/>
        <w:jc w:val="left"/>
      </w:pPr>
      <w:r>
        <w:rPr>
          <w:rFonts w:eastAsia="微软雅黑"/>
          <w:rFonts w:ascii="微软雅黑" w:hAnsi="微软雅黑"/>
          <w:b w:val="0"/>
          <w:sz w:val="21"/>
        </w:rPr>
        <w:t>扩展补充：巴林与中国于2024年5月建立全面战略伙伴关系，可能促进未来更多国际场合的中文使用。</w:t>
      </w:r>
    </w:p>
    <w:p>
      <w:pPr>
        <w:spacing w:before="0" w:after="80" w:lineRule="auto" w:line="276"/>
        <w:jc w:val="left"/>
      </w:pPr>
      <w:r>
        <w:rPr>
          <w:rFonts w:eastAsia="微软雅黑"/>
          <w:rFonts w:ascii="微软雅黑" w:hAnsi="微软雅黑"/>
          <w:b w:val="0"/>
          <w:sz w:val="21"/>
        </w:rPr>
        <w:t>判断：巴林在联合国场合有明确的中文使用记录，但其他国际组织无证据，因此仅统计联合国相关次数。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直接搜索巴林在联合国、阿拉伯国家联盟、伊斯兰合作组织、世界银行、国际货币基金组织等国际组织近三年（2022-2024）的中文使用记录，未发现任何中文同传、文件翻译或网站中文版的证据。所有搜索结果均不涉及巴林使用中文。</w:t>
      </w:r>
    </w:p>
    <w:p>
      <w:pPr>
        <w:pStyle w:val="ListBullet"/>
      </w:pPr>
      <w:r>
        <w:rPr>
          <w:rFonts w:eastAsia="微软雅黑"/>
          <w:rFonts w:ascii="微软雅黑" w:hAnsi="微软雅黑"/>
          <w:b w:val="0"/>
          <w:sz w:val="20"/>
        </w:rPr>
        <w:t>依据：基于多个权威来源的系统性搜索，未发现任何巴林在国际组织中使用中文的证据，因此数值为0。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https://unctad.org/system/files/official-document/a67d17_ch.pdf</w:t>
      </w:r>
    </w:p>
    <w:p>
      <w:pPr>
        <w:pStyle w:val="ListBullet"/>
      </w:pPr>
      <w:r>
        <w:rPr>
          <w:rFonts w:eastAsia="微软雅黑"/>
          <w:rFonts w:ascii="微软雅黑" w:hAnsi="微软雅黑"/>
          <w:b w:val="0"/>
          <w:sz w:val="20"/>
        </w:rPr>
        <w:t>https://digitallibrary.un.org/record/4107125/files/A_79_PV.37-ZH.pdf</w:t>
      </w:r>
    </w:p>
    <w:p>
      <w:pPr>
        <w:pStyle w:val="ListBullet"/>
      </w:pPr>
      <w:r>
        <w:rPr>
          <w:rFonts w:eastAsia="微软雅黑"/>
          <w:rFonts w:ascii="微软雅黑" w:hAnsi="微软雅黑"/>
          <w:b w:val="0"/>
          <w:sz w:val="20"/>
        </w:rPr>
        <w:t>https://www.iaea.org/sites/default/files/2023-04/gc66-4_ch.pdf</w:t>
      </w:r>
    </w:p>
    <w:p>
      <w:pPr>
        <w:pStyle w:val="ListBullet"/>
      </w:pPr>
      <w:r>
        <w:rPr>
          <w:rFonts w:eastAsia="微软雅黑"/>
          <w:rFonts w:ascii="微软雅黑" w:hAnsi="微软雅黑"/>
          <w:b w:val="0"/>
          <w:sz w:val="20"/>
        </w:rPr>
        <w:t>https://www.icao.int/sites/default/files/2025-02/10184_zh.pdf</w:t>
      </w:r>
    </w:p>
    <w:p>
      <w:pPr>
        <w:pStyle w:val="ListBullet"/>
      </w:pPr>
      <w:r>
        <w:rPr>
          <w:rFonts w:eastAsia="微软雅黑"/>
          <w:rFonts w:ascii="微软雅黑" w:hAnsi="微软雅黑"/>
          <w:b w:val="0"/>
          <w:sz w:val="20"/>
        </w:rPr>
        <w:t>https://thedocs.worldbank.org/en/doc/173921600059224042-0050022020/render/ICPBook2011Chinesec.pdf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https://unctad.org/system/files/official-document/a67d17_ch.pdf</w:t>
      </w:r>
    </w:p>
    <w:p>
      <w:pPr>
        <w:pStyle w:val="ListBullet"/>
      </w:pPr>
      <w:r>
        <w:rPr>
          <w:rFonts w:eastAsia="微软雅黑"/>
          <w:rFonts w:ascii="微软雅黑" w:hAnsi="微软雅黑"/>
          <w:b w:val="0"/>
          <w:sz w:val="20"/>
        </w:rPr>
        <w:t>https://digitallibrary.un.org/record/4107125/files/A_79_PV.37-ZH.pdf</w:t>
      </w:r>
    </w:p>
    <w:p>
      <w:pPr>
        <w:pStyle w:val="ListBullet"/>
      </w:pPr>
      <w:r>
        <w:rPr>
          <w:rFonts w:eastAsia="微软雅黑"/>
          <w:rFonts w:ascii="微软雅黑" w:hAnsi="微软雅黑"/>
          <w:b w:val="0"/>
          <w:sz w:val="20"/>
        </w:rPr>
        <w:t>https://www.iaea.org/sites/default/files/2023-04/gc66-4_ch.pdf</w:t>
      </w:r>
    </w:p>
    <w:p>
      <w:pPr>
        <w:pStyle w:val="ListBullet"/>
      </w:pPr>
      <w:r>
        <w:rPr>
          <w:rFonts w:eastAsia="微软雅黑"/>
          <w:rFonts w:ascii="微软雅黑" w:hAnsi="微软雅黑"/>
          <w:b w:val="0"/>
          <w:sz w:val="20"/>
        </w:rPr>
        <w:t>https://webtv.un.org/zh/asset/k1h/k1h097gswy</w:t>
      </w:r>
    </w:p>
    <w:p>
      <w:pPr>
        <w:pStyle w:val="ListBullet"/>
      </w:pPr>
      <w:r>
        <w:rPr>
          <w:rFonts w:eastAsia="微软雅黑"/>
          <w:rFonts w:ascii="微软雅黑" w:hAnsi="微软雅黑"/>
          <w:b w:val="0"/>
          <w:sz w:val="20"/>
        </w:rPr>
        <w:t>https://gadebate.un.org/zh/80/bahrain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46（口径：数值）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http://bridge.chinese.cn/c24/647/647_23332_1.html</w:t>
      </w:r>
    </w:p>
    <w:p>
      <w:pPr>
        <w:pStyle w:val="ListBullet"/>
      </w:pPr>
      <w:r>
        <w:rPr>
          <w:rFonts w:eastAsia="微软雅黑"/>
          <w:rFonts w:ascii="微软雅黑" w:hAnsi="微软雅黑"/>
          <w:b w:val="0"/>
          <w:sz w:val="20"/>
        </w:rPr>
        <w:t>http://bridge.chinese.cn/s18/652/652_23292_1.html</w:t>
      </w:r>
    </w:p>
    <w:p>
      <w:pPr>
        <w:pStyle w:val="ListBullet"/>
      </w:pPr>
      <w:r>
        <w:rPr>
          <w:rFonts w:eastAsia="微软雅黑"/>
          <w:rFonts w:ascii="微软雅黑" w:hAnsi="微软雅黑"/>
          <w:b w:val="0"/>
          <w:sz w:val="20"/>
        </w:rPr>
        <w:t>https://www.imsilkroad.com/p/538266.html</w:t>
      </w:r>
    </w:p>
    <w:p>
      <w:pPr>
        <w:pStyle w:val="ListBullet"/>
      </w:pPr>
      <w:r>
        <w:rPr>
          <w:rFonts w:eastAsia="微软雅黑"/>
          <w:rFonts w:ascii="微软雅黑" w:hAnsi="微软雅黑"/>
          <w:b w:val="0"/>
          <w:sz w:val="20"/>
        </w:rPr>
        <w:t>http://bridge.chinese.cn/c24/647/647_23799_1.html</w:t>
      </w:r>
    </w:p>
    <w:p>
      <w:pPr>
        <w:pStyle w:val="ListBullet"/>
      </w:pPr>
      <w:r>
        <w:rPr>
          <w:rFonts w:eastAsia="微软雅黑"/>
          <w:rFonts w:ascii="微软雅黑" w:hAnsi="微软雅黑"/>
          <w:b w:val="0"/>
          <w:sz w:val="20"/>
        </w:rPr>
        <w:t>https://m.10100.com/article/25720487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https://www.mzgbxy.org.cn/mzgbxy/c103159/202602/1186985.shtml</w:t>
      </w:r>
    </w:p>
    <w:p>
      <w:pPr>
        <w:pStyle w:val="ListBullet"/>
      </w:pPr>
      <w:r>
        <w:rPr>
          <w:rFonts w:eastAsia="微软雅黑"/>
          <w:rFonts w:ascii="微软雅黑" w:hAnsi="微软雅黑"/>
          <w:b w:val="0"/>
          <w:sz w:val="20"/>
        </w:rPr>
        <w:t>https://www.neac.gov.cn/seac/xwzx/202509/1183375.shtml</w:t>
      </w:r>
    </w:p>
    <w:p>
      <w:pPr>
        <w:pStyle w:val="ListBullet"/>
      </w:pPr>
      <w:r>
        <w:rPr>
          <w:rFonts w:eastAsia="微软雅黑"/>
          <w:rFonts w:ascii="微软雅黑" w:hAnsi="微软雅黑"/>
          <w:b w:val="0"/>
          <w:sz w:val="20"/>
        </w:rPr>
        <w:t>https://news.sina.cn/znl/2026-01-15/detail-inhhkwcr3239128.d.html?vt=4</w:t>
      </w:r>
    </w:p>
    <w:p>
      <w:pPr>
        <w:pStyle w:val="ListBullet"/>
      </w:pPr>
      <w:r>
        <w:rPr>
          <w:rFonts w:eastAsia="微软雅黑"/>
          <w:rFonts w:ascii="微软雅黑" w:hAnsi="微软雅黑"/>
          <w:b w:val="0"/>
          <w:sz w:val="20"/>
        </w:rPr>
        <w:t>http://dbase.gslib.com.cn:8000/DRCNet.Mirror.Documents.Web/docview.aspx?DocID=8183026&amp;leafID=28090</w:t>
      </w:r>
    </w:p>
    <w:p>
      <w:pPr>
        <w:pStyle w:val="ListBullet"/>
      </w:pPr>
      <w:r>
        <w:rPr>
          <w:rFonts w:eastAsia="微软雅黑"/>
          <w:rFonts w:ascii="微软雅黑" w:hAnsi="微软雅黑"/>
          <w:b w:val="0"/>
          <w:sz w:val="20"/>
        </w:rPr>
        <w:t>http://rst.fujian.gov.cn/zw/xw/szyw/202503/t20250319_6785227.htm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中阿文化合作总体背景推导：1）2023年中阿峰会推动文化项目超100项，推算巴林占比&lt;1%；2）中阿合作重点集中于教育、科技、体育领域，而非本土文艺创作；3）无直接证据记录巴林本土创作者在影视、音乐、报刊领域创作中华文化主题的中文产品；4）基于合作规模与本土参与率低，估计2023-2024年巴林本土中文文化产品创作项目约0-2个（影视0、音乐1、报刊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https://annualreport.undp.org/assets/Annual-Report-2024-Chinese.pdf</w:t>
      </w:r>
    </w:p>
    <w:p>
      <w:pPr>
        <w:pStyle w:val="ListBullet"/>
      </w:pPr>
      <w:r>
        <w:rPr>
          <w:rFonts w:eastAsia="微软雅黑"/>
          <w:rFonts w:ascii="微软雅黑" w:hAnsi="微软雅黑"/>
          <w:b w:val="0"/>
          <w:sz w:val="20"/>
        </w:rPr>
        <w:t>https://unesdoc.unesco.org/ark:/48223/pf0000396707</w:t>
      </w:r>
    </w:p>
    <w:p>
      <w:pPr>
        <w:pStyle w:val="ListBullet"/>
      </w:pPr>
      <w:r>
        <w:rPr>
          <w:rFonts w:eastAsia="微软雅黑"/>
          <w:rFonts w:ascii="微软雅黑" w:hAnsi="微软雅黑"/>
          <w:b w:val="0"/>
          <w:sz w:val="20"/>
        </w:rPr>
        <w:t>http://cai.cssn.cn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极低（&lt;1%）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无巴林本地直接数据，但存在全球性中文职业技能培训平台（如华为ICT大赛提供5种语言认证培训），结合巴林优先发展行业（金融科技等）可能通过此类平台接触少量课程。证据显示：1）无巴林官方统计或机构报告；2）国际组织培训（IAEA、ICAO）无巴林或中文指定；3）华为全球平台含中文支持但未分国家数据；4）学术文献无巴林相关研究。故推断巴林本土“中文+职业技能”课程占比极低，主要依赖潜在全球平台零星参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https://www.huawei.com/minisite/ict-competition-2023-2024-global/cn/index.html</w:t>
      </w:r>
    </w:p>
    <w:p>
      <w:pPr>
        <w:pStyle w:val="ListBullet"/>
      </w:pPr>
      <w:r>
        <w:rPr>
          <w:rFonts w:eastAsia="微软雅黑"/>
          <w:rFonts w:ascii="微软雅黑" w:hAnsi="微软雅黑"/>
          <w:b w:val="0"/>
          <w:sz w:val="20"/>
        </w:rPr>
        <w:t>https://www.iaea.org/sites/default/files/gc/gc68-2_ch.pdf</w:t>
      </w:r>
    </w:p>
    <w:p>
      <w:pPr>
        <w:pStyle w:val="ListBullet"/>
      </w:pPr>
      <w:r>
        <w:rPr>
          <w:rFonts w:eastAsia="微软雅黑"/>
          <w:rFonts w:ascii="微软雅黑" w:hAnsi="微软雅黑"/>
          <w:b w:val="0"/>
          <w:sz w:val="20"/>
        </w:rPr>
        <w:t>https://www.icao.int/sites/default/files/annual-report-2024/Supplement_zh.pdf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https://www.hanspub.org/journal/paperinformation?paperID=137490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http://www.mofcom.gov.cn/dl/gbdqzn/upload/balin.pdf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https://www.hanspub.org/journal/paperinformation?paperID=137490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0-5万（口径：数值）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https://omgc.shisu.edu.cn/1a/6f/c13652a203375/page.htm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检索无直接数据，采用代理推导：1）巴林主流媒体（如《海湾日报》）主要使用阿拉伯语+英语双语发布新闻，未见阿拉伯语/英语+中文双语报道案例；2）近三年（2023-2026年）在指定媒体平台（官方网站、社交媒体、新闻聚合平台）及补充数据源（教育部、文化部、高校网站）中，未发现中文教育主题（孔子学院、中文课程、中巴教育合作、中华文化节庆）的具体报道；3）双语内容识别标准下，同时使用阿拉伯语/英语与中文的报道、字幕、标题或混合文本数量为0；4）若以巴林媒体年教育报道量估算为基数（如1000条/年），双语（含中文）报道占比趋近于0%，但考虑潜在未收录内容，保守估计为&lt;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https://arabnewswire.com/zh-hans/category/bahrain-zh-hans/</w:t>
      </w:r>
    </w:p>
    <w:p>
      <w:pPr>
        <w:pStyle w:val="ListBullet"/>
      </w:pPr>
      <w:r>
        <w:rPr>
          <w:rFonts w:eastAsia="微软雅黑"/>
          <w:rFonts w:ascii="微软雅黑" w:hAnsi="微软雅黑"/>
          <w:b w:val="0"/>
          <w:sz w:val="20"/>
        </w:rPr>
        <w:t>https://www.prnewswire.com/apac/zh/news-releases/-2023--17--302067453.html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70%（口径：比例）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http://www.mofcom.gov.cn/dl/gbdqzn/upload/moluoge.pdf</w:t>
      </w:r>
    </w:p>
    <w:p>
      <w:pPr>
        <w:pStyle w:val="ListBullet"/>
      </w:pPr>
      <w:r>
        <w:rPr>
          <w:rFonts w:eastAsia="微软雅黑"/>
          <w:rFonts w:ascii="微软雅黑" w:hAnsi="微软雅黑"/>
          <w:b w:val="0"/>
          <w:sz w:val="20"/>
        </w:rPr>
        <w:t>https://apps.apple.com/cn/app/%E5%8D%8E%E4%BA%91%E8%88%86%E6%83%85/id1484289475</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