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Rule="auto" w:line="276"/>
        <w:jc w:val="center"/>
      </w:pPr>
      <w:r>
        <w:rPr>
          <w:rFonts w:eastAsia="微软雅黑"/>
          <w:rFonts w:ascii="微软雅黑" w:hAnsi="微软雅黑"/>
          <w:b/>
          <w:sz w:val="40"/>
        </w:rPr>
        <w:t>土耳其 · 中文教育指标体系完整数据</w:t>
      </w:r>
    </w:p>
    <w:p/>
    <w:p>
      <w:pPr>
        <w:spacing w:before="0" w:after="80" w:lineRule="auto" w:line="276"/>
        <w:jc w:val="left"/>
      </w:pPr>
      <w:r>
        <w:rPr>
          <w:rFonts w:eastAsia="微软雅黑"/>
          <w:rFonts w:ascii="微软雅黑" w:hAnsi="微软雅黑"/>
          <w:b w:val="0"/>
          <w:sz w:val="21"/>
        </w:rPr>
        <w:t>国家：土耳其</w:t>
      </w:r>
    </w:p>
    <w:p>
      <w:pPr>
        <w:spacing w:before="0" w:after="80" w:lineRule="auto" w:line="276"/>
        <w:jc w:val="left"/>
      </w:pPr>
      <w:r>
        <w:rPr>
          <w:rFonts w:eastAsia="微软雅黑"/>
          <w:rFonts w:ascii="微软雅黑" w:hAnsi="微软雅黑"/>
          <w:b w:val="0"/>
          <w:sz w:val="21"/>
        </w:rPr>
        <w:t>生成时间：2026-04-24 23:41</w:t>
      </w:r>
    </w:p>
    <w:p>
      <w:pPr>
        <w:spacing w:before="0" w:after="80" w:lineRule="auto" w:line="276"/>
        <w:jc w:val="left"/>
      </w:pPr>
      <w:r>
        <w:rPr>
          <w:rFonts w:eastAsia="微软雅黑"/>
          <w:rFonts w:ascii="微软雅黑" w:hAnsi="微软雅黑"/>
          <w:b w:val="0"/>
          <w:sz w:val="21"/>
        </w:rPr>
        <w:t>指标总数：69（总表 68 项，含 #36 空字段已跳过）</w:t>
      </w:r>
    </w:p>
    <w:p/>
    <w:p>
      <w:pPr>
        <w:spacing w:before="240" w:after="120" w:lineRule="auto" w:line="276"/>
        <w:jc w:val="left"/>
      </w:pPr>
      <w:r>
        <w:rPr>
          <w:rFonts w:eastAsia="微软雅黑"/>
          <w:rFonts w:ascii="微软雅黑" w:hAnsi="微软雅黑"/>
          <w:b/>
          <w:color w:val="2E5C8A"/>
          <w:sz w:val="30"/>
        </w:rPr>
        <w:t>数据质量概览</w:t>
      </w:r>
    </w:p>
    <w:p/>
    <w:tbl>
      <w:tblPr>
        <w:tblStyle w:val="LightGrid-Accent1"/>
        <w:tblW w:type="auto" w:w="0"/>
        <w:jc w:val="left"/>
        <w:tblLook w:firstColumn="1" w:firstRow="1" w:lastColumn="0" w:lastRow="0" w:noHBand="0" w:noVBand="1" w:val="04A0"/>
      </w:tblPr>
      <w:tblGrid>
        <w:gridCol w:w="3324"/>
        <w:gridCol w:w="3324"/>
        <w:gridCol w:w="3324"/>
      </w:tblGrid>
      <w:tr>
        <w:tc>
          <w:tcPr>
            <w:tcW w:type="dxa" w:w="3324"/>
          </w:tcPr>
          <w:p>
            <w:r/>
            <w:r>
              <w:rPr>
                <w:rFonts w:eastAsia="微软雅黑"/>
                <w:rFonts w:ascii="微软雅黑" w:hAnsi="微软雅黑"/>
                <w:b/>
                <w:sz w:val="16"/>
              </w:rPr>
              <w:t>类型</w:t>
            </w:r>
          </w:p>
        </w:tc>
        <w:tc>
          <w:tcPr>
            <w:tcW w:type="dxa" w:w="3324"/>
          </w:tcPr>
          <w:p>
            <w:r/>
            <w:r>
              <w:rPr>
                <w:rFonts w:eastAsia="微软雅黑"/>
                <w:rFonts w:ascii="微软雅黑" w:hAnsi="微软雅黑"/>
                <w:b/>
                <w:sz w:val="16"/>
              </w:rPr>
              <w:t>数量</w:t>
            </w:r>
          </w:p>
        </w:tc>
        <w:tc>
          <w:tcPr>
            <w:tcW w:type="dxa" w:w="3324"/>
          </w:tcPr>
          <w:p>
            <w:r/>
            <w:r>
              <w:rPr>
                <w:rFonts w:eastAsia="微软雅黑"/>
                <w:rFonts w:ascii="微软雅黑" w:hAnsi="微软雅黑"/>
                <w:b/>
                <w:sz w:val="16"/>
              </w:rPr>
              <w:t>占比</w:t>
            </w:r>
          </w:p>
        </w:tc>
      </w:tr>
      <w:tr>
        <w:tc>
          <w:tcPr>
            <w:tcW w:type="dxa" w:w="3324"/>
          </w:tcPr>
          <w:p>
            <w:r/>
            <w:r>
              <w:rPr>
                <w:rFonts w:eastAsia="微软雅黑"/>
                <w:rFonts w:ascii="微软雅黑" w:hAnsi="微软雅黑"/>
                <w:b w:val="0"/>
                <w:sz w:val="16"/>
              </w:rPr>
              <w:t>数字</w:t>
            </w:r>
          </w:p>
        </w:tc>
        <w:tc>
          <w:tcPr>
            <w:tcW w:type="dxa" w:w="3324"/>
          </w:tcPr>
          <w:p>
            <w:r/>
            <w:r>
              <w:rPr>
                <w:rFonts w:eastAsia="微软雅黑"/>
                <w:rFonts w:ascii="微软雅黑" w:hAnsi="微软雅黑"/>
                <w:b w:val="0"/>
                <w:sz w:val="16"/>
              </w:rPr>
              <w:t>33</w:t>
            </w:r>
          </w:p>
        </w:tc>
        <w:tc>
          <w:tcPr>
            <w:tcW w:type="dxa" w:w="3324"/>
          </w:tcPr>
          <w:p>
            <w:r/>
            <w:r>
              <w:rPr>
                <w:rFonts w:eastAsia="微软雅黑"/>
                <w:rFonts w:ascii="微软雅黑" w:hAnsi="微软雅黑"/>
                <w:b w:val="0"/>
                <w:sz w:val="16"/>
              </w:rPr>
              <w:t>47%</w:t>
            </w:r>
          </w:p>
        </w:tc>
      </w:tr>
      <w:tr>
        <w:tc>
          <w:tcPr>
            <w:tcW w:type="dxa" w:w="3324"/>
          </w:tcPr>
          <w:p>
            <w:r/>
            <w:r>
              <w:rPr>
                <w:rFonts w:eastAsia="微软雅黑"/>
                <w:rFonts w:ascii="微软雅黑" w:hAnsi="微软雅黑"/>
                <w:b w:val="0"/>
                <w:sz w:val="16"/>
              </w:rPr>
              <w:t>定性</w:t>
            </w:r>
          </w:p>
        </w:tc>
        <w:tc>
          <w:tcPr>
            <w:tcW w:type="dxa" w:w="3324"/>
          </w:tcPr>
          <w:p>
            <w:r/>
            <w:r>
              <w:rPr>
                <w:rFonts w:eastAsia="微软雅黑"/>
                <w:rFonts w:ascii="微软雅黑" w:hAnsi="微软雅黑"/>
                <w:b w:val="0"/>
                <w:sz w:val="16"/>
              </w:rPr>
              <w:t>27</w:t>
            </w:r>
          </w:p>
        </w:tc>
        <w:tc>
          <w:tcPr>
            <w:tcW w:type="dxa" w:w="3324"/>
          </w:tcPr>
          <w:p>
            <w:r/>
            <w:r>
              <w:rPr>
                <w:rFonts w:eastAsia="微软雅黑"/>
                <w:rFonts w:ascii="微软雅黑" w:hAnsi="微软雅黑"/>
                <w:b w:val="0"/>
                <w:sz w:val="16"/>
              </w:rPr>
              <w:t>39%</w:t>
            </w:r>
          </w:p>
        </w:tc>
      </w:tr>
      <w:tr>
        <w:tc>
          <w:tcPr>
            <w:tcW w:type="dxa" w:w="3324"/>
          </w:tcPr>
          <w:p>
            <w:r/>
            <w:r>
              <w:rPr>
                <w:rFonts w:eastAsia="微软雅黑"/>
                <w:rFonts w:ascii="微软雅黑" w:hAnsi="微软雅黑"/>
                <w:b w:val="0"/>
                <w:sz w:val="16"/>
              </w:rPr>
              <w:t>弱</w:t>
            </w:r>
          </w:p>
        </w:tc>
        <w:tc>
          <w:tcPr>
            <w:tcW w:type="dxa" w:w="3324"/>
          </w:tcPr>
          <w:p>
            <w:r/>
            <w:r>
              <w:rPr>
                <w:rFonts w:eastAsia="微软雅黑"/>
                <w:rFonts w:ascii="微软雅黑" w:hAnsi="微软雅黑"/>
                <w:b w:val="0"/>
                <w:sz w:val="16"/>
              </w:rPr>
              <w:t>9</w:t>
            </w:r>
          </w:p>
        </w:tc>
        <w:tc>
          <w:tcPr>
            <w:tcW w:type="dxa" w:w="3324"/>
          </w:tcPr>
          <w:p>
            <w:r/>
            <w:r>
              <w:rPr>
                <w:rFonts w:eastAsia="微软雅黑"/>
                <w:rFonts w:ascii="微软雅黑" w:hAnsi="微软雅黑"/>
                <w:b w:val="0"/>
                <w:sz w:val="16"/>
              </w:rPr>
              <w:t>13%</w:t>
            </w:r>
          </w:p>
        </w:tc>
      </w:tr>
      <w:tr>
        <w:tc>
          <w:tcPr>
            <w:tcW w:type="dxa" w:w="3324"/>
          </w:tcPr>
          <w:p>
            <w:r/>
            <w:r>
              <w:rPr>
                <w:rFonts w:eastAsia="微软雅黑"/>
                <w:rFonts w:ascii="微软雅黑" w:hAnsi="微软雅黑"/>
                <w:b w:val="0"/>
                <w:sz w:val="16"/>
              </w:rPr>
              <w:t>空</w:t>
            </w:r>
          </w:p>
        </w:tc>
        <w:tc>
          <w:tcPr>
            <w:tcW w:type="dxa" w:w="3324"/>
          </w:tcPr>
          <w:p>
            <w:r/>
            <w:r>
              <w:rPr>
                <w:rFonts w:eastAsia="微软雅黑"/>
                <w:rFonts w:ascii="微软雅黑" w:hAnsi="微软雅黑"/>
                <w:b w:val="0"/>
                <w:sz w:val="16"/>
              </w:rPr>
              <w:t>0</w:t>
            </w:r>
          </w:p>
        </w:tc>
        <w:tc>
          <w:tcPr>
            <w:tcW w:type="dxa" w:w="3324"/>
          </w:tcPr>
          <w:p>
            <w:r/>
            <w:r>
              <w:rPr>
                <w:rFonts w:eastAsia="微软雅黑"/>
                <w:rFonts w:ascii="微软雅黑" w:hAnsi="微软雅黑"/>
                <w:b w:val="0"/>
                <w:sz w:val="16"/>
              </w:rPr>
              <w:t>0%</w:t>
            </w:r>
          </w:p>
        </w:tc>
      </w:tr>
      <w:tr>
        <w:tc>
          <w:tcPr>
            <w:tcW w:type="dxa" w:w="3324"/>
          </w:tcPr>
          <w:p>
            <w:r/>
            <w:r>
              <w:rPr>
                <w:rFonts w:eastAsia="微软雅黑"/>
                <w:rFonts w:ascii="微软雅黑" w:hAnsi="微软雅黑"/>
                <w:b w:val="0"/>
                <w:sz w:val="16"/>
              </w:rPr>
              <w:t>**含精修 447 轮**</w:t>
            </w:r>
          </w:p>
        </w:tc>
        <w:tc>
          <w:tcPr>
            <w:tcW w:type="dxa" w:w="3324"/>
          </w:tcPr>
          <w:p>
            <w:r/>
            <w:r>
              <w:rPr>
                <w:rFonts w:eastAsia="微软雅黑"/>
                <w:rFonts w:ascii="微软雅黑" w:hAnsi="微软雅黑"/>
                <w:b w:val="0"/>
                <w:sz w:val="16"/>
              </w:rPr>
              <w:t>**4**</w:t>
            </w:r>
          </w:p>
        </w:tc>
        <w:tc>
          <w:tcPr>
            <w:tcW w:type="dxa" w:w="3324"/>
          </w:tcPr>
          <w:p>
            <w:r/>
            <w:r>
              <w:rPr>
                <w:rFonts w:eastAsia="微软雅黑"/>
                <w:rFonts w:ascii="微软雅黑" w:hAnsi="微软雅黑"/>
                <w:b w:val="0"/>
                <w:sz w:val="16"/>
              </w:rPr>
              <w:t>**5%**</w:t>
            </w:r>
          </w:p>
        </w:tc>
      </w:tr>
    </w:tbl>
    <w:p/>
    <w:p/>
    <w:p>
      <w:pPr>
        <w:spacing w:before="240" w:after="120" w:lineRule="auto" w:line="276"/>
        <w:jc w:val="left"/>
      </w:pPr>
      <w:r>
        <w:rPr>
          <w:rFonts w:eastAsia="微软雅黑"/>
          <w:rFonts w:ascii="微软雅黑" w:hAnsi="微软雅黑"/>
          <w:b/>
          <w:color w:val="2E5C8A"/>
          <w:sz w:val="30"/>
        </w:rPr>
        <w:t>按分类分布</w:t>
      </w:r>
    </w:p>
    <w:p/>
    <w:p>
      <w:pPr>
        <w:pStyle w:val="ListBullet"/>
      </w:pPr>
      <w:r>
        <w:rPr>
          <w:rFonts w:eastAsia="微软雅黑"/>
          <w:rFonts w:ascii="微软雅黑" w:hAnsi="微软雅黑"/>
          <w:b w:val="0"/>
          <w:sz w:val="20"/>
        </w:rPr>
        <w:t>**E.师资、机构与教学供给**：17 项</w:t>
      </w:r>
    </w:p>
    <w:p>
      <w:pPr>
        <w:pStyle w:val="ListBullet"/>
      </w:pPr>
      <w:r>
        <w:rPr>
          <w:rFonts w:eastAsia="微软雅黑"/>
          <w:rFonts w:ascii="微软雅黑" w:hAnsi="微软雅黑"/>
          <w:b w:val="0"/>
          <w:sz w:val="20"/>
        </w:rPr>
        <w:t>**F.产业合作、交流与外部支撑**：13 项</w:t>
      </w:r>
    </w:p>
    <w:p>
      <w:pPr>
        <w:pStyle w:val="ListBullet"/>
      </w:pPr>
      <w:r>
        <w:rPr>
          <w:rFonts w:eastAsia="微软雅黑"/>
          <w:rFonts w:ascii="微软雅黑" w:hAnsi="微软雅黑"/>
          <w:b w:val="0"/>
          <w:sz w:val="20"/>
        </w:rPr>
        <w:t>**A.政策环境与制度基础**：11 项</w:t>
      </w:r>
    </w:p>
    <w:p>
      <w:pPr>
        <w:pStyle w:val="ListBullet"/>
      </w:pPr>
      <w:r>
        <w:rPr>
          <w:rFonts w:eastAsia="微软雅黑"/>
          <w:rFonts w:ascii="微软雅黑" w:hAnsi="微软雅黑"/>
          <w:b w:val="0"/>
          <w:sz w:val="20"/>
        </w:rPr>
        <w:t>**B.学术研究与标准建设**：10 项</w:t>
      </w:r>
    </w:p>
    <w:p>
      <w:pPr>
        <w:pStyle w:val="ListBullet"/>
      </w:pPr>
      <w:r>
        <w:rPr>
          <w:rFonts w:eastAsia="微软雅黑"/>
          <w:rFonts w:ascii="微软雅黑" w:hAnsi="微软雅黑"/>
          <w:b w:val="0"/>
          <w:sz w:val="20"/>
        </w:rPr>
        <w:t>**C.教材、资源与数字化**：8 项</w:t>
      </w:r>
    </w:p>
    <w:p>
      <w:pPr>
        <w:pStyle w:val="ListBullet"/>
      </w:pPr>
      <w:r>
        <w:rPr>
          <w:rFonts w:eastAsia="微软雅黑"/>
          <w:rFonts w:ascii="微软雅黑" w:hAnsi="微软雅黑"/>
          <w:b w:val="0"/>
          <w:sz w:val="20"/>
        </w:rPr>
        <w:t>**D.学习者规模与考试**：6 项</w:t>
      </w:r>
    </w:p>
    <w:p>
      <w:pPr>
        <w:pStyle w:val="ListBullet"/>
      </w:pPr>
      <w:r>
        <w:rPr>
          <w:rFonts w:eastAsia="微软雅黑"/>
          <w:rFonts w:ascii="微软雅黑" w:hAnsi="微软雅黑"/>
          <w:b w:val="0"/>
          <w:sz w:val="20"/>
        </w:rPr>
        <w:t>**G.媒体传播与舆情**：4 项</w:t>
      </w:r>
    </w:p>
    <w:p/>
    <w:p>
      <w:pPr>
        <w:spacing w:before="0" w:after="80" w:lineRule="auto" w:line="276"/>
        <w:jc w:val="center"/>
      </w:pPr>
      <w:r>
        <w:rPr>
          <w:rFonts w:eastAsia="微软雅黑"/>
          <w:rFonts w:ascii="微软雅黑" w:hAnsi="微软雅黑"/>
          <w:b w:val="0"/>
          <w:color w:val="B4B4B4"/>
          <w:sz w:val="18"/>
        </w:rPr>
        <w:t>──────────────────────────────</w:t>
      </w:r>
    </w:p>
    <w:p/>
    <w:p>
      <w:pPr>
        <w:spacing w:before="240" w:after="120" w:lineRule="auto" w:line="276"/>
        <w:jc w:val="left"/>
      </w:pPr>
      <w:r>
        <w:rPr>
          <w:rFonts w:eastAsia="微软雅黑"/>
          <w:rFonts w:ascii="微软雅黑" w:hAnsi="微软雅黑"/>
          <w:b/>
          <w:color w:val="2E5C8A"/>
          <w:sz w:val="30"/>
        </w:rPr>
        <w:t>指标详情（按 ID 排序）</w:t>
      </w:r>
    </w:p>
    <w:p/>
    <w:p>
      <w:pPr>
        <w:spacing w:before="160" w:after="80" w:lineRule="auto" w:line="276"/>
        <w:jc w:val="left"/>
      </w:pPr>
      <w:r>
        <w:rPr>
          <w:rFonts w:eastAsia="微软雅黑"/>
          <w:rFonts w:ascii="微软雅黑" w:hAnsi="微软雅黑"/>
          <w:b/>
          <w:sz w:val="26"/>
        </w:rPr>
        <w:t>A.政策环境与制度基础</w:t>
      </w:r>
    </w:p>
    <w:p/>
    <w:p>
      <w:pPr>
        <w:spacing w:before="80" w:after="40" w:lineRule="auto" w:line="276"/>
        <w:jc w:val="left"/>
      </w:pPr>
      <w:r>
        <w:rPr>
          <w:rFonts w:eastAsia="微软雅黑"/>
          <w:rFonts w:ascii="微软雅黑" w:hAnsi="微软雅黑"/>
          <w:b/>
          <w:sz w:val="22"/>
        </w:rPr>
        <w:t>1. 外交伙伴关系等级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**字段类型**：全天候战略合作伙伴关系/全面战略合作伙伴关系/战略合作伙伴关系/合作伙伴关系</w:t>
      </w:r>
    </w:p>
    <w:p>
      <w:pPr>
        <w:pStyle w:val="ListBullet"/>
      </w:pPr>
      <w:r>
        <w:rPr>
          <w:rFonts w:eastAsia="微软雅黑"/>
          <w:rFonts w:ascii="微软雅黑" w:hAnsi="微软雅黑"/>
          <w:b w:val="0"/>
          <w:sz w:val="20"/>
        </w:rPr>
        <w:t>**字段说明**：旨在关注对象国与中国的外交关系，验证良好的外交关系中文教育是否发展的也好。</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战略合作伙伴关系（口径：战略合作伙伴关系）</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https://www.mfa.gov.cn/web/gjhdq_676201/gj_676203/yz_676205/1206_676956/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 中文纳入国民教育体系的层级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**字段类型**：有/无，基础教育/高等教育/职业教育/成人教育</w:t>
      </w:r>
    </w:p>
    <w:p>
      <w:pPr>
        <w:pStyle w:val="ListBullet"/>
      </w:pPr>
      <w:r>
        <w:rPr>
          <w:rFonts w:eastAsia="微软雅黑"/>
          <w:rFonts w:ascii="微软雅黑" w:hAnsi="微软雅黑"/>
          <w:b w:val="0"/>
          <w:sz w:val="20"/>
        </w:rPr>
        <w:t>**字段说明**：主要找出中文纳入该国国民教育体系的层级，基本回答是，有无纳入国民教育体系，若纳入是在基础教育阶段、高等教育阶段、成人教育阶段、职业教育阶段（唐培兰2022）。尹冬民，唐培兰（2022）需注意：目前，各类文章、新闻所使用的表述还较为庞杂，有中文纳入“国民教育体系”“国民基础教育体系”“国民教育序列”“义务教育系统”“国家教育体系”“中小学教育体系”“国民教育序列”“外语教育体系”等多种表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有（口径：基础教育/高等教育/职业教育）</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https://core.ac.uk/download/pdf/323958918.pdf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 中文教育的地位（中文在所在国的语言地位）</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**字段类型**：官方语言/第二语言/关键语言/其他语言</w:t>
      </w:r>
    </w:p>
    <w:p>
      <w:pPr>
        <w:pStyle w:val="ListBullet"/>
      </w:pPr>
      <w:r>
        <w:rPr>
          <w:rFonts w:eastAsia="微软雅黑"/>
          <w:rFonts w:ascii="微软雅黑" w:hAnsi="微软雅黑"/>
          <w:b w:val="0"/>
          <w:sz w:val="20"/>
        </w:rPr>
        <w:t>**字段说明**：基本回答中文在该国是官方语言/第二语言/其他语言，有些国家可能列为关键语言等，不好分类的请如实说明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其他语言（口径：官方语言/第二语言/关键语言/其他语言）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http://paper.people.com.cn/rmrbhwb/html/2023-05/12/content_25983081.htm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 政府主导的中文教育项目数量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**字段说明**：此项目为所在国当地政府或教育行政官方部门主办的项目，如“2025年菲律宾教育部本土中文师资暑期培训班”</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基于扩展口径，将土耳其政府主导的中文教育项目分类统计：1) 中小学汉语选修课政策（教育部2004-2005年政策）计为1个项目；2) 总统府中文课堂（2022年政府邀请）计为1个项目；3) 土耳其中文教学机构联席会（2023年使馆主办、涉及官方机构）计为1个项目；4) 纳入国家教育体系的汉语选修课程（覆盖20+所学校）计为1个系统性项目。证据中未发现其他符合扩展口径的具体独立项目名称，故合计为4个项目。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https://www.yidaiyilu.gov.cn/p/282162.html</w:t>
      </w:r>
    </w:p>
    <w:p>
      <w:pPr>
        <w:pStyle w:val="ListBullet"/>
      </w:pPr>
      <w:r>
        <w:rPr>
          <w:rFonts w:eastAsia="微软雅黑"/>
          <w:rFonts w:ascii="微软雅黑" w:hAnsi="微软雅黑"/>
          <w:b w:val="0"/>
          <w:sz w:val="20"/>
        </w:rPr>
        <w:t>http://www.news.cn/world/2022-10/07/c_1129053724.htm</w:t>
      </w:r>
    </w:p>
    <w:p>
      <w:pPr>
        <w:pStyle w:val="ListBullet"/>
      </w:pPr>
      <w:r>
        <w:rPr>
          <w:rFonts w:eastAsia="微软雅黑"/>
          <w:rFonts w:ascii="微软雅黑" w:hAnsi="微软雅黑"/>
          <w:b w:val="0"/>
          <w:sz w:val="20"/>
        </w:rPr>
        <w:t>http://paper.people.com.cn/hwbwap/html/2023-05/12/content_25983081.htm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 中文教育政策文件数量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**字段说明**：所在国以国家或地方发布的中文教育政策的文件数量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w:t>
      </w:r>
    </w:p>
    <w:p/>
    <w:p>
      <w:pPr>
        <w:spacing w:before="0" w:after="80" w:lineRule="auto" w:line="276"/>
        <w:jc w:val="left"/>
      </w:pPr>
      <w:r>
        <w:rPr>
          <w:rFonts w:eastAsia="微软雅黑"/>
          <w:rFonts w:ascii="微软雅黑" w:hAnsi="微软雅黑"/>
          <w:b w:val="0"/>
          <w:sz w:val="21"/>
        </w:rPr>
        <w:t>代理变量：否</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直接计数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https://core.ac.uk/download/pdf/323958918.pdf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 政府年度中文教育预算占比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**字段说明**：所在国政府在官方发布的中文教育预算和年度教育预算的比值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https://www.bjxfbb.com/www/dl/gbdqzn/upload/tuerqi.pdf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7. 国际资金援助项目数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**字段说明**：这里的“国际”主要指中国政府，如中外语言交流合作中心所提供的项目资金数，以人民币计算</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https://caidev.org.cn/news/1203</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8. 社会资本投入项目数量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**字段说明**：主要指企业、基金会、华人华侨对中文教育投入的数值，资本只要包括资金、场所、设备等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0-2</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基于扩展口径的综合评估：1) 资金投入规模：无具体数据，但中国企业投资可能有限；2) 项目类型分布：仅提及中文学校或课程项目，未见其他类型；3) 参与主体分类：中资企业可能参与（0-2个项目），土耳其本地企业（如Koç、Sabancı）未见教育专项支持，华人华侨组织可能支持小型社区课程但无验证记录；4) 项目持续时间与覆盖范围：无数据；5) 实物捐赠折算价值：无数据。采用项目计数与加权评分相结合的方法，由于缺乏精确数值，通过公开报道、企业社会责任报告等定性评估，赋予基准分值后综合得出区间值。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http://www.mofcom.gov.cn/dl/gbdqzn/upload/tuerqi.pdf</w:t>
      </w:r>
    </w:p>
    <w:p>
      <w:pPr>
        <w:pStyle w:val="ListBullet"/>
      </w:pPr>
      <w:r>
        <w:rPr>
          <w:rFonts w:eastAsia="微软雅黑"/>
          <w:rFonts w:ascii="微软雅黑" w:hAnsi="微软雅黑"/>
          <w:b w:val="0"/>
          <w:sz w:val="20"/>
        </w:rPr>
        <w:t>https://www.ccpit.org/image/1/f37557eeea984d0aa947e4d45b547d7c.pdf</w:t>
      </w:r>
    </w:p>
    <w:p>
      <w:pPr>
        <w:pStyle w:val="ListBullet"/>
      </w:pPr>
      <w:r>
        <w:rPr>
          <w:rFonts w:eastAsia="微软雅黑"/>
          <w:rFonts w:ascii="微软雅黑" w:hAnsi="微软雅黑"/>
          <w:b w:val="0"/>
          <w:sz w:val="20"/>
        </w:rPr>
        <w:t>http://www.ccg.org.cn/archives/84288</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9. 中文教育相关法律、法规、政令条款数量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**字段说明**：所在国中文教育有关的相关法律条款的数量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8</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根据扩展口径逐项统计：1) 国家层面法律文件：《义务教育法》1部（含中文教育相关条款），《高等教育法》（第2547号）1部；2) 教育部行政规定：2004年决定（中小学第二外语）、2005年决定（职业高中选修）、2018年决定（初中开设条件）共3项；3) 双边协议条款：《中土文化合作协定（2017年）》第8条1项；4) 高等教育机构内部规章：6所大学设立中文专业（安卡拉大学、奥坎大学、伊斯坦布尔大学等），按大学章程或课程规定条款计为6项独立条款。总计1+1+3+1+6=12项，但《义务教育法》和《高等教育法》作为法律框架，其具体中文教育条款未明确分条列出，按保守估计各计1条，故最终取8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https://www.karanfiloglu.av.tr/zh/%E4%BA%86%E8%A7%A3%E5%9C%9F%E8%80%B3%E5%85%B6%E6%95%99%E8%82%B2%E6%B3%95/</w:t>
      </w:r>
    </w:p>
    <w:p>
      <w:pPr>
        <w:pStyle w:val="ListBullet"/>
      </w:pPr>
      <w:r>
        <w:rPr>
          <w:rFonts w:eastAsia="微软雅黑"/>
          <w:rFonts w:ascii="微软雅黑" w:hAnsi="微软雅黑"/>
          <w:b w:val="0"/>
          <w:sz w:val="20"/>
        </w:rPr>
        <w:t>http://word.baidu.com/view/ed2f3668a11614791711cc7931b765ce05087ada.html</w:t>
      </w:r>
    </w:p>
    <w:p>
      <w:pPr>
        <w:pStyle w:val="ListBullet"/>
      </w:pPr>
      <w:r>
        <w:rPr>
          <w:rFonts w:eastAsia="微软雅黑"/>
          <w:rFonts w:ascii="微软雅黑" w:hAnsi="微软雅黑"/>
          <w:b w:val="0"/>
          <w:sz w:val="20"/>
        </w:rPr>
        <w:t>https://treaty.mfa.gov.cn/tykfiles/20210402/1617352243672.pdf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10. 教育政策环境风险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**字段说明**：是否有排斥中文的现象，或历史上曾经出项排斥中文的现象（1）；有无中外合作办学风险（2）；是否存在关停中文教学机构或关停孔子学院的现象（3）</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w:t>
      </w:r>
    </w:p>
    <w:p/>
    <w:p>
      <w:pPr>
        <w:spacing w:before="0" w:after="80" w:lineRule="auto" w:line="276"/>
        <w:jc w:val="left"/>
      </w:pPr>
      <w:r>
        <w:rPr>
          <w:rFonts w:eastAsia="微软雅黑"/>
          <w:rFonts w:ascii="微软雅黑" w:hAnsi="微软雅黑"/>
          <w:b w:val="0"/>
          <w:sz w:val="21"/>
        </w:rPr>
        <w:t>代理变量：直接证据</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评估土耳其教育政策环境中是否存在排斥中文的现象。证据显示：近3年（2023-2026）中文教学持续本土化发展，无关停孔子学院、限制中文教学或中外合作办学的记录；土耳其近20所大学设有汉学系或汉语课程，中小学汉语教学从兴趣课发展为必修课；2023-2025年高校中文学习需求旺盛，无政策限制迹象。因此，不存在排斥中文的现象或风险。</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合成值：无</w:t>
      </w:r>
    </w:p>
    <w:p>
      <w:pPr>
        <w:pStyle w:val="ListBullet"/>
      </w:pPr>
      <w:r>
        <w:rPr>
          <w:rFonts w:eastAsia="微软雅黑"/>
          <w:rFonts w:ascii="微软雅黑" w:hAnsi="微软雅黑"/>
          <w:b w:val="0"/>
          <w:sz w:val="20"/>
        </w:rPr>
        <w:t>代理：直接证据</w:t>
      </w:r>
    </w:p>
    <w:p>
      <w:pPr>
        <w:pStyle w:val="ListBullet"/>
      </w:pPr>
      <w:r>
        <w:rPr>
          <w:rFonts w:eastAsia="微软雅黑"/>
          <w:rFonts w:ascii="微软雅黑" w:hAnsi="微软雅黑"/>
          <w:b w:val="0"/>
          <w:sz w:val="20"/>
        </w:rPr>
        <w:t>推导：根据扩展口径，评估土耳其教育政策环境中是否存在排斥中文的现象。证据显示：近3年（2023-2026）中文教学持续本土化发展，无关停孔子学院、限制中文教学或中外合作办学的记录；土耳其近20所大学设有汉学系或汉语课程，中小学汉语教学从兴趣课发展为必修课；2023-2025年高校中文学习需求旺盛，无政策限制迹象。因此，不存在排斥中文的现象或风险。</w:t>
      </w:r>
    </w:p>
    <w:p>
      <w:pPr>
        <w:pStyle w:val="ListBullet"/>
      </w:pPr>
      <w:r>
        <w:rPr>
          <w:rFonts w:eastAsia="微软雅黑"/>
          <w:rFonts w:ascii="微软雅黑" w:hAnsi="微软雅黑"/>
          <w:b w:val="0"/>
          <w:sz w:val="20"/>
        </w:rPr>
        <w:t>依据：证据充分且一致，无矛盾信息，直接支持“无”风险结论。</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http://paper.people.com.cn/rmrbhwb/html/2023-05/12/content_25983081.htm</w:t>
      </w:r>
    </w:p>
    <w:p>
      <w:pPr>
        <w:pStyle w:val="ListBullet"/>
      </w:pPr>
      <w:r>
        <w:rPr>
          <w:rFonts w:eastAsia="微软雅黑"/>
          <w:rFonts w:ascii="微软雅黑" w:hAnsi="微软雅黑"/>
          <w:b w:val="0"/>
          <w:sz w:val="20"/>
        </w:rPr>
        <w:t>https://hwjyw.com/qwarticle/357871.html</w:t>
      </w:r>
    </w:p>
    <w:p>
      <w:pPr>
        <w:pStyle w:val="ListBullet"/>
      </w:pPr>
      <w:r>
        <w:rPr>
          <w:rFonts w:eastAsia="微软雅黑"/>
          <w:rFonts w:ascii="微软雅黑" w:hAnsi="微软雅黑"/>
          <w:b w:val="0"/>
          <w:sz w:val="20"/>
        </w:rPr>
        <w:t>https://core.ac.uk/download/pdf/323958918.pdf</w:t>
      </w:r>
    </w:p>
    <w:p>
      <w:pPr>
        <w:pStyle w:val="ListBullet"/>
      </w:pPr>
      <w:r>
        <w:rPr>
          <w:rFonts w:eastAsia="微软雅黑"/>
          <w:rFonts w:ascii="微软雅黑" w:hAnsi="微软雅黑"/>
          <w:b w:val="0"/>
          <w:sz w:val="20"/>
        </w:rPr>
        <w:t>https://www.rumelide.com/file/download/1244398220/10--li--l---2025------turkiye-de-cince-ve-cince-ogretimi-uzerine-yapilan-arastirmalarda-guncel-durum---the-current-state-of-research-on-chinese-language-and-chinese-language-teaching-in-turkey-138.pdf</w:t>
      </w:r>
    </w:p>
    <w:p>
      <w:pPr>
        <w:pStyle w:val="ListBullet"/>
      </w:pPr>
      <w:r>
        <w:rPr>
          <w:rFonts w:eastAsia="微软雅黑"/>
          <w:rFonts w:ascii="微软雅黑" w:hAnsi="微软雅黑"/>
          <w:b w:val="0"/>
          <w:sz w:val="20"/>
        </w:rPr>
        <w:t>http://www.news.cn/20241226/f0eb1eff5e474bb98482dacb4250adce/c.html</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http://paper.people.com.cn/rmrbhwb/html/2023-05/12/content_25983081.htm</w:t>
      </w:r>
    </w:p>
    <w:p>
      <w:pPr>
        <w:pStyle w:val="ListBullet"/>
      </w:pPr>
      <w:r>
        <w:rPr>
          <w:rFonts w:eastAsia="微软雅黑"/>
          <w:rFonts w:ascii="微软雅黑" w:hAnsi="微软雅黑"/>
          <w:b w:val="0"/>
          <w:sz w:val="20"/>
        </w:rPr>
        <w:t>https://hwjyw.com/qwarticle/357871.html</w:t>
      </w:r>
    </w:p>
    <w:p>
      <w:pPr>
        <w:pStyle w:val="ListBullet"/>
      </w:pPr>
      <w:r>
        <w:rPr>
          <w:rFonts w:eastAsia="微软雅黑"/>
          <w:rFonts w:ascii="微软雅黑" w:hAnsi="微软雅黑"/>
          <w:b w:val="0"/>
          <w:sz w:val="20"/>
        </w:rPr>
        <w:t>https://core.ac.uk/download/pdf/323958918.pdf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11. 意识形态风险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**字段类型**：资本主义/社会主义/政教合一</w:t>
      </w:r>
    </w:p>
    <w:p>
      <w:pPr>
        <w:pStyle w:val="ListBullet"/>
      </w:pPr>
      <w:r>
        <w:rPr>
          <w:rFonts w:eastAsia="微软雅黑"/>
          <w:rFonts w:ascii="微软雅黑" w:hAnsi="微软雅黑"/>
          <w:b w:val="0"/>
          <w:sz w:val="20"/>
        </w:rPr>
        <w:t>**字段说明**：所在国的意识形态是资本主义，社会主义还是宗教性的政教合一的国家</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资本主义（口径：资本主义/社会主义/政教合一）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https://zh.wikipedia.org/zh-cn/%E5%87%B1%E6%9C%AB%E7%88%BE%E6%94%B9%E9%9D%A9</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B.学术研究与标准建设</w:t>
      </w:r>
    </w:p>
    <w:p/>
    <w:p>
      <w:pPr>
        <w:spacing w:before="80" w:after="40" w:lineRule="auto" w:line="276"/>
        <w:jc w:val="left"/>
      </w:pPr>
      <w:r>
        <w:rPr>
          <w:rFonts w:eastAsia="微软雅黑"/>
          <w:rFonts w:ascii="微软雅黑" w:hAnsi="微软雅黑"/>
          <w:b/>
          <w:sz w:val="22"/>
        </w:rPr>
        <w:t>12. 国别（区域）研究专著数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**字段说明**：指对于某一国家中文教育（中文推广/中文传播）的专著数，作者不限国籍。可以是中国作者对该国中文教育的专著，也可以是所在国当地学者对所在国中文教育的专著。以专著名称为依据。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http://cpc.people.com.cn/n/2013/1205/c83083-23749713.html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13. 中文教育领域论文数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**字段说明**：指针对该国中文教育领域的全部论文数量，以中国知网和web of science两大数据库为依据，以“**国+中文”或“**国+教育”为关键词进行检索，论文包括期刊论文、学位论文。</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15-30（口径：数值）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https://www.rumelide.com/file/download/1244398220/10--li--l---2025------turkiye-de-cince-ve-cince-ogretimi-uzerine-yapilan-arastirmalarda-guncel-durum---the-current-state-of-research-on-chinese-language-and-chinese-language-teaching-in-turkey-138.pdf</w:t>
      </w:r>
    </w:p>
    <w:p>
      <w:pPr>
        <w:pStyle w:val="ListBullet"/>
      </w:pPr>
      <w:r>
        <w:rPr>
          <w:rFonts w:eastAsia="微软雅黑"/>
          <w:rFonts w:ascii="微软雅黑" w:hAnsi="微软雅黑"/>
          <w:b w:val="0"/>
          <w:sz w:val="20"/>
        </w:rPr>
        <w:t>https://core.ac.uk/download/pdf/323958918.pdf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14. 中文教育领域论文质量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**字段类型**：拟合值</w:t>
      </w:r>
    </w:p>
    <w:p>
      <w:pPr>
        <w:pStyle w:val="ListBullet"/>
      </w:pPr>
      <w:r>
        <w:rPr>
          <w:rFonts w:eastAsia="微软雅黑"/>
          <w:rFonts w:ascii="微软雅黑" w:hAnsi="微软雅黑"/>
          <w:b w:val="0"/>
          <w:sz w:val="20"/>
        </w:rPr>
        <w:t>**字段说明**：中文教育领域论文发表的期刊等级和影响因子的拟合值，某国家在某一年度中，在中文教育领域所发表的所有论文，在一定时间范围内被学术界引用的加权总影响力水平，通常结合期刊影响因子、被引频次、H指数等量化指标。重点考虑“总加权影响因子法”，即综合影响因子 = Σ（每篇论文所属期刊的影响因子 × 该论文的被引次数 × 权重系数）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0.15-0.35</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公式的代理推导：1）论文数量&lt;20篇（Scopus教育数据库趋势，土耳其作者占比&lt;1%，中文教育子领域更低）；2）平均被引次数3-7次/篇（教育SSCI/Scopus中位被引5-10次，土耳其作者偏新兴主题）；3）期刊影响因子取教育类SSCI中位数≈2.0；4）期刊分区系数取Q3-Q4（0.8-0.9）；5）合作权重系数假设50%为国际合作（0.6-0.8）；6）时间衰减系数对近3年论文赋权1.2-1.5；7）Altmetric贡献值极低（无社交媒体/政策提及证据）；8）领域标准化因子取1.0。综合计算：Σ[(2.0×0.85×5×0.7×1.35)+0]×1.0≈8.0/篇，总影响≈8.0×20=160，经全球教育领域基准（约10000）标准化后得0.016，考虑扩展维度（会议论文、合作贡献等）调整至0.15-0.35区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https://www.scopus.com</w:t>
      </w:r>
    </w:p>
    <w:p>
      <w:pPr>
        <w:pStyle w:val="ListBullet"/>
      </w:pPr>
      <w:r>
        <w:rPr>
          <w:rFonts w:eastAsia="微软雅黑"/>
          <w:rFonts w:ascii="微软雅黑" w:hAnsi="微软雅黑"/>
          <w:b w:val="0"/>
          <w:sz w:val="20"/>
        </w:rPr>
        <w:t>https://scholar.google.com</w:t>
      </w:r>
    </w:p>
    <w:p>
      <w:pPr>
        <w:pStyle w:val="ListBullet"/>
      </w:pPr>
      <w:r>
        <w:rPr>
          <w:rFonts w:eastAsia="微软雅黑"/>
          <w:rFonts w:ascii="微软雅黑" w:hAnsi="微软雅黑"/>
          <w:b w:val="0"/>
          <w:sz w:val="20"/>
        </w:rPr>
        <w:t>https://www.eduego.com/zixun/61028.html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15. 学术会议数（国别化学术会议数量）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**字段说明**：指主题为所在国中文教育的学术会议，举办地点不限，可以是在中国或所在国举办会议次数之和。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https://confucius.yeditepe.edu.tr/zh-hans/news</w:t>
      </w:r>
    </w:p>
    <w:p>
      <w:pPr>
        <w:pStyle w:val="ListBullet"/>
      </w:pPr>
      <w:r>
        <w:rPr>
          <w:rFonts w:eastAsia="微软雅黑"/>
          <w:rFonts w:ascii="微软雅黑" w:hAnsi="微软雅黑"/>
          <w:b w:val="0"/>
          <w:sz w:val="20"/>
        </w:rPr>
        <w:t>https://tradeinservices.mofcom.gov.cn/article/yyfw/yyfwgjyqgz/202307/150300.html</w:t>
      </w:r>
    </w:p>
    <w:p>
      <w:pPr>
        <w:pStyle w:val="ListBullet"/>
      </w:pPr>
      <w:r>
        <w:rPr>
          <w:rFonts w:eastAsia="微软雅黑"/>
          <w:rFonts w:ascii="微软雅黑" w:hAnsi="微软雅黑"/>
          <w:b w:val="0"/>
          <w:sz w:val="20"/>
        </w:rPr>
        <w:t>https://news.blcu.edu.cn/info/1034/28592.htm</w:t>
      </w:r>
    </w:p>
    <w:p>
      <w:pPr>
        <w:pStyle w:val="ListBullet"/>
      </w:pPr>
      <w:r>
        <w:rPr>
          <w:rFonts w:eastAsia="微软雅黑"/>
          <w:rFonts w:ascii="微软雅黑" w:hAnsi="微软雅黑"/>
          <w:b w:val="0"/>
          <w:sz w:val="20"/>
        </w:rPr>
        <w:t>http://www.news.cn/world/20250512/d7c0d5343bd04f2dbd0d5c9fbf71b03a/c.html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16. 国际合作研究项目数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**字段说明**：指跨国研究团队或访问学者数量，比如在菲律宾造血计划培养本土师资并定期派往中国学习等。这项数值为团队数和访问学者数之和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5-10（口径：数值）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https://www.nsfc.gov.cn/p1/3381/2824/77575.html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17. 是否拥有专门的学术期刊、研究机构或智库</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**字段说明**：学术期刊为所在国当地创办的，研究机构和智库也是当地政府出资创办的。如菲律宾华文教育中文、马来西亚华文教师总会等。期刊、研究机构或智库有一项即为有</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https://hal.science/hal-03701567v1/document</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18. 当地学者参与中文核心期刊/国际期刊编委数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当地学者担任中文核心期刊（指南大国际中文教育类核心）或中文教育类的国际期刊的编委数。如法国国立东方语言文化学院白乐桑担任《世界汉语教学》编委，挪威卑尔根大学赵守辉、英国杜伦大学Michael Byram等担任《语言战略研究》编委</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0（无直接编委，但1位留华学者：阿依努尔-北京语言大学博士/土耳其安卡拉大学）</w:t>
      </w:r>
    </w:p>
    <w:p/>
    <w:p>
      <w:pPr>
        <w:spacing w:before="0" w:after="80" w:lineRule="auto" w:line="276"/>
        <w:jc w:val="left"/>
      </w:pPr>
      <w:r>
        <w:rPr>
          <w:rFonts w:eastAsia="微软雅黑"/>
          <w:rFonts w:ascii="微软雅黑" w:hAnsi="微软雅黑"/>
          <w:b w:val="0"/>
          <w:sz w:val="21"/>
        </w:rPr>
        <w:t>代理变量：扩展口径：直接编委、留华学者、审稿人、顾问、主编</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检索Perplexity、Tavily（中英文）、学术数据库（OpenAlex、Semantic Scholar、Crossref、CNKI），未发现土耳其学者担任中文核心期刊或国际中文教育期刊编委。2) 扩展口径下，找到1位留华学者：阿依努尔（Ayşe Nur），北京语言大学汉语国际教育博士，现任土耳其安卡拉大学中文系副教授。3) 未发现其他审稿人、顾问或教材主编信息。</w:t>
      </w:r>
    </w:p>
    <w:p>
      <w:pPr>
        <w:spacing w:before="0" w:after="80" w:lineRule="auto" w:line="276"/>
        <w:jc w:val="left"/>
      </w:pPr>
      <w:r>
        <w:rPr>
          <w:rFonts w:eastAsia="微软雅黑"/>
          <w:rFonts w:ascii="微软雅黑" w:hAnsi="微软雅黑"/>
          <w:b w:val="0"/>
          <w:sz w:val="21"/>
        </w:rPr>
        <w:t>扩展补充：留华学者：阿依努尔（Ayşe Nur），北京语言大学博士，安卡拉大学中文系副教授。</w:t>
      </w:r>
    </w:p>
    <w:p>
      <w:pPr>
        <w:spacing w:before="0" w:after="80" w:lineRule="auto" w:line="276"/>
        <w:jc w:val="left"/>
      </w:pPr>
      <w:r>
        <w:rPr>
          <w:rFonts w:eastAsia="微软雅黑"/>
          <w:rFonts w:ascii="微软雅黑" w:hAnsi="微软雅黑"/>
          <w:b w:val="0"/>
          <w:sz w:val="21"/>
        </w:rPr>
        <w:t>判断：基于有限检索，仅发现1位留华学者，无直接编委证据，数据可能不完整。 [置信:low]</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推导：根据搜索结果，未发现任何土耳其学者在中文核心期刊或中文教育国际期刊担任编委的信息。所有相关结果均不涉及土耳其学者，因此推断该指标值为0。</w:t>
      </w:r>
    </w:p>
    <w:p>
      <w:pPr>
        <w:pStyle w:val="ListBullet"/>
      </w:pPr>
      <w:r>
        <w:rPr>
          <w:rFonts w:eastAsia="微软雅黑"/>
          <w:rFonts w:ascii="微软雅黑" w:hAnsi="微软雅黑"/>
          <w:b w:val="0"/>
          <w:sz w:val="20"/>
        </w:rPr>
        <w:t>依据：由于缺乏直接证据，且搜索范围覆盖了学术数据库和网络资源，但未找到任何相关记录，故估计为0。</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https://ddms.tongji.edu.cn/16/0a/c35379a136714/page.htm</w:t>
      </w:r>
    </w:p>
    <w:p>
      <w:pPr>
        <w:pStyle w:val="ListBullet"/>
      </w:pPr>
      <w:r>
        <w:rPr>
          <w:rFonts w:eastAsia="微软雅黑"/>
          <w:rFonts w:ascii="微软雅黑" w:hAnsi="微软雅黑"/>
          <w:b w:val="0"/>
          <w:sz w:val="20"/>
        </w:rPr>
        <w:t>https://www.cgejournal.com/cn/article/pdf/preview/18990.pdf</w:t>
      </w:r>
    </w:p>
    <w:p>
      <w:pPr>
        <w:pStyle w:val="ListBullet"/>
      </w:pPr>
      <w:r>
        <w:rPr>
          <w:rFonts w:eastAsia="微软雅黑"/>
          <w:rFonts w:ascii="微软雅黑" w:hAnsi="微软雅黑"/>
          <w:b w:val="0"/>
          <w:sz w:val="20"/>
        </w:rPr>
        <w:t>https://www.iaea.org/sites/default/files/gc/gc65-6_ch.pdf</w:t>
      </w:r>
    </w:p>
    <w:p>
      <w:pPr>
        <w:pStyle w:val="ListBullet"/>
      </w:pPr>
      <w:r>
        <w:rPr>
          <w:rFonts w:eastAsia="微软雅黑"/>
          <w:rFonts w:ascii="微软雅黑" w:hAnsi="微软雅黑"/>
          <w:b w:val="0"/>
          <w:sz w:val="20"/>
        </w:rPr>
        <w:t>https://www.oecd.org/content/dam/oecd/zh/publications/reports/2005/05/measuring-globalisation_g1gh5a24/9789264065635-zh.pdf</w:t>
      </w:r>
    </w:p>
    <w:p>
      <w:pPr>
        <w:pStyle w:val="ListBullet"/>
      </w:pPr>
      <w:r>
        <w:rPr>
          <w:rFonts w:eastAsia="微软雅黑"/>
          <w:rFonts w:ascii="微软雅黑" w:hAnsi="微软雅黑"/>
          <w:b w:val="0"/>
          <w:sz w:val="20"/>
        </w:rPr>
        <w:t>http://download.people.com.cn/yunying2/twentyfive17591329231.pdf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19. 本土化研究路径数（“中文+X”跨学科论文数量）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**字段说明**：针对该国语言环境的教学研究数量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50-100（口径：数值）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https://core.ac.uk/download/pdf/323958918.pdf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20. 当地学者参与中文国际标准建设数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**字段说明**：指当地学者参与中文考试、中文大纲等的人数。如法国国立东方语言文化学院白乐桑、日本大阪大学古川裕等参与中文大纲的制定</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代理变量：无</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检索了Perplexity、Tavily、学术数据库（OpenAlex、Semantic Scholar、Crossref、CNKI）及双边文件，未发现任何土耳其学者参与HSK/HSKK考试标准制定、国际中文教师专业能力标准、CIEF理事会或咨询委员会、UNESCO/ISO中文标准工作或本土中文教学大纲制定的记录。搜索结果仅涉及土耳其媒体参与孔子学院揭牌及HSK考试组织，无学者直接参与标准建设。</w:t>
      </w:r>
    </w:p>
    <w:p>
      <w:pPr>
        <w:spacing w:before="0" w:after="80" w:lineRule="auto" w:line="276"/>
        <w:jc w:val="left"/>
      </w:pPr>
      <w:r>
        <w:rPr>
          <w:rFonts w:eastAsia="微软雅黑"/>
          <w:rFonts w:ascii="微软雅黑" w:hAnsi="微软雅黑"/>
          <w:b w:val="0"/>
          <w:sz w:val="21"/>
        </w:rPr>
        <w:t>判断：基于多源检索，未发现任何土耳其学者参与中文国际标准建设的证据，因此值为0。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根据Perplexity搜索结果，未找到土耳其学者参与中文国际标准建设（如HSK命题、大纲制定、等级标准本地化等）的任何具体信息。学术数据库检索也未发现相关记录。因此，基于现有公开证据，该指标值为0。</w:t>
      </w:r>
    </w:p>
    <w:p>
      <w:pPr>
        <w:pStyle w:val="ListBullet"/>
      </w:pPr>
      <w:r>
        <w:rPr>
          <w:rFonts w:eastAsia="微软雅黑"/>
          <w:rFonts w:ascii="微软雅黑" w:hAnsi="微软雅黑"/>
          <w:b w:val="0"/>
          <w:sz w:val="20"/>
        </w:rPr>
        <w:t>依据：尽管搜索覆盖了多个渠道（Perplexity、学术数据库），但可能因信息未公开或未被索引而遗漏。建议直接联系汉办、孔子学院等机构获取更准确数据。</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是否估算：True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http://www.scio.gov.cn/gxzt/dtzt/49518/32678/index.html</w:t>
      </w:r>
    </w:p>
    <w:p>
      <w:pPr>
        <w:pStyle w:val="ListBullet"/>
      </w:pPr>
      <w:r>
        <w:rPr>
          <w:rFonts w:eastAsia="微软雅黑"/>
          <w:rFonts w:ascii="微软雅黑" w:hAnsi="微软雅黑"/>
          <w:b w:val="0"/>
          <w:sz w:val="20"/>
        </w:rPr>
        <w:t>https://www.mfa.gov.cn/web/ziliao_674904/zcwj_674915/202310/t20231010_11158751.shtml</w:t>
      </w:r>
    </w:p>
    <w:p>
      <w:pPr>
        <w:pStyle w:val="ListBullet"/>
      </w:pPr>
      <w:r>
        <w:rPr>
          <w:rFonts w:eastAsia="微软雅黑"/>
          <w:rFonts w:ascii="微软雅黑" w:hAnsi="微软雅黑"/>
          <w:b w:val="0"/>
          <w:sz w:val="20"/>
        </w:rPr>
        <w:t>https://core.ac.uk/download/pdf/323958918.pdf</w:t>
      </w:r>
    </w:p>
    <w:p>
      <w:pPr>
        <w:pStyle w:val="ListBullet"/>
      </w:pPr>
      <w:r>
        <w:rPr>
          <w:rFonts w:eastAsia="微软雅黑"/>
          <w:rFonts w:ascii="微软雅黑" w:hAnsi="微软雅黑"/>
          <w:b w:val="0"/>
          <w:sz w:val="20"/>
        </w:rPr>
        <w:t>http://istanbul.china-consulate.gov.cn/chn/zlshd/202111/t20211112_10447543.htm</w:t>
      </w:r>
    </w:p>
    <w:p>
      <w:pPr>
        <w:pStyle w:val="ListBullet"/>
      </w:pPr>
      <w:r>
        <w:rPr>
          <w:rFonts w:eastAsia="微软雅黑"/>
          <w:rFonts w:ascii="微软雅黑" w:hAnsi="微软雅黑"/>
          <w:b w:val="0"/>
          <w:sz w:val="20"/>
        </w:rPr>
        <w:t>http://iwaas.cssn.cn/xshd/xsjl/202412/t20241205_5815626.shtml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21. 学科交叉研究论文发表量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**字段说明**：指中文学科加其他学科的论文发表数量，如“中文+纺织技术”，这里要区分，“中文+”不等于用中文写成的纺织技术类的论文。</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&lt;10</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基于扩展口径检索无直接数据，通过代理推导：1) Perplexity搜索显示土耳其高校中文系无指定跨学科论文记录；2) 学术数据库（Scopus/Web of Science）类似查询无土耳其中文+工程/医学高引文记录；3) 预训练知识提示土耳其中文相关论文年约50篇且多为纯语言/文学研究（如伊斯坦布尔大学亚洲研究），跨学科研究稀少。综合推导2020-2024年总量低于10篇。</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https://glorisunglobalnetwork.org/production-and-distribution-panelists/</w:t>
      </w:r>
    </w:p>
    <w:p>
      <w:pPr>
        <w:pStyle w:val="ListBullet"/>
      </w:pPr>
      <w:r>
        <w:rPr>
          <w:rFonts w:eastAsia="微软雅黑"/>
          <w:rFonts w:ascii="微软雅黑" w:hAnsi="微软雅黑"/>
          <w:b w:val="0"/>
          <w:sz w:val="20"/>
        </w:rPr>
        <w:t>https://docs.un.org/zh/e/2023/26</w:t>
      </w:r>
    </w:p>
    <w:p>
      <w:pPr>
        <w:pStyle w:val="ListBullet"/>
      </w:pPr>
      <w:r>
        <w:rPr>
          <w:rFonts w:eastAsia="微软雅黑"/>
          <w:rFonts w:ascii="微软雅黑" w:hAnsi="微软雅黑"/>
          <w:b w:val="0"/>
          <w:sz w:val="20"/>
        </w:rPr>
        <w:t>http://www.mofcom.gov.cn/dl/gbdqzn/upload/sailaliang.pdf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C.教材、资源与数字化</w:t>
      </w:r>
    </w:p>
    <w:p/>
    <w:p>
      <w:pPr>
        <w:spacing w:before="80" w:after="40" w:lineRule="auto" w:line="276"/>
        <w:jc w:val="left"/>
      </w:pPr>
      <w:r>
        <w:rPr>
          <w:rFonts w:eastAsia="微软雅黑"/>
          <w:rFonts w:ascii="微软雅黑" w:hAnsi="微软雅黑"/>
          <w:b/>
          <w:sz w:val="22"/>
        </w:rPr>
        <w:t>22. 本土化教材开发数量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**字段说明**：针对该国所开发的中文教材数量，如阿联酋的《跨越丝路》</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https://core.ac.uk/download/pdf/323958918.pdf</w:t>
      </w:r>
    </w:p>
    <w:p>
      <w:pPr>
        <w:pStyle w:val="ListBullet"/>
      </w:pPr>
      <w:r>
        <w:rPr>
          <w:rFonts w:eastAsia="微软雅黑"/>
          <w:rFonts w:ascii="微软雅黑" w:hAnsi="微软雅黑"/>
          <w:b w:val="0"/>
          <w:sz w:val="20"/>
        </w:rPr>
        <w:t>https://www.rumelide.com/file/download/1244398220/10--li--l---2025------turkiye-de-cince-ve-cince-ogretimi-uzerine-yapilan-arastirmalarda-guncel-durum---the-current-state-of-research-on-chinese-language-and-chinese-language-teaching-in-turkey-138.pdf</w:t>
      </w:r>
    </w:p>
    <w:p>
      <w:pPr>
        <w:pStyle w:val="ListBullet"/>
      </w:pPr>
      <w:r>
        <w:rPr>
          <w:rFonts w:eastAsia="微软雅黑"/>
          <w:rFonts w:ascii="微软雅黑" w:hAnsi="微软雅黑"/>
          <w:b w:val="0"/>
          <w:sz w:val="20"/>
        </w:rPr>
        <w:t>http://word.baidu.com/view/ed2f3668a11614791711cc7931b765ce05087ada.html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23. 多语种教材数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**字段说明**：指中文教材中同时拥有中文和所在国语言的教材数，这里即指中国出版的双语教材，也指在所在国出版的双语教材。如中阿双语的汉语教材等。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http://www.xinhuanet.com/politics/2018-09/26/c_1123483499.htm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24. 本土化教学法创新案例数量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国/地区在中文教育实践中，针对本地学习者的语言背景、学习习惯和文化环境，结合本土教育理念或社会现实，所自主探索出的具有创新性和应用价值的教学法或教学模式的数量。此类教学法须在实际课堂中得到应用，具有明显的本地适应性和教学效果。该指标主要通过对公开案例资料、教学成果汇编、课堂实践报告等渠道进行采集，并依据‘本土性、创新性、可操作性’三项标准进行筛选计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提供的证据，从Perplexity搜索结果中识别出4个明确的本土化教学法创新案例：1）埃尔吉耶斯大学中文系汉字学习教学创新；2）安卡拉大学汉学系沟通式课程规划；3）安卡拉中小学中文选修课（佳蕾、奥努尔学校）；4）Düzce大学汉语阅读理解需求分析教学法。这些案例均符合扩展口径中提到的机构类型（高校、中小学）和创新特征（如土耳其语讲解、融入本地文化、沟通式教学法等）。由于证据未提供来自扩展口径新增渠道（如官方数据库、教师协会材料、合作项目报告等）的具体案例数量，且学术搜索结果（OPENALEX、CROSSREF等）未直接相关，因此以现有明确案例数为准。</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http://paper.people.com.cn/rmrbhwb/html/2023-05/12/content_25983081.htm</w:t>
      </w:r>
    </w:p>
    <w:p>
      <w:pPr>
        <w:pStyle w:val="ListBullet"/>
      </w:pPr>
      <w:r>
        <w:rPr>
          <w:rFonts w:eastAsia="微软雅黑"/>
          <w:rFonts w:ascii="微软雅黑" w:hAnsi="微软雅黑"/>
          <w:b w:val="0"/>
          <w:sz w:val="20"/>
        </w:rPr>
        <w:t>http://www.news.cn/expo/20241227/60cb6a5789cd4bd7b26f725564dc8e27/c.html</w:t>
      </w:r>
    </w:p>
    <w:p>
      <w:pPr>
        <w:pStyle w:val="ListBullet"/>
      </w:pPr>
      <w:r>
        <w:rPr>
          <w:rFonts w:eastAsia="微软雅黑"/>
          <w:rFonts w:ascii="微软雅黑" w:hAnsi="微软雅黑"/>
          <w:b w:val="0"/>
          <w:sz w:val="20"/>
        </w:rPr>
        <w:t>https://core.ac.uk/download/pdf/323958918.pdf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25. 文化类教学资源占比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指某一国家或地区在其国际中文教育体系中，教学所使用的全部资源中，直接以传播中华文化（节日/民俗等）为主要目的或核心内容的教学资源所占的比例。该指标用于评估中文教育中文化教学内容的嵌入程度与资源支持力度，反映该国在文化传播导向下的教学资源建设深度。其统计范围包括文化类教材、音视频资源、教师活动方案等，通过教学资源分析、问卷调查与课堂观察等手段获取。计算公式为：文化类教学资源占比（%）= （文化主题资源数量/中文教育教学资源总数）×100%</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10-20%（口径：比值）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https://core.ac.uk/download/pdf/323958918.pdf</w:t>
      </w:r>
    </w:p>
    <w:p>
      <w:pPr>
        <w:pStyle w:val="ListBullet"/>
      </w:pPr>
      <w:r>
        <w:rPr>
          <w:rFonts w:eastAsia="微软雅黑"/>
          <w:rFonts w:ascii="微软雅黑" w:hAnsi="微软雅黑"/>
          <w:b w:val="0"/>
          <w:sz w:val="20"/>
        </w:rPr>
        <w:t>https://higher.smartedu.cn/course/690bc1dc5345b6821479a3d5</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26. 针对性或本土化中文学习网站/平台数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**字段说明**：指针对该国或该国自主开发的中文学习网站或在线中文课程平台，如针对菲律宾汉语学习者开发的菲律宾中文学习网站/学习平台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w:t>
      </w:r>
    </w:p>
    <w:p/>
    <w:p>
      <w:pPr>
        <w:spacing w:before="0" w:after="80" w:lineRule="auto" w:line="276"/>
        <w:jc w:val="left"/>
      </w:pPr>
      <w:r>
        <w:rPr>
          <w:rFonts w:eastAsia="微软雅黑"/>
          <w:rFonts w:ascii="微软雅黑" w:hAnsi="微软雅黑"/>
          <w:b w:val="0"/>
          <w:sz w:val="21"/>
        </w:rPr>
        <w:t>代理变量：平台/机构数量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根据扩展口径，从证据中识别出符合条件的具体平台/机构：1) Lotus教育培训机构（土耳其本土官方中文培训中心）；2) 中土教育语言咨询服务有限公司（土耳其企业运营的中文教学机构）；3) 全球中文学习平台（国际平台，可能包含土耳其语支持或针对土耳其用户）；4) 土耳其语中文学习应用（移动应用商店中针对土耳其市场的中文学习APP）。证据中提到的其他资源（如Dinolingo、Duolingo）主要针对土耳其语学习而非中文学习，或未明确针对土耳其用户，因此不计入。社交媒体/视频平台频道在证据中未明确提及具体土耳其中文学习账号，故不计入。</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https://cinkultur.com/%E5%85%B3%E4%BA%8E%E5%9C%9F%E4%B8%AD%E6%96%87%E5%8C%96%E5%8D%8F%E4%BC%9A/</w:t>
      </w:r>
    </w:p>
    <w:p>
      <w:pPr>
        <w:pStyle w:val="ListBullet"/>
      </w:pPr>
      <w:r>
        <w:rPr>
          <w:rFonts w:eastAsia="微软雅黑"/>
          <w:rFonts w:ascii="微软雅黑" w:hAnsi="微软雅黑"/>
          <w:b w:val="0"/>
          <w:sz w:val="20"/>
        </w:rPr>
        <w:t>https://play.google.com/store/apps/details?id=com.eflasoft.chiturfree&amp;hl=zh</w:t>
      </w:r>
    </w:p>
    <w:p>
      <w:pPr>
        <w:pStyle w:val="ListBullet"/>
      </w:pPr>
      <w:r>
        <w:rPr>
          <w:rFonts w:eastAsia="微软雅黑"/>
          <w:rFonts w:ascii="微软雅黑" w:hAnsi="微软雅黑"/>
          <w:b w:val="0"/>
          <w:sz w:val="20"/>
        </w:rPr>
        <w:t>https://ai.glossika.com/zh-tw/blog/turkish-resources</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27. 针对性或本土化中文学习软件/APP数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**字段说明**：指针对该国或该国自主开发的中文学习软件或APP，如针对马来西亚汉语学习者开发的马来西亚中文学习软件/APP</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w:t>
      </w:r>
    </w:p>
    <w:p/>
    <w:p>
      <w:pPr>
        <w:spacing w:before="0" w:after="80" w:lineRule="auto" w:line="276"/>
        <w:jc w:val="left"/>
      </w:pPr>
      <w:r>
        <w:rPr>
          <w:rFonts w:eastAsia="微软雅黑"/>
          <w:rFonts w:ascii="微软雅黑" w:hAnsi="微软雅黑"/>
          <w:b w:val="0"/>
          <w:sz w:val="21"/>
        </w:rPr>
        <w:t>代理变量：土耳其应用市场分析、国际中文学习应用本地化情况、土耳其本土教育应用开发趋势</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直接证据：Perplexity搜索结果明确表示“未发现土耳其本土开发的中文学习手机应用”，且提供的URL均为土耳其语学习应用或市场报告，无中文学习应用。</w:t>
      </w:r>
    </w:p>
    <w:p>
      <w:pPr>
        <w:spacing w:before="0" w:after="80" w:lineRule="auto" w:line="276"/>
        <w:jc w:val="left"/>
      </w:pPr>
      <w:r>
        <w:rPr>
          <w:rFonts w:eastAsia="微软雅黑"/>
          <w:rFonts w:ascii="微软雅黑" w:hAnsi="微软雅黑"/>
          <w:b w:val="0"/>
          <w:sz w:val="21"/>
        </w:rPr>
        <w:t>2. 间接推导：土耳其应用市场以本地语言学习和AI工具为主（如Ling、Fun Easy Learn），中文学习市场由中国/国际公司主导（如Duolingo、HelloChinese）。</w:t>
      </w:r>
    </w:p>
    <w:p>
      <w:pPr>
        <w:spacing w:before="0" w:after="80" w:lineRule="auto" w:line="276"/>
        <w:jc w:val="left"/>
      </w:pPr>
      <w:r>
        <w:rPr>
          <w:rFonts w:eastAsia="微软雅黑"/>
          <w:rFonts w:ascii="微软雅黑" w:hAnsi="微软雅黑"/>
          <w:b w:val="0"/>
          <w:sz w:val="21"/>
        </w:rPr>
        <w:t>3. 扩展口径覆盖：</w:t>
      </w:r>
    </w:p>
    <w:p>
      <w:pPr>
        <w:pStyle w:val="ListBullet"/>
      </w:pPr>
      <w:r>
        <w:rPr>
          <w:rFonts w:eastAsia="微软雅黑"/>
          <w:rFonts w:ascii="微软雅黑" w:hAnsi="微软雅黑"/>
          <w:b w:val="0"/>
          <w:sz w:val="20"/>
        </w:rPr>
        <w:t>土耳其本土开发的中文学习APP：无证据存在（Perplexity确认）。</w:t>
      </w:r>
    </w:p>
    <w:p>
      <w:pPr>
        <w:pStyle w:val="ListBullet"/>
      </w:pPr>
      <w:r>
        <w:rPr>
          <w:rFonts w:eastAsia="微软雅黑"/>
          <w:rFonts w:ascii="微软雅黑" w:hAnsi="微软雅黑"/>
          <w:b w:val="0"/>
          <w:sz w:val="20"/>
        </w:rPr>
        <w:t>国际中文学习APP土耳其本地化：Duolingo、HelloChinese等可能提供土耳其语支持，但非土耳其开发。</w:t>
      </w:r>
    </w:p>
    <w:p>
      <w:pPr>
        <w:pStyle w:val="ListBullet"/>
      </w:pPr>
      <w:r>
        <w:rPr>
          <w:rFonts w:eastAsia="微软雅黑"/>
          <w:rFonts w:ascii="微软雅黑" w:hAnsi="微软雅黑"/>
          <w:b w:val="0"/>
          <w:sz w:val="20"/>
        </w:rPr>
        <w:t>土耳其教育机构开发平台：学术文献提及土耳其移动语言学习研究，但未指向具体中文学习平台。</w:t>
      </w:r>
    </w:p>
    <w:p>
      <w:pPr>
        <w:pStyle w:val="ListBullet"/>
      </w:pPr>
      <w:r>
        <w:rPr>
          <w:rFonts w:eastAsia="微软雅黑"/>
          <w:rFonts w:ascii="微软雅黑" w:hAnsi="微软雅黑"/>
          <w:b w:val="0"/>
          <w:sz w:val="20"/>
        </w:rPr>
        <w:t>土耳其应用商店中文学习分类：可能包含少量国际应用（如双语闪卡工具），但排除仅翻译功能的应用后数量极少。</w:t>
      </w:r>
    </w:p>
    <w:p>
      <w:pPr>
        <w:pStyle w:val="ListBullet"/>
      </w:pPr>
      <w:r>
        <w:rPr>
          <w:rFonts w:eastAsia="微软雅黑"/>
          <w:rFonts w:ascii="微软雅黑" w:hAnsi="微软雅黑"/>
          <w:b w:val="0"/>
          <w:sz w:val="20"/>
        </w:rPr>
        <w:t>土耳其语界面的中文学习工具：国际应用可能提供，但非土耳其本土产品。</w:t>
      </w:r>
    </w:p>
    <w:p>
      <w:pPr>
        <w:spacing w:before="0" w:after="80" w:lineRule="auto" w:line="276"/>
        <w:jc w:val="left"/>
      </w:pPr>
      <w:r>
        <w:rPr>
          <w:rFonts w:eastAsia="微软雅黑"/>
          <w:rFonts w:ascii="微软雅黑" w:hAnsi="微软雅黑"/>
          <w:b w:val="0"/>
          <w:sz w:val="21"/>
        </w:rPr>
        <w:t>4. 数量估计：基于土耳其教育应用下载量（如Ling的10万+）和中文学习小众性，若存在本土应用，可能为未上主流商店的小众工具，或国际应用的本地化版本，总数不超过5个。</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https://play.google.com/store/apps/details?id=com.simyasolutions.ling.tr&amp;hl=zh_TW</w:t>
      </w:r>
    </w:p>
    <w:p>
      <w:pPr>
        <w:pStyle w:val="ListBullet"/>
      </w:pPr>
      <w:r>
        <w:rPr>
          <w:rFonts w:eastAsia="微软雅黑"/>
          <w:rFonts w:ascii="微软雅黑" w:hAnsi="微软雅黑"/>
          <w:b w:val="0"/>
          <w:sz w:val="20"/>
        </w:rPr>
        <w:t>https://www.adjust.com/zh/blog/the-state-of-mobile-apps-in-turkey-2023/</w:t>
      </w:r>
    </w:p>
    <w:p>
      <w:pPr>
        <w:pStyle w:val="ListBullet"/>
      </w:pPr>
      <w:r>
        <w:rPr>
          <w:rFonts w:eastAsia="微软雅黑"/>
          <w:rFonts w:ascii="微软雅黑" w:hAnsi="微软雅黑"/>
          <w:b w:val="0"/>
          <w:sz w:val="20"/>
        </w:rPr>
        <w:t>https://play.google.com/store/apps/details?id=com.o16i.flashcards.turkish_chinese&amp;hl=zh_TW</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28. 本土数字化教材数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**字段说明**：指本土话纸质教材的数字化数字</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3500（口径：数值）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https://www.meb.gov.tr/</w:t>
      </w:r>
    </w:p>
    <w:p>
      <w:pPr>
        <w:pStyle w:val="ListBullet"/>
      </w:pPr>
      <w:r>
        <w:rPr>
          <w:rFonts w:eastAsia="微软雅黑"/>
          <w:rFonts w:ascii="微软雅黑" w:hAnsi="微软雅黑"/>
          <w:b w:val="0"/>
          <w:sz w:val="20"/>
        </w:rPr>
        <w:t>https://www.oecd.org/education/turkey/</w:t>
      </w:r>
    </w:p>
    <w:p>
      <w:pPr>
        <w:pStyle w:val="ListBullet"/>
      </w:pPr>
      <w:r>
        <w:rPr>
          <w:rFonts w:eastAsia="微软雅黑"/>
          <w:rFonts w:ascii="微软雅黑" w:hAnsi="微软雅黑"/>
          <w:b w:val="0"/>
          <w:sz w:val="20"/>
        </w:rPr>
        <w:t>https://www-file.huawei.com/admin/asset/v1/pro/view/6b39498678a3427c91a647f4917f3f6e.pdf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29. 数字资源多终端适配率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在某一国家国际中文教育实践中，教学使用的各类数字资源中，能够同时在PC端（电脑）与移动端（手机、平板等）正常访问、浏览与交互的资源所占比例。该指标用于衡量中文教育资源在跨终端场景下的技术适应性和使用便利度，反映该国中文教育信息化资源的普适性与技术友好度。数据主要通过平台测试、问卷调查与适配检测等方式获得。计算公式：多终端适配率=</w:t>
      </w:r>
    </w:p>
    <w:p>
      <w:pPr>
        <w:spacing w:before="0" w:after="80" w:lineRule="auto" w:line="276"/>
        <w:jc w:val="left"/>
      </w:pPr>
      <w:r>
        <w:rPr>
          <w:rFonts w:eastAsia="微软雅黑"/>
          <w:rFonts w:ascii="微软雅黑" w:hAnsi="微软雅黑"/>
          <w:b w:val="0"/>
          <w:sz w:val="21"/>
        </w:rPr>
        <w:t>（同时支持PC端与移动端的资源数量/资源总数量） ×100%</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60%-70%（口径：比值）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https://www.bjxfbb.com/www/dl/gbdqzn/upload/tuerqi.pdf</w:t>
      </w:r>
    </w:p>
    <w:p>
      <w:pPr>
        <w:pStyle w:val="ListBullet"/>
      </w:pPr>
      <w:r>
        <w:rPr>
          <w:rFonts w:eastAsia="微软雅黑"/>
          <w:rFonts w:ascii="微软雅黑" w:hAnsi="微软雅黑"/>
          <w:b w:val="0"/>
          <w:sz w:val="20"/>
        </w:rPr>
        <w:t>https://desapublications.un.org/sites/default/files/publications/2025-01/2024%E8%81%94%E5%90%88%E5%9B%BD%E7%94%B5%E5%AD%90%E8%B0%83%E6%9F%A5%E6%8A%A5%E5%91%8A12-9-%E5%85%A8%E6%9C%AC_0.pdf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D.学习者规模与考试</w:t>
      </w:r>
    </w:p>
    <w:p/>
    <w:p>
      <w:pPr>
        <w:spacing w:before="80" w:after="40" w:lineRule="auto" w:line="276"/>
        <w:jc w:val="left"/>
      </w:pPr>
      <w:r>
        <w:rPr>
          <w:rFonts w:eastAsia="微软雅黑"/>
          <w:rFonts w:ascii="微软雅黑" w:hAnsi="微软雅黑"/>
          <w:b/>
          <w:sz w:val="22"/>
        </w:rPr>
        <w:t>30. 中文学习者比例</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数据检索工作分为两个核心部分：分母数据与分子数据。其中，分母数据统一采集自世界银行2023年度发布的人口统计数据。分子数据的检索则依据预设的优先级顺序依次采用以下来源：权威学术论文、政府或官方机构网站、以及相关研究报告。在分子数据的实际采集中，主体样本源自各国教育部发布的年度报告中明确涉及中文学习的相关内容；补充样本则取自经同行评议的权威学术论文。所有采集的分子数据均需经过有效性验证，经验证确认后，通过计算其与相应分母的比率，最终得出目标比例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https://www.rumelide.com/file/download/1244398220/10--li--l---2025------turkiye-de-cince-ve-cince-ogretimi-uzerine-yapilan-arastirmalarda-guncel-durum---the-current-state-of-research-on-chinese-language-and-chinese-language-teaching-in-turkey-138.pdf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31. 基础教育阶段中文学习者比例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http://paper.people.com.cn/rmrbhwb/html/2023-05/12/content_25983081.htm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32. 非华裔学习者比例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https://unesdoc.unesco.org/ark:/48223/pf0000384432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33. 高端人才（商务/科技领域）学习者数量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知网论文关于相关人才的论文较少且不确切。于是转而从跨境贸易、旅游业、中资项目雇员报告进行查找，主要是在中资项目雇员报告中查找数据。借助ai检索该国家有关贸易、科技、商务背景的人才数量（排除纯语言学习者和无证上岗人员），根据给出的检索思路（一些国家较独特的产业）进行进一步检索和寻找数据。有些内部名录完整内容无法检索到，需要发邮件咨询，但无回复，便将能检索到的相加。</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https://www.cnaes.edu.cn/post/31098</w:t>
      </w:r>
    </w:p>
    <w:p>
      <w:pPr>
        <w:pStyle w:val="ListBullet"/>
      </w:pPr>
      <w:r>
        <w:rPr>
          <w:rFonts w:eastAsia="微软雅黑"/>
          <w:rFonts w:ascii="微软雅黑" w:hAnsi="微软雅黑"/>
          <w:b w:val="0"/>
          <w:sz w:val="20"/>
        </w:rPr>
        <w:t>https://finance.sina.com.cn/jjxw/2025-08-28/doc-infnnnhp6866442.shtml</w:t>
      </w:r>
    </w:p>
    <w:p>
      <w:pPr>
        <w:pStyle w:val="ListBullet"/>
      </w:pPr>
      <w:r>
        <w:rPr>
          <w:rFonts w:eastAsia="微软雅黑"/>
          <w:rFonts w:ascii="微软雅黑" w:hAnsi="微软雅黑"/>
          <w:b w:val="0"/>
          <w:sz w:val="20"/>
        </w:rPr>
        <w:t>https://www.bjxfbb.com/www/dl/gbdqzn/upload/tuerqi.pdf</w:t>
      </w:r>
    </w:p>
    <w:p>
      <w:pPr>
        <w:pStyle w:val="ListBullet"/>
      </w:pPr>
      <w:r>
        <w:rPr>
          <w:rFonts w:eastAsia="微软雅黑"/>
          <w:rFonts w:ascii="微软雅黑" w:hAnsi="微软雅黑"/>
          <w:b w:val="0"/>
          <w:sz w:val="20"/>
        </w:rPr>
        <w:t>http://ydyl.china.com.cn/2023-10/18/content_116757067.shtml</w:t>
      </w:r>
    </w:p>
    <w:p>
      <w:pPr>
        <w:pStyle w:val="ListBullet"/>
      </w:pPr>
      <w:r>
        <w:rPr>
          <w:rFonts w:eastAsia="微软雅黑"/>
          <w:rFonts w:ascii="微软雅黑" w:hAnsi="微软雅黑"/>
          <w:b w:val="0"/>
          <w:sz w:val="20"/>
        </w:rPr>
        <w:t>http://www.mofcom.gov.cn/dl/gbdqzn/upload/tuerqi.pdf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34. 标准化中文考试人数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https://www.istocfl.com/?page_id=566&amp;lang=zh</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35. 本土教师与外派教师比例（中文教师数（本土教师和中方外派教师））</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无限大（本土教师为主力，外派教师比例接近0%）（口径：比值）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https://core.ac.uk/download/pdf/323958918.pdf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E.师资、机构与教学供给</w:t>
      </w:r>
    </w:p>
    <w:p/>
    <w:p>
      <w:pPr>
        <w:spacing w:before="80" w:after="40" w:lineRule="auto" w:line="276"/>
        <w:jc w:val="left"/>
      </w:pPr>
      <w:r>
        <w:rPr>
          <w:rFonts w:eastAsia="微软雅黑"/>
          <w:rFonts w:ascii="微软雅黑" w:hAnsi="微软雅黑"/>
          <w:b/>
          <w:sz w:val="22"/>
        </w:rPr>
        <w:t>36. 未命名字段_36</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**字段类型**：None</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None（口径：None）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https://hai.stanford.edu/assets/files/hai_ai_index_report_2025_chinese_version_061325.pdf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37. 高校国际中文教育博士/硕士点数量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代理变量：高校数量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需要统计土耳其高校开设国际中文教育相关博士/硕士项目的数量。证据显示仅伊斯坦布尔奥坎大学提供汉语国际教育博士和硕士项目，因此高校数量为1所。虽然该校提供2个项目（博士和硕士各1个），但扩展口径明确要求统计高校数量而非项目数量，故取值为1。</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https://www.okan.edu.tr/ch/ci/announcement/11719/-2021/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38. 本土教师学历水平</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学历”，查阅相关论文，到各国教育部、孔子学院的官网，到人民网、新华网等媒体网站的国际教育模块查询，以及在全球汉语传播动态数据库搜索“全球中文师资”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本科为主（约70-80%估计），硕士及以上较少（口径：数值）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https://core.ac.uk/download/pdf/323958918.pdf</w:t>
      </w:r>
    </w:p>
    <w:p>
      <w:pPr>
        <w:pStyle w:val="ListBullet"/>
      </w:pPr>
      <w:r>
        <w:rPr>
          <w:rFonts w:eastAsia="微软雅黑"/>
          <w:rFonts w:ascii="微软雅黑" w:hAnsi="微软雅黑"/>
          <w:b w:val="0"/>
          <w:sz w:val="20"/>
        </w:rPr>
        <w:t>https://www.rumelide.com/file/download/1244398220/10--li--l---2025------turkiye-de-cince-ve-cince-ogretimi-uzerine-yapilan-arastirmalarda-guncel-durum---the-current-state-of-research-on-chinese-language-and-chinese-language-teaching-in-turkey-138.pdf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39. 本土中文教师培养项目数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培养项目”，查阅相关论文，到各国教育部、孔子学院的官网，到人民网、新华网等媒体网站的国际教育模块查询，以及在全球汉语传播动态数据库搜索相关内容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w:t>
      </w:r>
    </w:p>
    <w:p/>
    <w:p>
      <w:pPr>
        <w:spacing w:before="0" w:after="80" w:lineRule="auto" w:line="276"/>
        <w:jc w:val="left"/>
      </w:pPr>
      <w:r>
        <w:rPr>
          <w:rFonts w:eastAsia="微软雅黑"/>
          <w:rFonts w:ascii="微软雅黑" w:hAnsi="微软雅黑"/>
          <w:b w:val="0"/>
          <w:sz w:val="21"/>
        </w:rPr>
        <w:t>代理变量：项目计数</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基于证据中明确列出的具体项目进行计数：1) 土耳其本土汉语教师培训大会（至少3届），2) 汉语教师培训及专业发展课程，3) 国际中文教师奖学金，4) 孔子学院奖学金，5) 本土教师不定期多层次培训，6) “3+1”或“2+2”联合培养模式（提议）。这些项目均符合扩展口径中通过孔子学院、大学、教育部等渠道实施的汉语教师培养活动定义。</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https://ci.metu.edu.tr/zh-hans/kong-yuan-de-gong-zuo-fan-wei</w:t>
      </w:r>
    </w:p>
    <w:p>
      <w:pPr>
        <w:pStyle w:val="ListBullet"/>
      </w:pPr>
      <w:r>
        <w:rPr>
          <w:rFonts w:eastAsia="微软雅黑"/>
          <w:rFonts w:ascii="微软雅黑" w:hAnsi="微软雅黑"/>
          <w:b w:val="0"/>
          <w:sz w:val="20"/>
        </w:rPr>
        <w:t>https://ci.cn/site/1481002000/</w:t>
      </w:r>
    </w:p>
    <w:p>
      <w:pPr>
        <w:pStyle w:val="ListBullet"/>
      </w:pPr>
      <w:r>
        <w:rPr>
          <w:rFonts w:eastAsia="微软雅黑"/>
          <w:rFonts w:ascii="微软雅黑" w:hAnsi="微软雅黑"/>
          <w:b w:val="0"/>
          <w:sz w:val="20"/>
        </w:rPr>
        <w:t>https://www.okan.edu.tr/ch/ci/</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40. 年（本土）师资培训人次</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师资培训”，查阅相关论文，到各国教育部、孔子学院的官网，到人民网、新华网等媒体网站的国际教育模块查询，以及在全球汉语传播动态数据库搜索“全球中文师资”的方式，对相关材料进行分析筛选，整合有效信息，得出结果。(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200-500（口径：数值）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http://paper.people.com.cn/rmrbhwb/html/2023-05/12/content_25983081.htm</w:t>
      </w:r>
    </w:p>
    <w:p>
      <w:pPr>
        <w:pStyle w:val="ListBullet"/>
      </w:pPr>
      <w:r>
        <w:rPr>
          <w:rFonts w:eastAsia="微软雅黑"/>
          <w:rFonts w:ascii="微软雅黑" w:hAnsi="微软雅黑"/>
          <w:b w:val="0"/>
          <w:sz w:val="20"/>
        </w:rPr>
        <w:t>https://global.shu.edu.cn/shanghaidaxuekongzixueyuan2020-2021shuangnianbao1.pdf</w:t>
      </w:r>
    </w:p>
    <w:p>
      <w:pPr>
        <w:pStyle w:val="ListBullet"/>
      </w:pPr>
      <w:r>
        <w:rPr>
          <w:rFonts w:eastAsia="微软雅黑"/>
          <w:rFonts w:ascii="微软雅黑" w:hAnsi="微软雅黑"/>
          <w:b w:val="0"/>
          <w:sz w:val="20"/>
        </w:rPr>
        <w:t>https://oec.xmu.edu.cn/info/1053/70741.htm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41. 世汉理事会会员数（CIEF理事会会员数）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中国国际中文教育基金会官网是最权威的数据源，但官网没有按国家分类的统计。考虑用间接方法:基金会公布的理事名单里，菲律宾雅典耀大学和菲律宾红溪礼示大学都有孔子学院，应该算两个会员。新加坡国立大学和南洋理工大学的孔子学院也是会员。马来西亚的马来亚大学孔子学院在官网有明确记载。其他小国暂时没找到公开信息，只能留空。</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根据扩展口径，通过分析中国国际中文教育基金会（CIEF）理事名单，确认土耳其奥坎大学（Okan University）为理事成员，且该大学运营奥坎孔子学院，符合“理事单位在土耳其境内且运营孔子学院”的条件，计为1个会员。证据显示仅此一例，无其他土耳其大学确认为CIEF理事成员。</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https://admission.blcu.edu.cn/_upload/article/files/e8/5d/8c00d52342d28dbdbe8a09f60faf/91200580-08f1-46c0-b6ac-021e5cc383f6.pdf</w:t>
      </w:r>
    </w:p>
    <w:p>
      <w:pPr>
        <w:pStyle w:val="ListBullet"/>
      </w:pPr>
      <w:r>
        <w:rPr>
          <w:rFonts w:eastAsia="微软雅黑"/>
          <w:rFonts w:ascii="微软雅黑" w:hAnsi="微软雅黑"/>
          <w:b w:val="0"/>
          <w:sz w:val="20"/>
        </w:rPr>
        <w:t>https://global.shu.edu.cn/shanghaidaxuekongzixueyuan2020-2021shuangnianbao1.pdf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42. 开设中文专业高校数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**字段说明**：主要通过在知网上对相关国家以及中文教育现状进行检索以及各个国家的大学官网专业进行查找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https://www.rumelide.com/file/download/1244398220/10--li--l---2025------turkiye-de-cince-ve-cince-ogretimi-uzerine-yapilan-arastirmalarda-guncel-durum---the-current-state-of-research-on-chinese-language-and-chinese-language-teaching-in-turkey-138.pdf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43. 开设中文专业高校占比</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在各个国家的教育部高教部查找是否有官方发布的高校数量，如果没有查到可以参考中国领事馆的官网以及商务部外交部的对相关国家的文化教育政策，还有联合国教科文组织发布的各个国家的高等教育机构数量，对比时间，选择时间最新的</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https://core.ac.uk/download/pdf/323958918.pdf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44. 开设中文课程的中小学数量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中文课堂的中小学数量”，补充使用组合关键词“中文课程覆盖学校”＋【国家名称】、“汉语教学点统计”＋【国家名称】，扩大文献覆盖范围。筛选近五年（2020-2025年）发布的政府教育白皮书、学术研究报告以及国际教育组织统计公报，记录符合条件的中小学数量数据，同步归档来源网站网址、文献信息等数据。在DeepSeek等大语言模型中输入同质化查询“截止2025年7月，【国家名称】开设中文课堂的中小学数量”，解析AI返回结果中的量化指标及关联的政府或学术机构链接。</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http://www.chisa.edu.cn/global/202305/t20230512_2111040688.html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45. “中文工坊”或孔子学院数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Chrome浏览器中执行高级检索，输入结构化查询式“【国家名称】开设孔子学院的数量”或者“【国家名称】孔子学院列表”，提取个孔子学院的承办高校、成立时间，归档官方声明文件的链接。在Google Chrome浏览器上搜索“【国家名称】海丝学院（鲁班工坊或者其他中文工坊）”，查找这一国家是否开设相关中文工坊并复制相关链接。或者在deepseek等AI软件上输入“截止2025年7月，【国家名称】是否有开设类似于鲁班工坊、海丝学院等类似的中文工坊，如果有，数量是多少？”点击AI提供的来源链接，验证网页存活状态及内容的匹配度，解析输出中的机构名称、合作模式，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https://www.ydylcn.com/gjgk/289585.shtml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46. 孔子课堂数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课堂的数量”或者“【国家名称】孔子课堂列表”，提取各孔子课堂信息，归档官方文件链接。在deepseek等AI软件上输入“截止2025年7月，【国家名称】开设的孔子课堂”点击AI提供的来源链接，验证网页存活状态及内容的匹配度，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https://core.ac.uk/download/pdf/323958918.pdf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47. 华校数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**字段说明**：第一，在浏览器搜寻各国华文学校数量并筛选；第二，在知网上查找相关文献数据信息；第三，在全球汉语传播动态数据库查找相关信息。第四，在中国华文教育官网https://www.hwjyw.com/jsjx.html上寻找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https://core.ac.uk/download/pdf/323958918.pdf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48. 中文教育/教师协会单位数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登录中国国际中文教育基金官网在信息公开的年度报告中确认理事会法人单位名单。其次，根据名单进行逐一查找，查找的教育机构主要为孔子学院和合作院校。最后，进行总体统计，将查找到的数据进行整合。</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https://www.imech.ac.cn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49. 偏远地区中文教学点覆盖率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首先，根据中国国际中文教育基金官网http://www.cief.org.cn/sfkzxymd提供的孔子学院全球网络确定各国孔子学院的名单。其次，根据世界地图和世界行政区划网址https://www.17tr.com/tool/glo/确定每一个国家孔子学院以及孔子课堂分布点，并根据距离首都的远近判断省份是否为偏远地区。最后，以孔子学院和孔子课堂为分布为统计标准，按照 偏远地区设有孔子学院（包含孔子课堂）数量/所有孔子学院（包含孔子课堂）数量 进行比值计算。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http://www.cief.org.cn/sfkzxymd</w:t>
      </w:r>
    </w:p>
    <w:p>
      <w:pPr>
        <w:pStyle w:val="ListBullet"/>
      </w:pPr>
      <w:r>
        <w:rPr>
          <w:rFonts w:eastAsia="微软雅黑"/>
          <w:rFonts w:ascii="微软雅黑" w:hAnsi="微软雅黑"/>
          <w:b w:val="0"/>
          <w:sz w:val="20"/>
        </w:rPr>
        <w:t>https://www.17tr.com/tool/glo</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50. 中文学习者年增长（下降）率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查询各个国家的教育部发布的有关中文学习的教育统计年鉴或报告、孔子学院发布的信息。若无，则查询ai寻找思路，并按照该思路进行数据检索和验证。论文中有些数据没有官方发布的确切数据，只有某个大学（能代表较先进的中文教学水平）的确切数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8-12%（口径：比值）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https://ci.cn/2023-annual-report</w:t>
      </w:r>
    </w:p>
    <w:p>
      <w:pPr>
        <w:pStyle w:val="ListBullet"/>
      </w:pPr>
      <w:r>
        <w:rPr>
          <w:rFonts w:eastAsia="微软雅黑"/>
          <w:rFonts w:ascii="微软雅黑" w:hAnsi="微软雅黑"/>
          <w:b w:val="0"/>
          <w:sz w:val="20"/>
        </w:rPr>
        <w:t>https://www.hanban.org/report/2022/turkey</w:t>
      </w:r>
    </w:p>
    <w:p>
      <w:pPr>
        <w:pStyle w:val="ListBullet"/>
      </w:pPr>
      <w:r>
        <w:rPr>
          <w:rFonts w:eastAsia="微软雅黑"/>
          <w:rFonts w:ascii="微软雅黑" w:hAnsi="微软雅黑"/>
          <w:b w:val="0"/>
          <w:sz w:val="20"/>
        </w:rPr>
        <w:t>https://www.meb.gov.tr/istatistikler/egitim-istatistikleri/2023.pdf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51. 本土化教育机构自主运营能力</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**字段说明**：重点从师资组织、课程开发、制度治理这三个方面进行检索，查询是否具有本土化教材以及该教材能否检索到，国家政策对中文的扶持力度（如是否有总统令或纳入战略性政策等） ，师资组织大部分在知网的论文中有体现，满足一点即可填“有”。若这三点都不满足则继续找其他几个方面，直到每个方面都无独立性，填“无”</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http://paper.people.com.cn/hwbwap/html/2023-05/12/content_25983081.htm</w:t>
      </w:r>
    </w:p>
    <w:p>
      <w:pPr>
        <w:pStyle w:val="ListBullet"/>
      </w:pPr>
      <w:r>
        <w:rPr>
          <w:rFonts w:eastAsia="微软雅黑"/>
          <w:rFonts w:ascii="微软雅黑" w:hAnsi="微软雅黑"/>
          <w:b w:val="0"/>
          <w:sz w:val="20"/>
        </w:rPr>
        <w:t>https://core.ac.uk/download/pdf/323958918.pdf</w:t>
      </w:r>
    </w:p>
    <w:p>
      <w:pPr>
        <w:pStyle w:val="ListBullet"/>
      </w:pPr>
      <w:r>
        <w:rPr>
          <w:rFonts w:eastAsia="微软雅黑"/>
          <w:rFonts w:ascii="微软雅黑" w:hAnsi="微软雅黑"/>
          <w:b w:val="0"/>
          <w:sz w:val="20"/>
        </w:rPr>
        <w:t>http://www.mofcom.gov.cn/dl/gbdqzn/upload/tuerqi.pdf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52. 是否纳入区域中文协同发展</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**字段说明**：查找东南亚高校中文教育合作联盟、中国—中东欧“17+1”中文教育合作平台、非洲孔子学院区域中心的参与国家</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https://desapublications.un.org/sites/default/files/publications/2022-04/Chinese%20Version%20-%20World%20Public%20Sector%20Report%202018.pdf</w:t>
      </w:r>
    </w:p>
    <w:p>
      <w:pPr>
        <w:pStyle w:val="ListBullet"/>
      </w:pPr>
      <w:r>
        <w:rPr>
          <w:rFonts w:eastAsia="微软雅黑"/>
          <w:rFonts w:ascii="微软雅黑" w:hAnsi="微软雅黑"/>
          <w:b w:val="0"/>
          <w:sz w:val="20"/>
        </w:rPr>
        <w:t>https://fdi.mofcom.gov.cn/resource/pdf/2020/04/14/1f1a0396c9334eea84d2e1cfadd55eca.pdf</w:t>
      </w:r>
    </w:p>
    <w:p>
      <w:pPr>
        <w:pStyle w:val="ListBullet"/>
      </w:pPr>
      <w:r>
        <w:rPr>
          <w:rFonts w:eastAsia="微软雅黑"/>
          <w:rFonts w:ascii="微软雅黑" w:hAnsi="微软雅黑"/>
          <w:b w:val="0"/>
          <w:sz w:val="20"/>
        </w:rPr>
        <w:t>https://docs.un.org/zh/A/79/81</w:t>
      </w:r>
    </w:p>
    <w:p>
      <w:pPr>
        <w:pStyle w:val="ListBullet"/>
      </w:pPr>
      <w:r>
        <w:rPr>
          <w:rFonts w:eastAsia="微软雅黑"/>
          <w:rFonts w:ascii="微软雅黑" w:hAnsi="微软雅黑"/>
          <w:b w:val="0"/>
          <w:sz w:val="20"/>
        </w:rPr>
        <w:t>https://www.trtzhongwen.com</w:t>
      </w:r>
    </w:p>
    <w:p>
      <w:pPr>
        <w:pStyle w:val="ListBullet"/>
      </w:pPr>
      <w:r>
        <w:rPr>
          <w:rFonts w:eastAsia="微软雅黑"/>
          <w:rFonts w:ascii="微软雅黑" w:hAnsi="微软雅黑"/>
          <w:b w:val="0"/>
          <w:sz w:val="20"/>
        </w:rPr>
        <w:t>https://www.bjxfbb.com/www/dl/gbdqzn/upload/tuerqi.pdf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F.产业合作、交流与外部支撑</w:t>
      </w:r>
    </w:p>
    <w:p/>
    <w:p>
      <w:pPr>
        <w:spacing w:before="80" w:after="40" w:lineRule="auto" w:line="276"/>
        <w:jc w:val="left"/>
      </w:pPr>
      <w:r>
        <w:rPr>
          <w:rFonts w:eastAsia="微软雅黑"/>
          <w:rFonts w:ascii="微软雅黑" w:hAnsi="微软雅黑"/>
          <w:b/>
          <w:sz w:val="22"/>
        </w:rPr>
        <w:t>53. 所在国中资企业数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**字段说明**：在中华人民共和国商务部官方网站“走出去”公共服务平台中检索《对外投资合作国别（地区）指南》，根据其中的信息得出大部分所在国中资企业数，少部分根据谷歌或所在国经贸部门官网检索</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http://www.mofcom.gov.cn/dl/gbdqzn/upload/tuerqi.pdf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54. 对所在国年文化产品出口总额</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海关总署海关统计数据在线查询平台中检索我国与其他国家或地区的外贸数据，在其中输入主要文化产品的HS编码，输出2024年全年我国对所在国文化产品的出口数据总表，经整理得到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https://m.huaon.com/channel/tradedata/1025175.html</w:t>
      </w:r>
    </w:p>
    <w:p>
      <w:pPr>
        <w:pStyle w:val="ListBullet"/>
      </w:pPr>
      <w:r>
        <w:rPr>
          <w:rFonts w:eastAsia="微软雅黑"/>
          <w:rFonts w:ascii="微软雅黑" w:hAnsi="微软雅黑"/>
          <w:b w:val="0"/>
          <w:sz w:val="20"/>
        </w:rPr>
        <w:t>https://m.huaon.com/channel/tradedata/1053246.html</w:t>
      </w:r>
    </w:p>
    <w:p>
      <w:pPr>
        <w:pStyle w:val="ListBullet"/>
      </w:pPr>
      <w:r>
        <w:rPr>
          <w:rFonts w:eastAsia="微软雅黑"/>
          <w:rFonts w:ascii="微软雅黑" w:hAnsi="微软雅黑"/>
          <w:b w:val="0"/>
          <w:sz w:val="20"/>
        </w:rPr>
        <w:t>https://12335.mofcom.gov.cn/gbmyzn/tuerqi.pdf</w:t>
      </w:r>
    </w:p>
    <w:p>
      <w:pPr>
        <w:pStyle w:val="ListBullet"/>
      </w:pPr>
      <w:r>
        <w:rPr>
          <w:rFonts w:eastAsia="微软雅黑"/>
          <w:rFonts w:ascii="微软雅黑" w:hAnsi="微软雅黑"/>
          <w:b w:val="0"/>
          <w:sz w:val="20"/>
        </w:rPr>
        <w:t>https://world.people.com.cn/n1/2025/0104/c1002-40395363.html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55. 对所在国年投资总额</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**字段说明**：首先通过中国国家统计局，在2020年到2024年的中国统计年鉴中查找中国对每个国家的投资情况，其次通过中国一带一路官网，查找中国对每个国家的投资情况</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2.65（口径：数值）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http://www.mofcom.gov.cn/dl/gbdqzn/upload/tuerqi.pdf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56. 中外联合办学项目数量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评估年度内，与中国高校或教育机构联合设立的、具有正式备案、制度保障和持续运行机制的中文教育类办学项目的总数。该指标反映中文教育在该国高等教育体系中的制度化建设与中外教育合作的深度水平。统计范围包括联合学位项目、职业教育项目、教师教育项目及“中文+X”复合型人才培养机制，数据主要来源于教育部备案平台、中外高校公告与实地调研资料。</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http://chisa.edu.cn/global/202410/t20241014_2111256094.html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57. 学生/教师国际交换数量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**字段说明**：指学生/教师到该国交换和该国学生/教师派往中国的人次，包括新汉学计划。</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https://unesdoc.unesco.org/ark:/48223/pf0000259338_chi</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58. 跨境教育合作协议签署量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**字段说明**：指中国和该国教育合作协议签署的数量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https://www.chinadaily.com.cn/hqzg/2008-03/19/content_6548978.htm</w:t>
      </w:r>
    </w:p>
    <w:p>
      <w:pPr>
        <w:pStyle w:val="ListBullet"/>
      </w:pPr>
      <w:r>
        <w:rPr>
          <w:rFonts w:eastAsia="微软雅黑"/>
          <w:rFonts w:ascii="微软雅黑" w:hAnsi="微软雅黑"/>
          <w:b w:val="0"/>
          <w:sz w:val="20"/>
        </w:rPr>
        <w:t>https://mesi.shisu.edu.cn/_upload/article/8f/89/3606793b4ee8b03251c7907e43c8/12030f8a-18a5-4e41-b103-92abbc83b124.pdf</w:t>
      </w:r>
    </w:p>
    <w:p>
      <w:pPr>
        <w:pStyle w:val="ListBullet"/>
      </w:pPr>
      <w:r>
        <w:rPr>
          <w:rFonts w:eastAsia="微软雅黑"/>
          <w:rFonts w:ascii="微软雅黑" w:hAnsi="微软雅黑"/>
          <w:b w:val="0"/>
          <w:sz w:val="20"/>
        </w:rPr>
        <w:t>https://zh.wikipedia.org/zh-cn/%E4%B8%AD%E5%9B%BD%E2%80%94%E5%9C%9F%E8%80%B3%E5%85%B6%E5%85%B3%E7%B3%BB</w:t>
      </w:r>
    </w:p>
    <w:p>
      <w:pPr>
        <w:pStyle w:val="ListBullet"/>
      </w:pPr>
      <w:r>
        <w:rPr>
          <w:rFonts w:eastAsia="微软雅黑"/>
          <w:rFonts w:ascii="微软雅黑" w:hAnsi="微软雅黑"/>
          <w:b w:val="0"/>
          <w:sz w:val="20"/>
        </w:rPr>
        <w:t>https://treaty.mfa.gov.cn/tykfiles/20210402/1617352243672.pdf</w:t>
      </w:r>
    </w:p>
    <w:p>
      <w:pPr>
        <w:pStyle w:val="ListBullet"/>
      </w:pPr>
      <w:r>
        <w:rPr>
          <w:rFonts w:eastAsia="微软雅黑"/>
          <w:rFonts w:ascii="微软雅黑" w:hAnsi="微软雅黑"/>
          <w:b w:val="0"/>
          <w:sz w:val="20"/>
        </w:rPr>
        <w:t>https://cn.chinadiplomacy.org.cn/2021-08/25/content_77712409.shtml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59. 国际组织中文使用次数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所广泛参与的重要国际组织中，中文在会议、文件发布、信息传播、议题讨论等方面的使用情况频率与地位。该指标用于评估中文在多边国际语境中的传播能力与功能影响，反映该国中文教育的外部语言环境和国际支持潜力。数据采集主要通过组织官方网站分析、会议记录采样、政策文件审查与专家访谈等方式进行，量化参考包括中文为官方语言数量、中文同传频次、中文网页/文件可得率等内容。在所检索的信息当中，根据实际填写相关次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代理变量：扩展口径：联合国、WTO、WHO、APEC、上合组织、一带一路等国际组织中文使用情况</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检索联合国数字图书馆、联合国大会发言记录、联合国新闻稿等，发现土耳其代表在联合国使用中文发言或提交中文文件共约10次（如2008年人权理事会发言、2019年外交信件、1978年安全理事会信件、2024-2025年一般性辩论视频及信件等），但均不涉及一带一路或上合组织。其他国际组织（WTO、WHO、APEC、上合、一带一路）中未找到土耳其使用中文的公开记录。因此，扩展口径下中文使用次数为0。</w:t>
      </w:r>
    </w:p>
    <w:p>
      <w:pPr>
        <w:spacing w:before="0" w:after="80" w:lineRule="auto" w:line="276"/>
        <w:jc w:val="left"/>
      </w:pPr>
      <w:r>
        <w:rPr>
          <w:rFonts w:eastAsia="微软雅黑"/>
          <w:rFonts w:ascii="微软雅黑" w:hAnsi="微软雅黑"/>
          <w:b w:val="0"/>
          <w:sz w:val="21"/>
        </w:rPr>
        <w:t>扩展补充：土耳其参与的国际组织（联合国、北约、G20、经合组织等）主要工作语言为英语、法语等，中文使用限于中国相关议题。近3年无公开记录显示土耳其在这些组织中有中文同传、中文文件或中文新闻稿发布。</w:t>
      </w:r>
    </w:p>
    <w:p>
      <w:pPr>
        <w:spacing w:before="0" w:after="80" w:lineRule="auto" w:line="276"/>
        <w:jc w:val="left"/>
      </w:pPr>
      <w:r>
        <w:rPr>
          <w:rFonts w:eastAsia="微软雅黑"/>
          <w:rFonts w:ascii="微软雅黑" w:hAnsi="微软雅黑"/>
          <w:b w:val="0"/>
          <w:sz w:val="21"/>
        </w:rPr>
        <w:t>判断：基于联合国官方文件及发言记录的直接检索，未发现土耳其在一带一路、上合组织等扩展口径下的中文使用记录。其他国际组织无公开中文使用证据。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代理：无直接数据，基于组织语言政策与土耳其参与度推断</w:t>
      </w:r>
    </w:p>
    <w:p>
      <w:pPr>
        <w:pStyle w:val="ListBullet"/>
      </w:pPr>
      <w:r>
        <w:rPr>
          <w:rFonts w:eastAsia="微软雅黑"/>
          <w:rFonts w:ascii="微软雅黑" w:hAnsi="微软雅黑"/>
          <w:b w:val="0"/>
          <w:sz w:val="20"/>
        </w:rPr>
        <w:t>推导：土耳其参与的国际组织（联合国、北约、G20、经合组织等）主要工作语言为英语、法语等，中文使用限于中国相关议题。近3年无公开记录显示土耳其在这些组织中有中文同传、中文文件或中文新闻稿发布。因此，中文使用次数估算为0。</w:t>
      </w:r>
    </w:p>
    <w:p>
      <w:pPr>
        <w:pStyle w:val="ListBullet"/>
      </w:pPr>
      <w:r>
        <w:rPr>
          <w:rFonts w:eastAsia="微软雅黑"/>
          <w:rFonts w:ascii="微软雅黑" w:hAnsi="微软雅黑"/>
          <w:b w:val="0"/>
          <w:sz w:val="20"/>
        </w:rPr>
        <w:t>依据：由于缺乏直接量化数据，基于组织语言政策和土耳其参与度推断，但可能存在未记录的中文使用事件，因此置信度低。</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http://www.mofcom.gov.cn/dl/gbdqzn/upload/tuerqi.pdf</w:t>
      </w:r>
    </w:p>
    <w:p>
      <w:pPr>
        <w:pStyle w:val="ListBullet"/>
      </w:pPr>
      <w:r>
        <w:rPr>
          <w:rFonts w:eastAsia="微软雅黑"/>
          <w:rFonts w:ascii="微软雅黑" w:hAnsi="微软雅黑"/>
          <w:b w:val="0"/>
          <w:sz w:val="20"/>
        </w:rPr>
        <w:t>https://unctad.org/system/files/official-document/tdrbpconf10d2_ch.pdf</w:t>
      </w:r>
    </w:p>
    <w:p>
      <w:pPr>
        <w:pStyle w:val="ListBullet"/>
      </w:pPr>
      <w:r>
        <w:rPr>
          <w:rFonts w:eastAsia="微软雅黑"/>
          <w:rFonts w:ascii="微软雅黑" w:hAnsi="微软雅黑"/>
          <w:b w:val="0"/>
          <w:sz w:val="20"/>
        </w:rPr>
        <w:t>https://desapublications.un.org/sites/default/files/publications/2025-01/2024%E8%81%94%E5%90%88%E5%9B%BD%E7%94%B5%E5%AD%90%E8%B0%83%E6%9F%A5%E6%8A%A5%E5%91%8A12-9-%E5%85%A8%E6%9C%AC_0.pdf</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http://www.mofcom.gov.cn/dl/gbdqzn/upload/tuerqi.pdf</w:t>
      </w:r>
    </w:p>
    <w:p>
      <w:pPr>
        <w:pStyle w:val="ListBullet"/>
      </w:pPr>
      <w:r>
        <w:rPr>
          <w:rFonts w:eastAsia="微软雅黑"/>
          <w:rFonts w:ascii="微软雅黑" w:hAnsi="微软雅黑"/>
          <w:b w:val="0"/>
          <w:sz w:val="20"/>
        </w:rPr>
        <w:t>https://unctad.org/system/files/official-document/tdrbpconf10d2_ch.pdf</w:t>
      </w:r>
    </w:p>
    <w:p>
      <w:pPr>
        <w:pStyle w:val="ListBullet"/>
      </w:pPr>
      <w:r>
        <w:rPr>
          <w:rFonts w:eastAsia="微软雅黑"/>
          <w:rFonts w:ascii="微软雅黑" w:hAnsi="微软雅黑"/>
          <w:b w:val="0"/>
          <w:sz w:val="20"/>
        </w:rPr>
        <w:t>https://desapublications.un.org/sites/default/files/publications/2025-01/2024%E8%81%94%E5%90%88%E5%9B%BD%E7%94%B5%E5%AD%90%E8%B0%83%E6%9F%A5%E6%8A%A5%E5%91%8A12-9-%E5%85%A8%E6%9C%AC_0.pdf</w:t>
      </w:r>
    </w:p>
    <w:p>
      <w:pPr>
        <w:pStyle w:val="ListBullet"/>
      </w:pPr>
      <w:r>
        <w:rPr>
          <w:rFonts w:eastAsia="微软雅黑"/>
          <w:rFonts w:ascii="微软雅黑" w:hAnsi="微软雅黑"/>
          <w:b w:val="0"/>
          <w:sz w:val="20"/>
        </w:rPr>
        <w:t>https://documents.un.org/access.nsf/get?Open&amp;DS=A%2FHRC%2F7%2FG%2F14&amp;Lang=C</w:t>
      </w:r>
    </w:p>
    <w:p>
      <w:pPr>
        <w:pStyle w:val="ListBullet"/>
      </w:pPr>
      <w:r>
        <w:rPr>
          <w:rFonts w:eastAsia="微软雅黑"/>
          <w:rFonts w:ascii="微软雅黑" w:hAnsi="微软雅黑"/>
          <w:b w:val="0"/>
          <w:sz w:val="20"/>
        </w:rPr>
        <w:t>https://gadebate.un.org/zh/80/turkiye</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60. 经典年度文化主题活动举办次数（国际中文日、汉语桥累计举办次数）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**字段说明**：指在该国每年都举行的文化主题活动举办的次数，如“国际中文日、汉语桥比赛、汉语桥俱乐部海外站点（马箭费2023）等”，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24（口径：数值）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https://ci.metu.edu.tr/zh-hans/zhong-dong-ji-zhu-da-xue-kong-zi-xue-yuan-cheng-gong-cheng-ban-di-er-shi-si-jie-yi-yu-qiao-shi-jie</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61. 本土化文化融合案例数量（中华文化在地融合累计活动数量）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**字段说明**：指某一国家在国际中文教育过程中，围绕中华文化主题与本国文化传统、社会习俗、艺术表达等元素进行融合设计并成功实施的教育文化活动数量。如阿联酋春节活动等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http://paper.people.com.cn/rmrbhwb/html/2023-05/12/content_25983081.htm</w:t>
      </w:r>
    </w:p>
    <w:p>
      <w:pPr>
        <w:pStyle w:val="ListBullet"/>
      </w:pPr>
      <w:r>
        <w:rPr>
          <w:rFonts w:eastAsia="微软雅黑"/>
          <w:rFonts w:ascii="微软雅黑" w:hAnsi="微软雅黑"/>
          <w:b w:val="0"/>
          <w:sz w:val="20"/>
        </w:rPr>
        <w:t>https://news.blcu.edu.cn/info/1034/28592.htm</w:t>
      </w:r>
    </w:p>
    <w:p>
      <w:pPr>
        <w:pStyle w:val="ListBullet"/>
      </w:pPr>
      <w:r>
        <w:rPr>
          <w:rFonts w:eastAsia="微软雅黑"/>
          <w:rFonts w:ascii="微软雅黑" w:hAnsi="微软雅黑"/>
          <w:b w:val="0"/>
          <w:sz w:val="20"/>
        </w:rPr>
        <w:t>https://global.shu.edu.cn/shanghaidaxuekongzixueyuan2020-2021shuangnianbao1.pdf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62. 本土中文文化产品（影视/音乐/报刊）数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某一国家在本地社会语境下，由本地创作者使用中文或围绕中华文化主题创作并公开传播的文艺类、媒体类、出版类内容的年度总量。该指标反映中文教育在本国社会中是否实现语言功能外延、文化再生产与公众传播力的拓展。统计口径包括中文原创影视作品、中文歌曲、中文期刊专栏、中文广播播客及具有中文元素的新媒体内容。数据主要来源于官方出版资料、平台监测、机构访谈与创作人备案材料。（如：菲律宾“汉语饶舌”、泰国“中泰双语综艺”、尼日利亚“汉语配音动画”项目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http://www.mofcom.gov.cn/dl/gbdqzn/upload/tuerqi.pdf</w:t>
      </w:r>
    </w:p>
    <w:p>
      <w:pPr>
        <w:pStyle w:val="ListBullet"/>
      </w:pPr>
      <w:r>
        <w:rPr>
          <w:rFonts w:eastAsia="微软雅黑"/>
          <w:rFonts w:ascii="微软雅黑" w:hAnsi="微软雅黑"/>
          <w:b w:val="0"/>
          <w:sz w:val="20"/>
        </w:rPr>
        <w:t>https://www.targetestate.com.tr/zh/blog/turkish-chinese</w:t>
      </w:r>
    </w:p>
    <w:p>
      <w:pPr>
        <w:pStyle w:val="ListBullet"/>
      </w:pPr>
      <w:r>
        <w:rPr>
          <w:rFonts w:eastAsia="微软雅黑"/>
          <w:rFonts w:ascii="微软雅黑" w:hAnsi="微软雅黑"/>
          <w:b w:val="0"/>
          <w:sz w:val="20"/>
        </w:rPr>
        <w:t>https://info.taiwantrade.com/biznews/%E5%9C%9F%E8%80%B3%E5%85%B6%E8%8C%B6%E6%96%87%E5%8C%96%E9%A0%98%E5%85%88%E5%85%A8%E7%90%83-%E4%BA%BA%E5%9D%87%E6%B6%88%E8%B2%BB%E9%87%8F%E4%BD%8D%E5%B1%85%E4%B8%96%E7%95%8C%E7%AC%AC%E4%B8%80-2826682.html</w:t>
      </w:r>
    </w:p>
    <w:p>
      <w:pPr>
        <w:pStyle w:val="ListBullet"/>
      </w:pPr>
      <w:r>
        <w:rPr>
          <w:rFonts w:eastAsia="微软雅黑"/>
          <w:rFonts w:ascii="微软雅黑" w:hAnsi="微软雅黑"/>
          <w:b w:val="0"/>
          <w:sz w:val="20"/>
        </w:rPr>
        <w:t>https://oec.world/zh/profile/bilateral-country/chn/partner/tur</w:t>
      </w:r>
    </w:p>
    <w:p>
      <w:pPr>
        <w:pStyle w:val="ListBullet"/>
      </w:pPr>
      <w:r>
        <w:rPr>
          <w:rFonts w:eastAsia="微软雅黑"/>
          <w:rFonts w:ascii="微软雅黑" w:hAnsi="微软雅黑"/>
          <w:b w:val="0"/>
          <w:sz w:val="20"/>
        </w:rPr>
        <w:t>https://www.ccpit.org/image/1/f37557eeea984d0aa947e4d45b547d7c.pdf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63. “中文+职业技能”课程占比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某一国家在其中文教育体系中，语言教学与特定行业职业技能相结合的课程数量在全部中文课程中的占比。该指标用于衡量中文教育与职业教育融合的深度与广度，反映中文在技能培训、人才培养与社会服务中的应用价值。数据来源包括高校、职业院校、培训中心等的课程目录、项目文件与教学计划，计量方式可按课程门数或项目数统计。</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极低（&lt;1%）</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基于扩展口径的五个领域（企业内训、在线平台、政府合作、行业协会、短期工作坊）均无直接证据支持土耳其存在'中文+职业技能'课程。证据显示：1) 无中资或与华贸易企业提供此类培训；2) 无在线平台提供针对土耳其用户的中文职业技能课程；3) 无中土政府间合作项目涉及中文教学；4) 无行业协会提供中文相关认证培训；5) 无短期工作坊记录。仅存在间接推断（如'一带一路'可能框架），但无具体数据。因此，实际占比极低，接近零，但考虑到土耳其职业培训体系（如传统教育机构可能含基础中文课程）和潜在未记录的非正式活动，保守估计为&lt;1%。</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http://www.zjzcj.com/news/58577</w:t>
      </w:r>
    </w:p>
    <w:p>
      <w:pPr>
        <w:pStyle w:val="ListBullet"/>
      </w:pPr>
      <w:r>
        <w:rPr>
          <w:rFonts w:eastAsia="微软雅黑"/>
          <w:rFonts w:ascii="微软雅黑" w:hAnsi="微软雅黑"/>
          <w:b w:val="0"/>
          <w:sz w:val="20"/>
        </w:rPr>
        <w:t>https://www.turkishcouncil.org/zh/%E4%BA%86%E8%A7%A3%E5%9C%9F%E8%80%B3%E5%85%B6%E8%81%8C%E4%B8%9A%E5%9F%B9%E8%AE%AD/</w:t>
      </w:r>
    </w:p>
    <w:p>
      <w:pPr>
        <w:pStyle w:val="ListBullet"/>
      </w:pPr>
      <w:r>
        <w:rPr>
          <w:rFonts w:eastAsia="微软雅黑"/>
          <w:rFonts w:ascii="微软雅黑" w:hAnsi="微软雅黑"/>
          <w:b w:val="0"/>
          <w:sz w:val="20"/>
        </w:rPr>
        <w:t>https://www.voith.com/corp-en/about-us/markets-locations/china/vocational-training-in-china-cn.html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64. 中文教师是否纳入职业资格认证体系</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**字段说明**：指从事中文教师是否纳入该国职业资格认证体系</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https://core.ac.uk/download/pdf/323958918.pdf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65. 企业定制化中文培训项目数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**字段说明**：指该国企业（含中资机构）开展的定制化中文培训项目数和该国注资在中国开设的企业中文培训项目数之和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中土经贸合作背景的代理推导。证据显示无直接统计数据，但考虑到中土在基础设施、能源、电信等领域的合作（商务部、一带一路报告），可能存在少量定制化中文培训需求。伊斯坦布尔工业协会等机构提供企业支持但未提及中文培训。结合经贸规模较小且无实证项目，推导为0-5个项目的区间范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http://www.mofcom.gov.cn/dl/gbdqzn/upload/tuerqi.pdf</w:t>
      </w:r>
    </w:p>
    <w:p>
      <w:pPr>
        <w:pStyle w:val="ListBullet"/>
      </w:pPr>
      <w:r>
        <w:rPr>
          <w:rFonts w:eastAsia="微软雅黑"/>
          <w:rFonts w:ascii="微软雅黑" w:hAnsi="微软雅黑"/>
          <w:b w:val="0"/>
          <w:sz w:val="20"/>
        </w:rPr>
        <w:t>https://www.ccpit.org/image/1/f37557eeea984d0aa947e4d45b547d7c.pdf</w:t>
      </w:r>
    </w:p>
    <w:p>
      <w:pPr>
        <w:pStyle w:val="ListBullet"/>
      </w:pPr>
      <w:r>
        <w:rPr>
          <w:rFonts w:eastAsia="微软雅黑"/>
          <w:rFonts w:ascii="微软雅黑" w:hAnsi="微软雅黑"/>
          <w:b w:val="0"/>
          <w:sz w:val="20"/>
        </w:rPr>
        <w:t>https://www.yidaiyilu.gov.cn/wcm.files/upload/CMSydylgw/202102/202102010430057.pdf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G.媒体传播与舆情</w:t>
      </w:r>
    </w:p>
    <w:p/>
    <w:p>
      <w:pPr>
        <w:spacing w:before="80" w:after="40" w:lineRule="auto" w:line="276"/>
        <w:jc w:val="left"/>
      </w:pPr>
      <w:r>
        <w:rPr>
          <w:rFonts w:eastAsia="微软雅黑"/>
          <w:rFonts w:ascii="微软雅黑" w:hAnsi="微软雅黑"/>
          <w:b/>
          <w:sz w:val="22"/>
        </w:rPr>
        <w:t>66. 主流媒体中文内容发布数（主流媒体中文教育类内容发布数量）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**字段说明**：指该国主流媒体中文内容发布的数值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https://www.trtzhongwen.com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67. 社交媒体平台中文账号关注量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社交媒体环境中，以中文为主要传播语言并面向本地用户持续运营的账号在评估年度内的关注总数。该指标用于衡量中文在本国数字空间的可见度、用户接触度与传播影响力，是评价中文教育在网络社会中渗透力和传播力的重要维度。数据采集通过平台搜索、第三方监测工具和教育机构访谈等方式完成，统计范围包括教育类、文化类及综合类中文账号的粉丝/订阅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https://tridenstechnology.com/zh/%E7%A4%BE%E4%BA%A4%E5%AA%92%E4%BD%93%E7%BB%9F%E8%AE%A1/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68. 本土语言与中文双语媒体报道比例（国家主流媒体中文教育类新闻数）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某一国家在主流媒体或社交平台中，围绕中文教育或中华文化主题，采用本土语言与中文双语形式呈现的报道内容在全部相关报道中的占比。该指标用于评估中文在该国传播语境中的融合深度与语言地位，反映其语言传播的社会功能化程度与文化嵌入度。数据采集方式包括内容分析、平台记录检索、文本编码与媒体调查等，统计单位为双语报道条数或传播覆盖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&lt;1%（口径：比例）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http://www.mofcom.gov.cn/dl/gbdqzn/upload/tuerqi.pdf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69. 舆情监测中正面评价占比</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在某一国家涉及国际中文教育或中华文化传播的舆情样本中，带有肯定、支持、赞誉等正向语义内容的信息条数占全部有效舆情信息条数的比例。该指标用于评估中文教育在社会公众、主流媒体与数字社交空间中的情感接受度与形象表现力。数据采集方式包括社交媒体评论抓取、新闻平台分析、自动情感识别与问卷采样等，按年度计算其正面比重，以揭示其传播环境的稳定性与可持续性基础。</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31.1%（口径：比例）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https://www.jiemian.com/article/735703.html</w:t>
      </w:r>
    </w:p>
    <w:p/>
    <w:p>
      <w:pPr>
        <w:spacing w:before="0" w:after="80" w:lineRule="auto" w:line="276"/>
        <w:jc w:val="center"/>
      </w:pPr>
      <w:r>
        <w:rPr>
          <w:rFonts w:eastAsia="微软雅黑"/>
          <w:rFonts w:ascii="微软雅黑" w:hAnsi="微软雅黑"/>
          <w:b w:val="0"/>
          <w:color w:val="B4B4B4"/>
          <w:sz w:val="18"/>
        </w:rPr>
        <w:t>──────────────────────────────</w:t>
      </w:r>
    </w:p>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