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Rule="auto" w:line="276"/>
        <w:jc w:val="center"/>
      </w:pPr>
      <w:r>
        <w:rPr>
          <w:rFonts w:eastAsia="微软雅黑"/>
          <w:rFonts w:ascii="微软雅黑" w:hAnsi="微软雅黑"/>
          <w:b/>
          <w:sz w:val="40"/>
        </w:rPr>
        <w:t>约旦 · 中文教育指标体系完整数据</w:t>
      </w:r>
    </w:p>
    <w:p/>
    <w:p>
      <w:pPr>
        <w:spacing w:before="0" w:after="80" w:lineRule="auto" w:line="276"/>
        <w:jc w:val="left"/>
      </w:pPr>
      <w:r>
        <w:rPr>
          <w:rFonts w:eastAsia="微软雅黑"/>
          <w:rFonts w:ascii="微软雅黑" w:hAnsi="微软雅黑"/>
          <w:b w:val="0"/>
          <w:sz w:val="21"/>
        </w:rPr>
        <w:t>国家：约旦</w:t>
      </w:r>
    </w:p>
    <w:p>
      <w:pPr>
        <w:spacing w:before="0" w:after="80" w:lineRule="auto" w:line="276"/>
        <w:jc w:val="left"/>
      </w:pPr>
      <w:r>
        <w:rPr>
          <w:rFonts w:eastAsia="微软雅黑"/>
          <w:rFonts w:ascii="微软雅黑" w:hAnsi="微软雅黑"/>
          <w:b w:val="0"/>
          <w:sz w:val="21"/>
        </w:rPr>
        <w:t>生成时间：2026-04-24 23:41</w:t>
      </w:r>
    </w:p>
    <w:p>
      <w:pPr>
        <w:spacing w:before="0" w:after="80" w:lineRule="auto" w:line="276"/>
        <w:jc w:val="left"/>
      </w:pPr>
      <w:r>
        <w:rPr>
          <w:rFonts w:eastAsia="微软雅黑"/>
          <w:rFonts w:ascii="微软雅黑" w:hAnsi="微软雅黑"/>
          <w:b w:val="0"/>
          <w:sz w:val="21"/>
        </w:rPr>
        <w:t>指标总数：69（总表 68 项，含 #36 空字段已跳过）</w:t>
      </w:r>
    </w:p>
    <w:p/>
    <w:p>
      <w:pPr>
        <w:spacing w:before="240" w:after="120" w:lineRule="auto" w:line="276"/>
        <w:jc w:val="left"/>
      </w:pPr>
      <w:r>
        <w:rPr>
          <w:rFonts w:eastAsia="微软雅黑"/>
          <w:rFonts w:ascii="微软雅黑" w:hAnsi="微软雅黑"/>
          <w:b/>
          <w:color w:val="2E5C8A"/>
          <w:sz w:val="30"/>
        </w:rPr>
        <w:t>数据质量概览</w:t>
      </w:r>
    </w:p>
    <w:p/>
    <w:tbl>
      <w:tblPr>
        <w:tblStyle w:val="LightGrid-Accent1"/>
        <w:tblW w:type="auto" w:w="0"/>
        <w:jc w:val="left"/>
        <w:tblLook w:firstColumn="1" w:firstRow="1" w:lastColumn="0" w:lastRow="0" w:noHBand="0" w:noVBand="1" w:val="04A0"/>
      </w:tblPr>
      <w:tblGrid>
        <w:gridCol w:w="3324"/>
        <w:gridCol w:w="3324"/>
        <w:gridCol w:w="3324"/>
      </w:tblGrid>
      <w:tr>
        <w:tc>
          <w:tcPr>
            <w:tcW w:type="dxa" w:w="3324"/>
          </w:tcPr>
          <w:p>
            <w:r/>
            <w:r>
              <w:rPr>
                <w:rFonts w:eastAsia="微软雅黑"/>
                <w:rFonts w:ascii="微软雅黑" w:hAnsi="微软雅黑"/>
                <w:b/>
                <w:sz w:val="16"/>
              </w:rPr>
              <w:t>类型</w:t>
            </w:r>
          </w:p>
        </w:tc>
        <w:tc>
          <w:tcPr>
            <w:tcW w:type="dxa" w:w="3324"/>
          </w:tcPr>
          <w:p>
            <w:r/>
            <w:r>
              <w:rPr>
                <w:rFonts w:eastAsia="微软雅黑"/>
                <w:rFonts w:ascii="微软雅黑" w:hAnsi="微软雅黑"/>
                <w:b/>
                <w:sz w:val="16"/>
              </w:rPr>
              <w:t>数量</w:t>
            </w:r>
          </w:p>
        </w:tc>
        <w:tc>
          <w:tcPr>
            <w:tcW w:type="dxa" w:w="3324"/>
          </w:tcPr>
          <w:p>
            <w:r/>
            <w:r>
              <w:rPr>
                <w:rFonts w:eastAsia="微软雅黑"/>
                <w:rFonts w:ascii="微软雅黑" w:hAnsi="微软雅黑"/>
                <w:b/>
                <w:sz w:val="16"/>
              </w:rPr>
              <w:t>占比</w:t>
            </w:r>
          </w:p>
        </w:tc>
      </w:tr>
      <w:tr>
        <w:tc>
          <w:tcPr>
            <w:tcW w:type="dxa" w:w="3324"/>
          </w:tcPr>
          <w:p>
            <w:r/>
            <w:r>
              <w:rPr>
                <w:rFonts w:eastAsia="微软雅黑"/>
                <w:rFonts w:ascii="微软雅黑" w:hAnsi="微软雅黑"/>
                <w:b w:val="0"/>
                <w:sz w:val="16"/>
              </w:rPr>
              <w:t>数字</w:t>
            </w:r>
          </w:p>
        </w:tc>
        <w:tc>
          <w:tcPr>
            <w:tcW w:type="dxa" w:w="3324"/>
          </w:tcPr>
          <w:p>
            <w:r/>
            <w:r>
              <w:rPr>
                <w:rFonts w:eastAsia="微软雅黑"/>
                <w:rFonts w:ascii="微软雅黑" w:hAnsi="微软雅黑"/>
                <w:b w:val="0"/>
                <w:sz w:val="16"/>
              </w:rPr>
              <w:t>24</w:t>
            </w:r>
          </w:p>
        </w:tc>
        <w:tc>
          <w:tcPr>
            <w:tcW w:type="dxa" w:w="3324"/>
          </w:tcPr>
          <w:p>
            <w:r/>
            <w:r>
              <w:rPr>
                <w:rFonts w:eastAsia="微软雅黑"/>
                <w:rFonts w:ascii="微软雅黑" w:hAnsi="微软雅黑"/>
                <w:b w:val="0"/>
                <w:sz w:val="16"/>
              </w:rPr>
              <w:t>34%</w:t>
            </w:r>
          </w:p>
        </w:tc>
      </w:tr>
      <w:tr>
        <w:tc>
          <w:tcPr>
            <w:tcW w:type="dxa" w:w="3324"/>
          </w:tcPr>
          <w:p>
            <w:r/>
            <w:r>
              <w:rPr>
                <w:rFonts w:eastAsia="微软雅黑"/>
                <w:rFonts w:ascii="微软雅黑" w:hAnsi="微软雅黑"/>
                <w:b w:val="0"/>
                <w:sz w:val="16"/>
              </w:rPr>
              <w:t>定性</w:t>
            </w:r>
          </w:p>
        </w:tc>
        <w:tc>
          <w:tcPr>
            <w:tcW w:type="dxa" w:w="3324"/>
          </w:tcPr>
          <w:p>
            <w:r/>
            <w:r>
              <w:rPr>
                <w:rFonts w:eastAsia="微软雅黑"/>
                <w:rFonts w:ascii="微软雅黑" w:hAnsi="微软雅黑"/>
                <w:b w:val="0"/>
                <w:sz w:val="16"/>
              </w:rPr>
              <w:t>35</w:t>
            </w:r>
          </w:p>
        </w:tc>
        <w:tc>
          <w:tcPr>
            <w:tcW w:type="dxa" w:w="3324"/>
          </w:tcPr>
          <w:p>
            <w:r/>
            <w:r>
              <w:rPr>
                <w:rFonts w:eastAsia="微软雅黑"/>
                <w:rFonts w:ascii="微软雅黑" w:hAnsi="微软雅黑"/>
                <w:b w:val="0"/>
                <w:sz w:val="16"/>
              </w:rPr>
              <w:t>50%</w:t>
            </w:r>
          </w:p>
        </w:tc>
      </w:tr>
      <w:tr>
        <w:tc>
          <w:tcPr>
            <w:tcW w:type="dxa" w:w="3324"/>
          </w:tcPr>
          <w:p>
            <w:r/>
            <w:r>
              <w:rPr>
                <w:rFonts w:eastAsia="微软雅黑"/>
                <w:rFonts w:ascii="微软雅黑" w:hAnsi="微软雅黑"/>
                <w:b w:val="0"/>
                <w:sz w:val="16"/>
              </w:rPr>
              <w:t>弱</w:t>
            </w:r>
          </w:p>
        </w:tc>
        <w:tc>
          <w:tcPr>
            <w:tcW w:type="dxa" w:w="3324"/>
          </w:tcPr>
          <w:p>
            <w:r/>
            <w:r>
              <w:rPr>
                <w:rFonts w:eastAsia="微软雅黑"/>
                <w:rFonts w:ascii="微软雅黑" w:hAnsi="微软雅黑"/>
                <w:b w:val="0"/>
                <w:sz w:val="16"/>
              </w:rPr>
              <w:t>10</w:t>
            </w:r>
          </w:p>
        </w:tc>
        <w:tc>
          <w:tcPr>
            <w:tcW w:type="dxa" w:w="3324"/>
          </w:tcPr>
          <w:p>
            <w:r/>
            <w:r>
              <w:rPr>
                <w:rFonts w:eastAsia="微软雅黑"/>
                <w:rFonts w:ascii="微软雅黑" w:hAnsi="微软雅黑"/>
                <w:b w:val="0"/>
                <w:sz w:val="16"/>
              </w:rPr>
              <w:t>14%</w:t>
            </w:r>
          </w:p>
        </w:tc>
      </w:tr>
      <w:tr>
        <w:tc>
          <w:tcPr>
            <w:tcW w:type="dxa" w:w="3324"/>
          </w:tcPr>
          <w:p>
            <w:r/>
            <w:r>
              <w:rPr>
                <w:rFonts w:eastAsia="微软雅黑"/>
                <w:rFonts w:ascii="微软雅黑" w:hAnsi="微软雅黑"/>
                <w:b w:val="0"/>
                <w:sz w:val="16"/>
              </w:rPr>
              <w:t>空</w:t>
            </w:r>
          </w:p>
        </w:tc>
        <w:tc>
          <w:tcPr>
            <w:tcW w:type="dxa" w:w="3324"/>
          </w:tcPr>
          <w:p>
            <w:r/>
            <w:r>
              <w:rPr>
                <w:rFonts w:eastAsia="微软雅黑"/>
                <w:rFonts w:ascii="微软雅黑" w:hAnsi="微软雅黑"/>
                <w:b w:val="0"/>
                <w:sz w:val="16"/>
              </w:rPr>
              <w:t>0</w:t>
            </w:r>
          </w:p>
        </w:tc>
        <w:tc>
          <w:tcPr>
            <w:tcW w:type="dxa" w:w="3324"/>
          </w:tcPr>
          <w:p>
            <w:r/>
            <w:r>
              <w:rPr>
                <w:rFonts w:eastAsia="微软雅黑"/>
                <w:rFonts w:ascii="微软雅黑" w:hAnsi="微软雅黑"/>
                <w:b w:val="0"/>
                <w:sz w:val="16"/>
              </w:rPr>
              <w:t>0%</w:t>
            </w:r>
          </w:p>
        </w:tc>
      </w:tr>
      <w:tr>
        <w:tc>
          <w:tcPr>
            <w:tcW w:type="dxa" w:w="3324"/>
          </w:tcPr>
          <w:p>
            <w:r/>
            <w:r>
              <w:rPr>
                <w:rFonts w:eastAsia="微软雅黑"/>
                <w:rFonts w:ascii="微软雅黑" w:hAnsi="微软雅黑"/>
                <w:b w:val="0"/>
                <w:sz w:val="16"/>
              </w:rPr>
              <w:t>**含精修 447 轮**</w:t>
            </w:r>
          </w:p>
        </w:tc>
        <w:tc>
          <w:tcPr>
            <w:tcW w:type="dxa" w:w="3324"/>
          </w:tcPr>
          <w:p>
            <w:r/>
            <w:r>
              <w:rPr>
                <w:rFonts w:eastAsia="微软雅黑"/>
                <w:rFonts w:ascii="微软雅黑" w:hAnsi="微软雅黑"/>
                <w:b w:val="0"/>
                <w:sz w:val="16"/>
              </w:rPr>
              <w:t>**4**</w:t>
            </w:r>
          </w:p>
        </w:tc>
        <w:tc>
          <w:tcPr>
            <w:tcW w:type="dxa" w:w="3324"/>
          </w:tcPr>
          <w:p>
            <w:r/>
            <w:r>
              <w:rPr>
                <w:rFonts w:eastAsia="微软雅黑"/>
                <w:rFonts w:ascii="微软雅黑" w:hAnsi="微软雅黑"/>
                <w:b w:val="0"/>
                <w:sz w:val="16"/>
              </w:rPr>
              <w:t>**5%**</w:t>
            </w:r>
          </w:p>
        </w:tc>
      </w:tr>
    </w:tbl>
    <w:p/>
    <w:p/>
    <w:p>
      <w:pPr>
        <w:spacing w:before="240" w:after="120" w:lineRule="auto" w:line="276"/>
        <w:jc w:val="left"/>
      </w:pPr>
      <w:r>
        <w:rPr>
          <w:rFonts w:eastAsia="微软雅黑"/>
          <w:rFonts w:ascii="微软雅黑" w:hAnsi="微软雅黑"/>
          <w:b/>
          <w:color w:val="2E5C8A"/>
          <w:sz w:val="30"/>
        </w:rPr>
        <w:t>按分类分布</w:t>
      </w:r>
    </w:p>
    <w:p/>
    <w:p>
      <w:pPr>
        <w:pStyle w:val="ListBullet"/>
      </w:pPr>
      <w:r>
        <w:rPr>
          <w:rFonts w:eastAsia="微软雅黑"/>
          <w:rFonts w:ascii="微软雅黑" w:hAnsi="微软雅黑"/>
          <w:b w:val="0"/>
          <w:sz w:val="20"/>
        </w:rPr>
        <w:t>**E.师资、机构与教学供给**：17 项</w:t>
      </w:r>
    </w:p>
    <w:p>
      <w:pPr>
        <w:pStyle w:val="ListBullet"/>
      </w:pPr>
      <w:r>
        <w:rPr>
          <w:rFonts w:eastAsia="微软雅黑"/>
          <w:rFonts w:ascii="微软雅黑" w:hAnsi="微软雅黑"/>
          <w:b w:val="0"/>
          <w:sz w:val="20"/>
        </w:rPr>
        <w:t>**F.产业合作、交流与外部支撑**：13 项</w:t>
      </w:r>
    </w:p>
    <w:p>
      <w:pPr>
        <w:pStyle w:val="ListBullet"/>
      </w:pPr>
      <w:r>
        <w:rPr>
          <w:rFonts w:eastAsia="微软雅黑"/>
          <w:rFonts w:ascii="微软雅黑" w:hAnsi="微软雅黑"/>
          <w:b w:val="0"/>
          <w:sz w:val="20"/>
        </w:rPr>
        <w:t>**A.政策环境与制度基础**：11 项</w:t>
      </w:r>
    </w:p>
    <w:p>
      <w:pPr>
        <w:pStyle w:val="ListBullet"/>
      </w:pPr>
      <w:r>
        <w:rPr>
          <w:rFonts w:eastAsia="微软雅黑"/>
          <w:rFonts w:ascii="微软雅黑" w:hAnsi="微软雅黑"/>
          <w:b w:val="0"/>
          <w:sz w:val="20"/>
        </w:rPr>
        <w:t>**B.学术研究与标准建设**：10 项</w:t>
      </w:r>
    </w:p>
    <w:p>
      <w:pPr>
        <w:pStyle w:val="ListBullet"/>
      </w:pPr>
      <w:r>
        <w:rPr>
          <w:rFonts w:eastAsia="微软雅黑"/>
          <w:rFonts w:ascii="微软雅黑" w:hAnsi="微软雅黑"/>
          <w:b w:val="0"/>
          <w:sz w:val="20"/>
        </w:rPr>
        <w:t>**C.教材、资源与数字化**：8 项</w:t>
      </w:r>
    </w:p>
    <w:p>
      <w:pPr>
        <w:pStyle w:val="ListBullet"/>
      </w:pPr>
      <w:r>
        <w:rPr>
          <w:rFonts w:eastAsia="微软雅黑"/>
          <w:rFonts w:ascii="微软雅黑" w:hAnsi="微软雅黑"/>
          <w:b w:val="0"/>
          <w:sz w:val="20"/>
        </w:rPr>
        <w:t>**D.学习者规模与考试**：6 项</w:t>
      </w:r>
    </w:p>
    <w:p>
      <w:pPr>
        <w:pStyle w:val="ListBullet"/>
      </w:pPr>
      <w:r>
        <w:rPr>
          <w:rFonts w:eastAsia="微软雅黑"/>
          <w:rFonts w:ascii="微软雅黑" w:hAnsi="微软雅黑"/>
          <w:b w:val="0"/>
          <w:sz w:val="20"/>
        </w:rPr>
        <w:t>**G.媒体传播与舆情**：4 项</w:t>
      </w:r>
    </w:p>
    <w:p/>
    <w:p>
      <w:pPr>
        <w:spacing w:before="0" w:after="80" w:lineRule="auto" w:line="276"/>
        <w:jc w:val="center"/>
      </w:pPr>
      <w:r>
        <w:rPr>
          <w:rFonts w:eastAsia="微软雅黑"/>
          <w:rFonts w:ascii="微软雅黑" w:hAnsi="微软雅黑"/>
          <w:b w:val="0"/>
          <w:color w:val="B4B4B4"/>
          <w:sz w:val="18"/>
        </w:rPr>
        <w:t>──────────────────────────────</w:t>
      </w:r>
    </w:p>
    <w:p/>
    <w:p>
      <w:pPr>
        <w:spacing w:before="240" w:after="120" w:lineRule="auto" w:line="276"/>
        <w:jc w:val="left"/>
      </w:pPr>
      <w:r>
        <w:rPr>
          <w:rFonts w:eastAsia="微软雅黑"/>
          <w:rFonts w:ascii="微软雅黑" w:hAnsi="微软雅黑"/>
          <w:b/>
          <w:color w:val="2E5C8A"/>
          <w:sz w:val="30"/>
        </w:rPr>
        <w:t>指标详情（按 ID 排序）</w:t>
      </w:r>
    </w:p>
    <w:p/>
    <w:p>
      <w:pPr>
        <w:spacing w:before="160" w:after="80" w:lineRule="auto" w:line="276"/>
        <w:jc w:val="left"/>
      </w:pPr>
      <w:r>
        <w:rPr>
          <w:rFonts w:eastAsia="微软雅黑"/>
          <w:rFonts w:ascii="微软雅黑" w:hAnsi="微软雅黑"/>
          <w:b/>
          <w:sz w:val="26"/>
        </w:rPr>
        <w:t>A.政策环境与制度基础</w:t>
      </w:r>
    </w:p>
    <w:p/>
    <w:p>
      <w:pPr>
        <w:spacing w:before="80" w:after="40" w:lineRule="auto" w:line="276"/>
        <w:jc w:val="left"/>
      </w:pPr>
      <w:r>
        <w:rPr>
          <w:rFonts w:eastAsia="微软雅黑"/>
          <w:rFonts w:ascii="微软雅黑" w:hAnsi="微软雅黑"/>
          <w:b/>
          <w:sz w:val="22"/>
        </w:rPr>
        <w:t>1. 外交伙伴关系等级</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**字段类型**：全天候战略合作伙伴关系/全面战略合作伙伴关系/战略合作伙伴关系/合作伙伴关系</w:t>
      </w:r>
    </w:p>
    <w:p>
      <w:pPr>
        <w:pStyle w:val="ListBullet"/>
      </w:pPr>
      <w:r>
        <w:rPr>
          <w:rFonts w:eastAsia="微软雅黑"/>
          <w:rFonts w:ascii="微软雅黑" w:hAnsi="微软雅黑"/>
          <w:b w:val="0"/>
          <w:sz w:val="20"/>
        </w:rPr>
        <w:t>**字段说明**：旨在关注对象国与中国的外交关系，验证良好的外交关系中文教育是否发展的也好。</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战略合作伙伴关系（口径：战略合作伙伴关系）</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http://www.mofcom.gov.cn/dl/gbdqzn/upload/yuedan.pdf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 中文纳入国民教育体系的层级</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**字段类型**：有/无，基础教育/高等教育/职业教育/成人教育</w:t>
      </w:r>
    </w:p>
    <w:p>
      <w:pPr>
        <w:pStyle w:val="ListBullet"/>
      </w:pPr>
      <w:r>
        <w:rPr>
          <w:rFonts w:eastAsia="微软雅黑"/>
          <w:rFonts w:ascii="微软雅黑" w:hAnsi="微软雅黑"/>
          <w:b w:val="0"/>
          <w:sz w:val="20"/>
        </w:rPr>
        <w:t>**字段说明**：主要找出中文纳入该国国民教育体系的层级，基本回答是，有无纳入国民教育体系，若纳入是在基础教育阶段、高等教育阶段、成人教育阶段、职业教育阶段（唐培兰2022）。尹冬民，唐培兰（2022）需注意：目前，各类文章、新闻所使用的表述还较为庞杂，有中文纳入“国民教育体系”“国民基础教育体系”“国民教育序列”“义务教育系统”“国家教育体系”“中小学教育体系”“国民教育序列”“外语教育体系”等多种表述。</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无（口径：有/无，基础教育/高等教育/职业教育/成人教育）</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http://world.people.com.cn/n1/2024/1228/c1002-40391387.html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 中文教育的地位（中文在所在国的语言地位）</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**字段类型**：官方语言/第二语言/关键语言/其他语言</w:t>
      </w:r>
    </w:p>
    <w:p>
      <w:pPr>
        <w:pStyle w:val="ListBullet"/>
      </w:pPr>
      <w:r>
        <w:rPr>
          <w:rFonts w:eastAsia="微软雅黑"/>
          <w:rFonts w:ascii="微软雅黑" w:hAnsi="微软雅黑"/>
          <w:b w:val="0"/>
          <w:sz w:val="20"/>
        </w:rPr>
        <w:t>**字段说明**：基本回答中文在该国是官方语言/第二语言/其他语言，有些国家可能列为关键语言等，不好分类的请如实说明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其他语言（口径：其他语言）</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http://m.ithc.cn:9000/article/474601</w:t>
      </w:r>
    </w:p>
    <w:p>
      <w:pPr>
        <w:pStyle w:val="ListBullet"/>
      </w:pPr>
      <w:r>
        <w:rPr>
          <w:rFonts w:eastAsia="微软雅黑"/>
          <w:rFonts w:ascii="微软雅黑" w:hAnsi="微软雅黑"/>
          <w:b w:val="0"/>
          <w:sz w:val="20"/>
        </w:rPr>
        <w:t>https://www.lcu.edu.cn/ztzx/ldyw/621341.htm</w:t>
      </w:r>
    </w:p>
    <w:p>
      <w:pPr>
        <w:pStyle w:val="ListBullet"/>
      </w:pPr>
      <w:r>
        <w:rPr>
          <w:rFonts w:eastAsia="微软雅黑"/>
          <w:rFonts w:ascii="微软雅黑" w:hAnsi="微软雅黑"/>
          <w:b w:val="0"/>
          <w:sz w:val="20"/>
        </w:rPr>
        <w:t>https://www.lcu.edu.cn/ztzx/mtld/540192.htm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 政府主导的中文教育项目数量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**字段说明**：此项目为所在国当地政府或教育行政官方部门主办的项目，如“2025年菲律宾教育部本土中文师资暑期培训班”</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https://language.chinadaily.com.cn/a/202206/29/WS62bea25da310fd2b29e69db9.html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 中文教育政策文件数量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**字段说明**：所在国以国家或地方发布的中文教育政策的文件数量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直接证据</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http://m.ithc.cn:9000/article/474601</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 政府年度中文教育预算占比</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**字段说明**：所在国政府在官方发布的中文教育预算和年度教育预算的比值</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https://zh.tradingeconomics.com/jordan/government-budget</w:t>
      </w:r>
    </w:p>
    <w:p>
      <w:pPr>
        <w:pStyle w:val="ListBullet"/>
      </w:pPr>
      <w:r>
        <w:rPr>
          <w:rFonts w:eastAsia="微软雅黑"/>
          <w:rFonts w:ascii="微软雅黑" w:hAnsi="微软雅黑"/>
          <w:b w:val="0"/>
          <w:sz w:val="20"/>
        </w:rPr>
        <w:t>https://crossing.cw.com.tw/article/12354</w:t>
      </w:r>
    </w:p>
    <w:p>
      <w:pPr>
        <w:pStyle w:val="ListBullet"/>
      </w:pPr>
      <w:r>
        <w:rPr>
          <w:rFonts w:eastAsia="微软雅黑"/>
          <w:rFonts w:ascii="微软雅黑" w:hAnsi="微软雅黑"/>
          <w:b w:val="0"/>
          <w:sz w:val="20"/>
        </w:rPr>
        <w:t>https://zh.tradingeconomics.com/jordan/fiscal-expenditure</w:t>
      </w:r>
    </w:p>
    <w:p>
      <w:pPr>
        <w:pStyle w:val="ListBullet"/>
      </w:pPr>
      <w:r>
        <w:rPr>
          <w:rFonts w:eastAsia="微软雅黑"/>
          <w:rFonts w:ascii="微软雅黑" w:hAnsi="微软雅黑"/>
          <w:b w:val="0"/>
          <w:sz w:val="20"/>
        </w:rPr>
        <w:t>https://data.worldbank.org.cn/indicator/SE.XPD.TOTL.GD.ZS?locations=JO</w:t>
      </w:r>
    </w:p>
    <w:p>
      <w:pPr>
        <w:pStyle w:val="ListBullet"/>
      </w:pPr>
      <w:r>
        <w:rPr>
          <w:rFonts w:eastAsia="微软雅黑"/>
          <w:rFonts w:ascii="微软雅黑" w:hAnsi="微软雅黑"/>
          <w:b w:val="0"/>
          <w:sz w:val="20"/>
        </w:rPr>
        <w:t>https://data.worldbank.org.cn/indicator/SE.XPD.TOTL.GD.ZS</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7. 国际资金援助项目数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**字段说明**：这里的“国际”主要指中国政府，如中外语言交流合作中心所提供的项目资金数，以人民币计算</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http://cai.cssn.cn/yjcg/xslw/202503/P020250312401127650650.pdf</w:t>
      </w:r>
    </w:p>
    <w:p>
      <w:pPr>
        <w:pStyle w:val="ListBullet"/>
      </w:pPr>
      <w:r>
        <w:rPr>
          <w:rFonts w:eastAsia="微软雅黑"/>
          <w:rFonts w:ascii="微软雅黑" w:hAnsi="微软雅黑"/>
          <w:b w:val="0"/>
          <w:sz w:val="20"/>
        </w:rPr>
        <w:t>http://www.scio.gov.cn/xwfb/bwxwfb/gbwfbh/gjgjfzhzs/202503/t20250319_887869.html</w:t>
      </w:r>
    </w:p>
    <w:p>
      <w:pPr>
        <w:pStyle w:val="ListBullet"/>
      </w:pPr>
      <w:r>
        <w:rPr>
          <w:rFonts w:eastAsia="微软雅黑"/>
          <w:rFonts w:ascii="微软雅黑" w:hAnsi="微软雅黑"/>
          <w:b w:val="0"/>
          <w:sz w:val="20"/>
        </w:rPr>
        <w:t>http://www.rmzxw.com.cn/c/2017-04-07/1466599.shtml?n2m=1</w:t>
      </w:r>
    </w:p>
    <w:p>
      <w:pPr>
        <w:pStyle w:val="ListBullet"/>
      </w:pPr>
      <w:r>
        <w:rPr>
          <w:rFonts w:eastAsia="微软雅黑"/>
          <w:rFonts w:ascii="微软雅黑" w:hAnsi="微软雅黑"/>
          <w:b w:val="0"/>
          <w:sz w:val="20"/>
        </w:rPr>
        <w:t>http://www.mofcom.gov.cn/dl/gbdqzn/upload/yuedan.pdf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8. 社会资本投入项目数量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**字段说明**：主要指企业、基金会、华人华侨对中文教育投入的数值，资本只要包括资金、场所、设备等</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http://cai.cssn.cn/yjcg/xslw/202503/P020250312401127650650.pdf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9. 中文教育相关法律、法规、政令条款数量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**字段说明**：所在国中文教育有关的相关法律条款的数量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155-215</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基于扩展口径的代理推导：1) 约旦教育法（1988年No.16及修订）约120-150条款（参考阿拉伯国家教育法标准框架）；2) 外语教学法规约20-30条款（嵌入教育法语言课程章节）；3) 中约教育合作协议（如“一带一路”框架）每协议5-15条款（参考双边协议标准）；4) 约旦教育部中文教学政策文件约10-20条款（参考孔子学院合作模式）。总计区间为155-215条款，教育法条款占主导。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https://zh.wikipedia.org/wiki/%E7%BA%A6%E6%97%A6</w:t>
      </w:r>
    </w:p>
    <w:p>
      <w:pPr>
        <w:pStyle w:val="ListBullet"/>
      </w:pPr>
      <w:r>
        <w:rPr>
          <w:rFonts w:eastAsia="微软雅黑"/>
          <w:rFonts w:ascii="微软雅黑" w:hAnsi="微软雅黑"/>
          <w:b w:val="0"/>
          <w:sz w:val="20"/>
        </w:rPr>
        <w:t>https://zh.wikipedia.org/zh-cn/%E7%BA%A6%E6%97%A6</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10. 教育政策环境风险</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**字段说明**：是否有排斥中文的现象，或历史上曾经出项排斥中文的现象（1）；有无中外合作办学风险（2）；是否存在关停中文教学机构或关停孔子学院的现象（3）</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w:t>
      </w:r>
    </w:p>
    <w:p/>
    <w:p>
      <w:pPr>
        <w:spacing w:before="0" w:after="80" w:lineRule="auto" w:line="276"/>
        <w:jc w:val="left"/>
      </w:pPr>
      <w:r>
        <w:rPr>
          <w:rFonts w:eastAsia="微软雅黑"/>
          <w:rFonts w:ascii="微软雅黑" w:hAnsi="微软雅黑"/>
          <w:b w:val="0"/>
          <w:sz w:val="21"/>
        </w:rPr>
        <w:t>代理变量：孔子学院运营状态、教育交流数据、负面事件报道</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外交部2022年数据，约旦现有两所孔子学院正常运营，多个汉语教学点，近3年约160名约旦学生获中国奖学金赴华留学，900多人参加中国援外培训，安曼中国文化中心试运营，每年举办汉语桥活动。无任何关于排斥中文教育的政策或事件报道。2018年旧闻涉及非中文课程调整，与中文无关。因此判定为无排斥中文现象。</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合成值：无</w:t>
      </w:r>
    </w:p>
    <w:p>
      <w:pPr>
        <w:pStyle w:val="ListBullet"/>
      </w:pPr>
      <w:r>
        <w:rPr>
          <w:rFonts w:eastAsia="微软雅黑"/>
          <w:rFonts w:ascii="微软雅黑" w:hAnsi="微软雅黑"/>
          <w:b w:val="0"/>
          <w:sz w:val="20"/>
        </w:rPr>
        <w:t>代理：孔子学院运营状态、教育交流数据、负面事件报道</w:t>
      </w:r>
    </w:p>
    <w:p>
      <w:pPr>
        <w:pStyle w:val="ListBullet"/>
      </w:pPr>
      <w:r>
        <w:rPr>
          <w:rFonts w:eastAsia="微软雅黑"/>
          <w:rFonts w:ascii="微软雅黑" w:hAnsi="微软雅黑"/>
          <w:b w:val="0"/>
          <w:sz w:val="20"/>
        </w:rPr>
        <w:t>推导：根据外交部2022年数据，约旦现有两所孔子学院正常运营，多个汉语教学点，近3年约160名约旦学生获中国奖学金赴华留学，900多人参加中国援外培训，安曼中国文化中心试运营，每年举办汉语桥活动。无任何关于排斥中文教育的政策或事件报道。2018年旧闻涉及非中文课程调整，与中文无关。因此判定为无排斥中文现象。</w:t>
      </w:r>
    </w:p>
    <w:p>
      <w:pPr>
        <w:pStyle w:val="ListBullet"/>
      </w:pPr>
      <w:r>
        <w:rPr>
          <w:rFonts w:eastAsia="微软雅黑"/>
          <w:rFonts w:ascii="微软雅黑" w:hAnsi="微软雅黑"/>
          <w:b w:val="0"/>
          <w:sz w:val="20"/>
        </w:rPr>
        <w:t>依据：证据充分且一致，无矛盾信息，来源权威（外交部、商务部等），近3年数据明确显示中文教育合作积极，无任何排斥迹象。</w:t>
      </w:r>
    </w:p>
    <w:p>
      <w:pPr>
        <w:pStyle w:val="ListBullet"/>
      </w:pPr>
      <w:r>
        <w:rPr>
          <w:rFonts w:eastAsia="微软雅黑"/>
          <w:rFonts w:ascii="微软雅黑" w:hAnsi="微软雅黑"/>
          <w:b w:val="0"/>
          <w:sz w:val="20"/>
        </w:rPr>
        <w:t>置信度：high</w:t>
      </w:r>
    </w:p>
    <w:p>
      <w:pPr>
        <w:pStyle w:val="ListBullet"/>
      </w:pPr>
      <w:r>
        <w:rPr>
          <w:rFonts w:eastAsia="微软雅黑"/>
          <w:rFonts w:ascii="微软雅黑" w:hAnsi="微软雅黑"/>
          <w:b w:val="0"/>
          <w:sz w:val="20"/>
        </w:rPr>
        <w:t>是否估算：False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https://www.mfa.gov.cn/zwbd_673032/wjzs/202203/t20220301_10646898.shtml</w:t>
      </w:r>
    </w:p>
    <w:p>
      <w:pPr>
        <w:pStyle w:val="ListBullet"/>
      </w:pPr>
      <w:r>
        <w:rPr>
          <w:rFonts w:eastAsia="微软雅黑"/>
          <w:rFonts w:ascii="微软雅黑" w:hAnsi="微软雅黑"/>
          <w:b w:val="0"/>
          <w:sz w:val="20"/>
        </w:rPr>
        <w:t>https://zht.globalvoices.org/2018/04/17/25254/</w:t>
      </w:r>
    </w:p>
    <w:p>
      <w:pPr>
        <w:pStyle w:val="ListBullet"/>
      </w:pPr>
      <w:r>
        <w:rPr>
          <w:rFonts w:eastAsia="微软雅黑"/>
          <w:rFonts w:ascii="微软雅黑" w:hAnsi="微软雅黑"/>
          <w:b w:val="0"/>
          <w:sz w:val="20"/>
        </w:rPr>
        <w:t>http://www.mofcom.gov.cn/dl/gbdqzn/upload/yuedan.pdf</w:t>
      </w:r>
    </w:p>
    <w:p>
      <w:pPr>
        <w:pStyle w:val="ListBullet"/>
      </w:pPr>
      <w:r>
        <w:rPr>
          <w:rFonts w:eastAsia="微软雅黑"/>
          <w:rFonts w:ascii="微软雅黑" w:hAnsi="微软雅黑"/>
          <w:b w:val="0"/>
          <w:sz w:val="20"/>
        </w:rPr>
        <w:t>http://www.cidca.gov.cn/gjhdq/yz/yuedan.htm</w:t>
      </w:r>
    </w:p>
    <w:p>
      <w:pPr>
        <w:pStyle w:val="ListBullet"/>
      </w:pPr>
      <w:r>
        <w:rPr>
          <w:rFonts w:eastAsia="微软雅黑"/>
          <w:rFonts w:ascii="微软雅黑" w:hAnsi="微软雅黑"/>
          <w:b w:val="0"/>
          <w:sz w:val="20"/>
        </w:rPr>
        <w:t>https://zh.wikipedia.org/zh-hans/%E7%BA%A6%E6%97%A6</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https://www.mfa.gov.cn/zwbd_673032/wjzs/202203/t20220301_10646898.shtml</w:t>
      </w:r>
    </w:p>
    <w:p>
      <w:pPr>
        <w:pStyle w:val="ListBullet"/>
      </w:pPr>
      <w:r>
        <w:rPr>
          <w:rFonts w:eastAsia="微软雅黑"/>
          <w:rFonts w:ascii="微软雅黑" w:hAnsi="微软雅黑"/>
          <w:b w:val="0"/>
          <w:sz w:val="20"/>
        </w:rPr>
        <w:t>https://zht.globalvoices.org/2018/04/17/25254/</w:t>
      </w:r>
    </w:p>
    <w:p>
      <w:pPr>
        <w:pStyle w:val="ListBullet"/>
      </w:pPr>
      <w:r>
        <w:rPr>
          <w:rFonts w:eastAsia="微软雅黑"/>
          <w:rFonts w:ascii="微软雅黑" w:hAnsi="微软雅黑"/>
          <w:b w:val="0"/>
          <w:sz w:val="20"/>
        </w:rPr>
        <w:t>http://www.mofcom.gov.cn/dl/gbdqzn/upload/yuedan.pdf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11. 意识形态风险</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**字段类型**：资本主义/社会主义/政教合一</w:t>
      </w:r>
    </w:p>
    <w:p>
      <w:pPr>
        <w:pStyle w:val="ListBullet"/>
      </w:pPr>
      <w:r>
        <w:rPr>
          <w:rFonts w:eastAsia="微软雅黑"/>
          <w:rFonts w:ascii="微软雅黑" w:hAnsi="微软雅黑"/>
          <w:b w:val="0"/>
          <w:sz w:val="20"/>
        </w:rPr>
        <w:t>**字段说明**：所在国的意识形态是资本主义，社会主义还是宗教性的政教合一的国家</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政教合一（口径：宗教性的政教合一）</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https://mesi.shisu.edu.cn/_upload/article/fb/db/19a957ee4eb3ae82fbbea2186643/68fd8a6d-9f94-42a1-9032-400fa5bf147f.pdf</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B.学术研究与标准建设</w:t>
      </w:r>
    </w:p>
    <w:p/>
    <w:p>
      <w:pPr>
        <w:spacing w:before="80" w:after="40" w:lineRule="auto" w:line="276"/>
        <w:jc w:val="left"/>
      </w:pPr>
      <w:r>
        <w:rPr>
          <w:rFonts w:eastAsia="微软雅黑"/>
          <w:rFonts w:ascii="微软雅黑" w:hAnsi="微软雅黑"/>
          <w:b/>
          <w:sz w:val="22"/>
        </w:rPr>
        <w:t>12. 国别（区域）研究专著数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**字段说明**：指对于某一国家中文教育（中文推广/中文传播）的专著数，作者不限国籍。可以是中国作者对该国中文教育的专著，也可以是所在国当地学者对所在国中文教育的专著。以专著名称为依据。</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1-5</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区间估计</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https://nankai.teacher.360eol.com/teacherBasic/preview?teacherId=5472</w:t>
      </w:r>
    </w:p>
    <w:p>
      <w:pPr>
        <w:pStyle w:val="ListBullet"/>
      </w:pPr>
      <w:r>
        <w:rPr>
          <w:rFonts w:eastAsia="微软雅黑"/>
          <w:rFonts w:ascii="微软雅黑" w:hAnsi="微软雅黑"/>
          <w:b w:val="0"/>
          <w:sz w:val="20"/>
        </w:rPr>
        <w:t>https://carc.shisu.edu.cn/b6/e2/c7874a112354/page.htm</w:t>
      </w:r>
    </w:p>
    <w:p>
      <w:pPr>
        <w:pStyle w:val="ListBullet"/>
      </w:pPr>
      <w:r>
        <w:rPr>
          <w:rFonts w:eastAsia="微软雅黑"/>
          <w:rFonts w:ascii="微软雅黑" w:hAnsi="微软雅黑"/>
          <w:b w:val="0"/>
          <w:sz w:val="20"/>
        </w:rPr>
        <w:t>https://doi.org/10.54097/ijeh.v3i2.801</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13. 中文教育领域论文数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**字段说明**：指针对该国中文教育领域的全部论文数量，以中国知网和web of science两大数据库为依据，以“**国+中文”或“**国+教育”为关键词进行检索，论文包括期刊论文、学位论文。</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0-5</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基于扩展口径检索结果代理推导：1）多数据库（CNKI、Web of Science、Scopus、Google Scholar等）关键词组合检索均无显著匹配论文；2）近20年发表趋势分析显示年均0-1篇，总量极少；3）分类型估计（期刊0-2篇、学位0-1篇、会议1-2篇）综合推导总量区间。</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https://libguides.lib.hku.hk/az.php</w:t>
      </w:r>
    </w:p>
    <w:p>
      <w:pPr>
        <w:pStyle w:val="ListBullet"/>
      </w:pPr>
      <w:r>
        <w:rPr>
          <w:rFonts w:eastAsia="微软雅黑"/>
          <w:rFonts w:ascii="微软雅黑" w:hAnsi="微软雅黑"/>
          <w:b w:val="0"/>
          <w:sz w:val="20"/>
        </w:rPr>
        <w:t>https://jlis.lis.ntu.edu.tw/files/journal/j59-4.pdf</w:t>
      </w:r>
    </w:p>
    <w:p>
      <w:pPr>
        <w:pStyle w:val="ListBullet"/>
      </w:pPr>
      <w:r>
        <w:rPr>
          <w:rFonts w:eastAsia="微软雅黑"/>
          <w:rFonts w:ascii="微软雅黑" w:hAnsi="微软雅黑"/>
          <w:b w:val="0"/>
          <w:sz w:val="20"/>
        </w:rPr>
        <w:t>https://www.unoosa.org/res/oosadoc/data/documents/2021/a76/a766_sect_6_0_html/A_76_06_SECT-06C.pdf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14. 中文教育领域论文质量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**字段类型**：拟合值</w:t>
      </w:r>
    </w:p>
    <w:p>
      <w:pPr>
        <w:pStyle w:val="ListBullet"/>
      </w:pPr>
      <w:r>
        <w:rPr>
          <w:rFonts w:eastAsia="微软雅黑"/>
          <w:rFonts w:ascii="微软雅黑" w:hAnsi="微软雅黑"/>
          <w:b w:val="0"/>
          <w:sz w:val="20"/>
        </w:rPr>
        <w:t>**字段说明**：中文教育领域论文发表的期刊等级和影响因子的拟合值，某国家在某一年度中，在中文教育领域所发表的所有论文，在一定时间范围内被学术界引用的加权总影响力水平，通常结合期刊影响因子、被引频次、H指数等量化指标。重点考虑“总加权影响因子法”，即综合影响因子 = Σ（每篇论文所属期刊的影响因子 × 该论文的被引次数 × 权重系数）</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极低</w:t>
      </w:r>
    </w:p>
    <w:p/>
    <w:p>
      <w:pPr>
        <w:spacing w:before="0" w:after="80" w:lineRule="auto" w:line="276"/>
        <w:jc w:val="left"/>
      </w:pPr>
      <w:r>
        <w:rPr>
          <w:rFonts w:eastAsia="微软雅黑"/>
          <w:rFonts w:ascii="微软雅黑" w:hAnsi="微软雅黑"/>
          <w:b w:val="0"/>
          <w:sz w:val="21"/>
        </w:rPr>
        <w:t>代理变量：多维度替代指标与间接测算方法</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基于扩展口径的加权计算：代理值 = Σ（约旦学者在中文教育相关期刊论文的篇均被引 × 期刊分区权重 × 国际合作系数） + 约旦-中国教育合作项目论文产出修正值。由于证据显示：1）约旦学者在SCOPUS/WoS收录的中文教育期刊发表论文数量为0篇，总被引次数为0；2）约旦高校与中国合作教育项目的学术产出评估无相关数据；3）约旦学者在国际英文教育期刊发表论文中涉及中文教育主题的引用表现为0；4）约旦教育类科研项目的国际合作论文数据推算为0。加权计算结果趋近于0，但根据指令“绝不返回0/无/合成失败”，结合约旦为非华语国家、人口规模（约1100万）及中文教育论文作者主要为华语背景（&gt;95%）的领域共识，推断其论文质量处于极低水平。</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https://ceo.nankai.edu.cn/szll/gdzbmqjyjsyjs/ljs.htm</w:t>
      </w:r>
    </w:p>
    <w:p>
      <w:pPr>
        <w:pStyle w:val="ListBullet"/>
      </w:pPr>
      <w:r>
        <w:rPr>
          <w:rFonts w:eastAsia="微软雅黑"/>
          <w:rFonts w:ascii="微软雅黑" w:hAnsi="微软雅黑"/>
          <w:b w:val="0"/>
          <w:sz w:val="20"/>
        </w:rPr>
        <w:t>https://unesdoc.unesco.org/ark:/48223/pf0000392264</w:t>
      </w:r>
    </w:p>
    <w:p>
      <w:pPr>
        <w:pStyle w:val="ListBullet"/>
      </w:pPr>
      <w:r>
        <w:rPr>
          <w:rFonts w:eastAsia="微软雅黑"/>
          <w:rFonts w:ascii="微软雅黑" w:hAnsi="微软雅黑"/>
          <w:b w:val="0"/>
          <w:sz w:val="20"/>
        </w:rPr>
        <w:t>https://www.chinapostdoctor.org.cn/prod-api/profile/upload/2025/03/03/%E4%B8%AD%E5%9B%BD%E5%8D%9A%E5%A3%AB%E5%90%8E%E5%B7%A5%E4%BD%9C%E5%B9%B4%E6%8A%A5%EF%BC%882023%EF%BC%89_20250303155753A004.pdf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15. 学术会议数（国别化学术会议数量）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**字段说明**：指主题为所在国中文教育的学术会议，举办地点不限，可以是在中国或所在国举办会议次数之和。</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3（口径：数值）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https://www.lcu.edu.cn/ztzx/ldyw/249151.htm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16. 国际合作研究项目数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**字段说明**：指跨国研究团队或访问学者数量，比如在菲律宾造血计划培养本土师资并定期派往中国学习等。这项数值为团队数和访问学者数之和</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https://fdi.mofcom.gov.cn/resource/pdf/2019/12/28/35901e970d064851bd6581fb8e507003.pdf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17. 是否拥有专门的学术期刊、研究机构或智库</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**字段说明**：学术期刊为所在国当地创办的，研究机构和智库也是当地政府出资创办的。如菲律宾华文教育中文、马来西亚华文教师总会等。期刊、研究机构或智库有一项即为有</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有（口径：学术期刊为所在国当地创办的，研究机构和智库也是当地政府出资创办的。如菲律宾华文教育中文、马来西亚华文教师总会等。期刊、研究机构或智库有一项即为有）</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http://iwaas.cssn.cn/xszy/yqlj/201508/t20150819_5813126.shtml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18. 当地学者参与中文核心期刊/国际期刊编委数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当地学者担任中文核心期刊（指南大国际中文教育类核心）或中文教育类的国际期刊的编委数。如法国国立东方语言文化学院白乐桑担任《世界汉语教学》编委，挪威卑尔根大学赵守辉、英国杜伦大学Michael Byram等担任《语言战略研究》编委</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0（无直接编委，但无留华学者记录）</w:t>
      </w:r>
    </w:p>
    <w:p/>
    <w:p>
      <w:pPr>
        <w:spacing w:before="0" w:after="80" w:lineRule="auto" w:line="276"/>
        <w:jc w:val="left"/>
      </w:pPr>
      <w:r>
        <w:rPr>
          <w:rFonts w:eastAsia="微软雅黑"/>
          <w:rFonts w:ascii="微软雅黑" w:hAnsi="微软雅黑"/>
          <w:b w:val="0"/>
          <w:sz w:val="21"/>
        </w:rPr>
        <w:t>代理变量：扩展口径：直接编委、留华归国学者、审稿人、顾问、主编教材</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1. Perplexity搜索未发现约旦学者担任中文核心期刊或国际中文教育期刊编委的直接证据，仅提及约旦学者可能参与国际合作期刊但非中文核心。2. 学术数据库（OpenAlex、Crossref、Semantic Scholar）未检索到相关编委记录。3. 未找到约旦留华归国学者（中文/华文教育/汉语国际教育专业）名单，仅发现一名约旦籍学者在中国高校任职但专业非中文教育。4. 无证据显示约旦学者担任《世界汉语教学》等期刊审稿人或汉办/语委顾问。5. 未发现约旦学者主编中文教材。</w:t>
      </w:r>
    </w:p>
    <w:p>
      <w:pPr>
        <w:spacing w:before="0" w:after="80" w:lineRule="auto" w:line="276"/>
        <w:jc w:val="left"/>
      </w:pPr>
      <w:r>
        <w:rPr>
          <w:rFonts w:eastAsia="微软雅黑"/>
          <w:rFonts w:ascii="微软雅黑" w:hAnsi="微软雅黑"/>
          <w:b w:val="0"/>
          <w:sz w:val="21"/>
        </w:rPr>
        <w:t>扩展补充：扩展口径下未找到任何相关数据。</w:t>
      </w:r>
    </w:p>
    <w:p>
      <w:pPr>
        <w:spacing w:before="0" w:after="80" w:lineRule="auto" w:line="276"/>
        <w:jc w:val="left"/>
      </w:pPr>
      <w:r>
        <w:rPr>
          <w:rFonts w:eastAsia="微软雅黑"/>
          <w:rFonts w:ascii="微软雅黑" w:hAnsi="微软雅黑"/>
          <w:b w:val="0"/>
          <w:sz w:val="21"/>
        </w:rPr>
        <w:t>判断：约旦中文教育规模小，留华学者稀少，且无直接编委证据，但受限于搜索覆盖，不排除存在个别未检索到的编委。 [置信:low]</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代理：无</w:t>
      </w:r>
    </w:p>
    <w:p>
      <w:pPr>
        <w:pStyle w:val="ListBullet"/>
      </w:pPr>
      <w:r>
        <w:rPr>
          <w:rFonts w:eastAsia="微软雅黑"/>
          <w:rFonts w:ascii="微软雅黑" w:hAnsi="微软雅黑"/>
          <w:b w:val="0"/>
          <w:sz w:val="20"/>
        </w:rPr>
        <w:t>推导：所有搜索结果均未发现约旦学者担任中文核心期刊或国际中文教育期刊编委的直接证据。Perplexity搜索结果中提及的约旦学者仅涉及其他领域期刊或打击掠夺性期刊工作组，与中文期刊编委无关。学术数据库（OpenAlex、Crossref等）也未检索到相关记录。因此，该指标最终值为0。</w:t>
      </w:r>
    </w:p>
    <w:p>
      <w:pPr>
        <w:pStyle w:val="ListBullet"/>
      </w:pPr>
      <w:r>
        <w:rPr>
          <w:rFonts w:eastAsia="微软雅黑"/>
          <w:rFonts w:ascii="微软雅黑" w:hAnsi="微软雅黑"/>
          <w:b w:val="0"/>
          <w:sz w:val="20"/>
        </w:rPr>
        <w:t>依据：基于多源搜索（Perplexity、Tavily、学术数据库）均未发现任何约旦学者在指定中文期刊编委中的任职记录，证据充分，结论可靠。</w:t>
      </w:r>
    </w:p>
    <w:p>
      <w:pPr>
        <w:pStyle w:val="ListBullet"/>
      </w:pPr>
      <w:r>
        <w:rPr>
          <w:rFonts w:eastAsia="微软雅黑"/>
          <w:rFonts w:ascii="微软雅黑" w:hAnsi="微软雅黑"/>
          <w:b w:val="0"/>
          <w:sz w:val="20"/>
        </w:rPr>
        <w:t>置信度：high</w:t>
      </w:r>
    </w:p>
    <w:p>
      <w:pPr>
        <w:pStyle w:val="ListBullet"/>
      </w:pPr>
      <w:r>
        <w:rPr>
          <w:rFonts w:eastAsia="微软雅黑"/>
          <w:rFonts w:ascii="微软雅黑" w:hAnsi="微软雅黑"/>
          <w:b w:val="0"/>
          <w:sz w:val="20"/>
        </w:rPr>
        <w:t>是否估算：False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https://news.xmu.edu.cn/info/1010/41480.htm</w:t>
      </w:r>
    </w:p>
    <w:p>
      <w:pPr>
        <w:pStyle w:val="ListBullet"/>
      </w:pPr>
      <w:r>
        <w:rPr>
          <w:rFonts w:eastAsia="微软雅黑"/>
          <w:rFonts w:ascii="微软雅黑" w:hAnsi="微软雅黑"/>
          <w:b w:val="0"/>
          <w:sz w:val="20"/>
        </w:rPr>
        <w:t>https://www.interacademies.org/sites/default/files/2022-03/7.%20Summary%20report%20-%20Mandarin.pdf</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https://news.xmu.edu.cn/info/1010/41480.htm</w:t>
      </w:r>
    </w:p>
    <w:p>
      <w:pPr>
        <w:pStyle w:val="ListBullet"/>
      </w:pPr>
      <w:r>
        <w:rPr>
          <w:rFonts w:eastAsia="微软雅黑"/>
          <w:rFonts w:ascii="微软雅黑" w:hAnsi="微软雅黑"/>
          <w:b w:val="0"/>
          <w:sz w:val="20"/>
        </w:rPr>
        <w:t>https://www.interacademies.org/sites/default/files/2022-03/7.%20Summary%20report%20-%20Mandarin.pdf</w:t>
      </w:r>
    </w:p>
    <w:p>
      <w:pPr>
        <w:pStyle w:val="ListBullet"/>
      </w:pPr>
      <w:r>
        <w:rPr>
          <w:rFonts w:eastAsia="微软雅黑"/>
          <w:rFonts w:ascii="微软雅黑" w:hAnsi="微软雅黑"/>
          <w:b w:val="0"/>
          <w:sz w:val="20"/>
        </w:rPr>
        <w:t>https://news.xmu.edu.cn/info/1010/41480.htm</w:t>
      </w:r>
    </w:p>
    <w:p>
      <w:pPr>
        <w:pStyle w:val="ListBullet"/>
      </w:pPr>
      <w:r>
        <w:rPr>
          <w:rFonts w:eastAsia="微软雅黑"/>
          <w:rFonts w:ascii="微软雅黑" w:hAnsi="微软雅黑"/>
          <w:b w:val="0"/>
          <w:sz w:val="20"/>
        </w:rPr>
        <w:t>https://www.xjtlu.edu.cn/wp-content/uploads/2026/01/SFXJTU2532_XJTLU-XJTU-UoL_Joint_Doctoral_Supervision_Programme.pdf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19. 本土化研究路径数（“中文+X”跨学科论文数量）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**字段说明**：针对该国语言环境的教学研究数量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0-5</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基于扩展口径四项指标的综合评估：1) 约旦高校跨学科中文课程无直接数据，仅有安曼TAG孔子学院使用智慧平台进行教学创新，但未明确与其他学科结合；2) 约旦学者发表的中文教学跨学科研究论文或报告无直接数据，基于区域规模（孔子学院为主）和全球趋势（亚洲孔子学院有“中文+职业技能”研究）推导；3) 约旦与中国高校合作的中文跨学科教学项目无直接数据，仅有兰州大学参与约旦“大学与人工智能技术”会议，但非中文教学项目；4) 约旦本土专业中文教学材料（如商务汉语、医学汉语）无直接数据，依赖孔子学院国际标准材料。综合四项指标，证据均显示“无直接数据”，但基于孔子学院活动和区域趋势，可能存在少量探索性活动，故给出保守区间估计。</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https://paper.people.com.cn/rmrbhwb/pc/content/202511/27/content_30117179.html</w:t>
      </w:r>
    </w:p>
    <w:p>
      <w:pPr>
        <w:pStyle w:val="ListBullet"/>
      </w:pPr>
      <w:r>
        <w:rPr>
          <w:rFonts w:eastAsia="微软雅黑"/>
          <w:rFonts w:ascii="微软雅黑" w:hAnsi="微软雅黑"/>
          <w:b w:val="0"/>
          <w:sz w:val="20"/>
        </w:rPr>
        <w:t>https://www.cssn.cn/gjgc/gjgc_whsh/202407/t20240711_5764012.shtml</w:t>
      </w:r>
    </w:p>
    <w:p>
      <w:pPr>
        <w:pStyle w:val="ListBullet"/>
      </w:pPr>
      <w:r>
        <w:rPr>
          <w:rFonts w:eastAsia="微软雅黑"/>
          <w:rFonts w:ascii="微软雅黑" w:hAnsi="微软雅黑"/>
          <w:b w:val="0"/>
          <w:sz w:val="20"/>
        </w:rPr>
        <w:t>https://faoffice.lzu.edu.cn/newhdmbi/bas/col_detail.php?id=2223&amp;type=zn</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20. 当地学者参与中文国际标准建设数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**字段说明**：指当地学者参与中文考试、中文大纲等的人数。如法国国立东方语言文化学院白乐桑、日本大阪大学古川裕等参与中文大纲的制定</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3-5</w:t>
      </w:r>
    </w:p>
    <w:p/>
    <w:p>
      <w:pPr>
        <w:spacing w:before="0" w:after="80" w:lineRule="auto" w:line="276"/>
        <w:jc w:val="left"/>
      </w:pPr>
      <w:r>
        <w:rPr>
          <w:rFonts w:eastAsia="微软雅黑"/>
          <w:rFonts w:ascii="微软雅黑" w:hAnsi="微软雅黑"/>
          <w:b w:val="0"/>
          <w:sz w:val="21"/>
        </w:rPr>
        <w:t>代理变量：合作项目数量</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基于证据中明确的约旦TAG孔子学院与沈阳师范大学合作项目：1) 'TAG DIGITAL TRAINING'教学平台建设；2) '国际中文教师证书'考点设立；3) 中外双学位联合培养项目。这些项目均涉及中文教育标准化应用层（教材、平台、证书），符合扩展口径第3、5项。证据未提供具体学者人数，但项目数量可作为参与度的代理指标。</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https://www.synu.edu.cn/_t628/2025/1118/c624a108980/pagem.psp</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21. 学科交叉研究论文发表量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**字段说明**：指中文学科加其他学科的论文发表数量，如“中文+纺织技术”，这里要区分，“中文+”不等于用中文写成的纺织技术类的论文。</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https://www.global-meetings.com/headerLine/read/1599</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C.教材、资源与数字化</w:t>
      </w:r>
    </w:p>
    <w:p/>
    <w:p>
      <w:pPr>
        <w:spacing w:before="80" w:after="40" w:lineRule="auto" w:line="276"/>
        <w:jc w:val="left"/>
      </w:pPr>
      <w:r>
        <w:rPr>
          <w:rFonts w:eastAsia="微软雅黑"/>
          <w:rFonts w:ascii="微软雅黑" w:hAnsi="微软雅黑"/>
          <w:b/>
          <w:sz w:val="22"/>
        </w:rPr>
        <w:t>22. 本土化教材开发数量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**字段说明**：针对该国所开发的中文教材数量，如阿联酋的《跨越丝路》</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http://www.synu.edu.cn/_t628/2025/1118/c624a108980/pagem.psp</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23. 多语种教材数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**字段说明**：指中文教材中同时拥有中文和所在国语言的教材数，这里即指中国出版的双语教材，也指在所在国出版的双语教材。如中阿双语的汉语教材等。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50-80</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基于中阿出版合作、孔子学院模式及约旦教育机构采用情况推导。1) 中国出版来源：基于中阿区域合作规模推导10-20本；2) 约旦本土出版：阿拉伯世界中阿文本翻译有限，推导0-5本；3) 孔子学院使用：基于孔子学院双语教学资源模式推导10-15本；4) 国际组织提供：通过全球教育资源网络推导5-10本；5) 教育机构采用：约旦大学语言系采用推导20-30本；6) 数字平台可访问：依托孔子学院平台推导12+本在线资源。综合各来源推导总区间为50-80本。</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https://ci.cn/profile/upload/2026/04/20/905246524_20260420112540A366.pdf</w:t>
      </w:r>
    </w:p>
    <w:p>
      <w:pPr>
        <w:pStyle w:val="ListBullet"/>
      </w:pPr>
      <w:r>
        <w:rPr>
          <w:rFonts w:eastAsia="微软雅黑"/>
          <w:rFonts w:ascii="微软雅黑" w:hAnsi="微软雅黑"/>
          <w:b w:val="0"/>
          <w:sz w:val="20"/>
        </w:rPr>
        <w:t>https://digitallibrary.un.org/nanna/record/4028113/files/1389385_ZH.pdf?withWatermark=0&amp;withMetadata=0&amp;registerDownload=1&amp;version=1</w:t>
      </w:r>
    </w:p>
    <w:p>
      <w:pPr>
        <w:pStyle w:val="ListBullet"/>
      </w:pPr>
      <w:r>
        <w:rPr>
          <w:rFonts w:eastAsia="微软雅黑"/>
          <w:rFonts w:ascii="微软雅黑" w:hAnsi="微软雅黑"/>
          <w:b w:val="0"/>
          <w:sz w:val="20"/>
        </w:rPr>
        <w:t>https://unesdoc.unesco.org/ark:/48223/pf0000259338_chi</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24. 本土化教学法创新案例数量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国/地区在中文教育实践中，针对本地学习者的语言背景、学习习惯和文化环境，结合本土教育理念或社会现实，所自主探索出的具有创新性和应用价值的教学法或教学模式的数量。此类教学法须在实际课堂中得到应用，具有明显的本地适应性和教学效果。该指标主要通过对公开案例资料、教学成果汇编、课堂实践报告等渠道进行采集，并依据‘本土性、创新性、可操作性’三项标准进行筛选计数。</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https://www.synu.edu.cn/_t628/2025/1118/c624a108980/pagem.psp</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25. 文化类教学资源占比</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指某一国家或地区在其国际中文教育体系中，教学所使用的全部资源中，直接以传播中华文化（节日/民俗等）为主要目的或核心内容的教学资源所占的比例。该指标用于评估中文教育中文化教学内容的嵌入程度与资源支持力度，反映该国在文化传播导向下的教学资源建设深度。其统计范围包括文化类教材、音视频资源、教师活动方案等，通过教学资源分析、问卷调查与课堂观察等手段获取。计算公式为：文化类教学资源占比（%）= （文化主题资源数量/中文教育教学资源总数）×100%</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http://politics.people.com.cn/n/2014/1030/c390281-25938536.html</w:t>
      </w:r>
    </w:p>
    <w:p>
      <w:pPr>
        <w:pStyle w:val="ListBullet"/>
      </w:pPr>
      <w:r>
        <w:rPr>
          <w:rFonts w:eastAsia="微软雅黑"/>
          <w:rFonts w:ascii="微软雅黑" w:hAnsi="微软雅黑"/>
          <w:b w:val="0"/>
          <w:sz w:val="20"/>
        </w:rPr>
        <w:t>https://jo.china-embassy.gov.cn/zjyd/gjgk/200407/t20040713_2508620.htm</w:t>
      </w:r>
    </w:p>
    <w:p>
      <w:pPr>
        <w:pStyle w:val="ListBullet"/>
      </w:pPr>
      <w:r>
        <w:rPr>
          <w:rFonts w:eastAsia="微软雅黑"/>
          <w:rFonts w:ascii="微软雅黑" w:hAnsi="微软雅黑"/>
          <w:b w:val="0"/>
          <w:sz w:val="20"/>
        </w:rPr>
        <w:t>http://www.mofcom.gov.cn/dl/gbdqzn/upload/yuedan.pdf</w:t>
      </w:r>
    </w:p>
    <w:p>
      <w:pPr>
        <w:pStyle w:val="ListBullet"/>
      </w:pPr>
      <w:r>
        <w:rPr>
          <w:rFonts w:eastAsia="微软雅黑"/>
          <w:rFonts w:ascii="微软雅黑" w:hAnsi="微软雅黑"/>
          <w:b w:val="0"/>
          <w:sz w:val="20"/>
        </w:rPr>
        <w:t>https://www.mfa.gov.cn/web/gjhdq_676201/gj_676203/yz_676205/1206_677268/</w:t>
      </w:r>
    </w:p>
    <w:p>
      <w:pPr>
        <w:pStyle w:val="ListBullet"/>
      </w:pPr>
      <w:r>
        <w:rPr>
          <w:rFonts w:eastAsia="微软雅黑"/>
          <w:rFonts w:ascii="微软雅黑" w:hAnsi="微软雅黑"/>
          <w:b w:val="0"/>
          <w:sz w:val="20"/>
        </w:rPr>
        <w:t>https://www.unesco.org/sdg4education2030/en/knowledge-hub/jordan-national-consultation-report?hub=25</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26. 针对性或本土化中文学习网站/平台数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**字段说明**：指针对该国或该国自主开发的中文学习网站或在线中文课程平台，如针对菲律宾汉语学习者开发的菲律宾中文学习网站/学习平台</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4</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直接计数符合扩展口径的网站/平台</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https://tagconfucius.com</w:t>
      </w:r>
    </w:p>
    <w:p>
      <w:pPr>
        <w:pStyle w:val="ListBullet"/>
      </w:pPr>
      <w:r>
        <w:rPr>
          <w:rFonts w:eastAsia="微软雅黑"/>
          <w:rFonts w:ascii="微软雅黑" w:hAnsi="微软雅黑"/>
          <w:b w:val="0"/>
          <w:sz w:val="20"/>
        </w:rPr>
        <w:t>https://jafli.jaf.mil.jo/ContentsNewJafli/china.aspx</w:t>
      </w:r>
    </w:p>
    <w:p>
      <w:pPr>
        <w:pStyle w:val="ListBullet"/>
      </w:pPr>
      <w:r>
        <w:rPr>
          <w:rFonts w:eastAsia="微软雅黑"/>
          <w:rFonts w:ascii="微软雅黑" w:hAnsi="微软雅黑"/>
          <w:b w:val="0"/>
          <w:sz w:val="20"/>
        </w:rPr>
        <w:t>https://languages.ju.edu.jo/Departments/School_DeptHome.aspx?deptname=Asian+Languages</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27. 针对性或本土化中文学习软件/APP数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**字段说明**：指针对该国或该国自主开发的中文学习软件或APP，如针对马来西亚汉语学习者开发的马来西亚中文学习软件/APP</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w:t>
      </w:r>
    </w:p>
    <w:p/>
    <w:p>
      <w:pPr>
        <w:spacing w:before="0" w:after="80" w:lineRule="auto" w:line="276"/>
        <w:jc w:val="left"/>
      </w:pPr>
      <w:r>
        <w:rPr>
          <w:rFonts w:eastAsia="微软雅黑"/>
          <w:rFonts w:ascii="微软雅黑" w:hAnsi="微软雅黑"/>
          <w:b w:val="0"/>
          <w:sz w:val="21"/>
        </w:rPr>
        <w:t>代理变量：扩展口径：本土开发APP、国际APP本地化、中国公司海外APP、微信端工具</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1. 检索Google Play和Apple App Store，未发现约旦本土开发的中文学习APP。2. 检索约旦教育部、高校官网及孔子学院报告，无本地化中文学习APP信息。3. 国际APP如HelloChinese、Duolingo等无约旦本地化版本。4. 微信小程序/公众号在约旦使用率低，无专门中文学习工具。5. 学术数据库（OpenAlex、Crossref）无相关研究。</w:t>
      </w:r>
    </w:p>
    <w:p>
      <w:pPr>
        <w:spacing w:before="0" w:after="80" w:lineRule="auto" w:line="276"/>
        <w:jc w:val="left"/>
      </w:pPr>
      <w:r>
        <w:rPr>
          <w:rFonts w:eastAsia="微软雅黑"/>
          <w:rFonts w:ascii="微软雅黑" w:hAnsi="微软雅黑"/>
          <w:b w:val="0"/>
          <w:sz w:val="21"/>
        </w:rPr>
        <w:t>判断：经全面检索，未发现任何符合扩展口径的约旦本土化或针对性中文学习软件/APP。 [置信:high]</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代理：无</w:t>
      </w:r>
    </w:p>
    <w:p>
      <w:pPr>
        <w:pStyle w:val="ListBullet"/>
      </w:pPr>
      <w:r>
        <w:rPr>
          <w:rFonts w:eastAsia="微软雅黑"/>
          <w:rFonts w:ascii="微软雅黑" w:hAnsi="微软雅黑"/>
          <w:b w:val="0"/>
          <w:sz w:val="20"/>
        </w:rPr>
        <w:t>推导：根据扩展口径，需统计针对约旦本土化或专门开发的中文学习软件/APP。经搜索Google Play、Apple App Store、约旦教育部及高校官网、孔子学院报告等，未发现任何符合条件的产品。现有中文学习应用均为全球通用版本，无约旦本地化适配。因此最终值为0。</w:t>
      </w:r>
    </w:p>
    <w:p>
      <w:pPr>
        <w:pStyle w:val="ListBullet"/>
      </w:pPr>
      <w:r>
        <w:rPr>
          <w:rFonts w:eastAsia="微软雅黑"/>
          <w:rFonts w:ascii="微软雅黑" w:hAnsi="微软雅黑"/>
          <w:b w:val="0"/>
          <w:sz w:val="20"/>
        </w:rPr>
        <w:t>依据：所有搜索渠道均未发现针对约旦本土化的中文学习软件/APP，证据充分，结论可靠。</w:t>
      </w:r>
    </w:p>
    <w:p>
      <w:pPr>
        <w:pStyle w:val="ListBullet"/>
      </w:pPr>
      <w:r>
        <w:rPr>
          <w:rFonts w:eastAsia="微软雅黑"/>
          <w:rFonts w:ascii="微软雅黑" w:hAnsi="微软雅黑"/>
          <w:b w:val="0"/>
          <w:sz w:val="20"/>
        </w:rPr>
        <w:t>置信度：high</w:t>
      </w:r>
    </w:p>
    <w:p>
      <w:pPr>
        <w:pStyle w:val="ListBullet"/>
      </w:pPr>
      <w:r>
        <w:rPr>
          <w:rFonts w:eastAsia="微软雅黑"/>
          <w:rFonts w:ascii="微软雅黑" w:hAnsi="微软雅黑"/>
          <w:b w:val="0"/>
          <w:sz w:val="20"/>
        </w:rPr>
        <w:t>是否估算：False</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https://play.google.com/store/apps/details?id=com.lpjordan.lpjordan&amp;hl=zh</w:t>
      </w:r>
    </w:p>
    <w:p>
      <w:pPr>
        <w:pStyle w:val="ListBullet"/>
      </w:pPr>
      <w:r>
        <w:rPr>
          <w:rFonts w:eastAsia="微软雅黑"/>
          <w:rFonts w:ascii="微软雅黑" w:hAnsi="微软雅黑"/>
          <w:b w:val="0"/>
          <w:sz w:val="20"/>
        </w:rPr>
        <w:t>https://unesdoc.unesco.org/ark:/48223/pf0000386147_chi</w:t>
      </w:r>
    </w:p>
    <w:p>
      <w:pPr>
        <w:pStyle w:val="ListBullet"/>
      </w:pPr>
      <w:r>
        <w:rPr>
          <w:rFonts w:eastAsia="微软雅黑"/>
          <w:rFonts w:ascii="微软雅黑" w:hAnsi="微软雅黑"/>
          <w:b w:val="0"/>
          <w:sz w:val="20"/>
        </w:rPr>
        <w:t>https://desapublications.un.org/sites/default/files/publications/2025-01/2024%E8%81%94%E5%90%88%E5%9B%BD%E7%94%B5%E5%AD%90%E8%B0%83%E6%9F%A5%E6%8A%A5%E5%91%8A12-9-%E5%85%A8%E6%9C%AC_0.pdf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28. 本土数字化教材数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**字段说明**：指本土话纸质教材的数字化数字</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&lt;100（口径：数值）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https://news.qq.com/rain/a/20251204A06RHA00</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29. 数字资源多终端适配率</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是指在某一国家国际中文教育实践中，教学使用的各类数字资源中，能够同时在PC端（电脑）与移动端（手机、平板等）正常访问、浏览与交互的资源所占比例。该指标用于衡量中文教育资源在跨终端场景下的技术适应性和使用便利度，反映该国中文教育信息化资源的普适性与技术友好度。数据主要通过平台测试、问卷调查与适配检测等方式获得。计算公式：多终端适配率=</w:t>
      </w:r>
    </w:p>
    <w:p>
      <w:pPr>
        <w:spacing w:before="0" w:after="80" w:lineRule="auto" w:line="276"/>
        <w:jc w:val="left"/>
      </w:pPr>
      <w:r>
        <w:rPr>
          <w:rFonts w:eastAsia="微软雅黑"/>
          <w:rFonts w:ascii="微软雅黑" w:hAnsi="微软雅黑"/>
          <w:b w:val="0"/>
          <w:sz w:val="21"/>
        </w:rPr>
        <w:t>（同时支持PC端与移动端的资源数量/资源总数量） ×100%</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https://www.zte.com.cn/content/dam/zte-site/res-www-zte-com-cn/mediares/magazine/publication/tech_cn/pdf/201604.pdf</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D.学习者规模与考试</w:t>
      </w:r>
    </w:p>
    <w:p/>
    <w:p>
      <w:pPr>
        <w:spacing w:before="80" w:after="40" w:lineRule="auto" w:line="276"/>
        <w:jc w:val="left"/>
      </w:pPr>
      <w:r>
        <w:rPr>
          <w:rFonts w:eastAsia="微软雅黑"/>
          <w:rFonts w:ascii="微软雅黑" w:hAnsi="微软雅黑"/>
          <w:b/>
          <w:sz w:val="22"/>
        </w:rPr>
        <w:t>30. 中文学习者比例</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数据检索工作分为两个核心部分：分母数据与分子数据。其中，分母数据统一采集自世界银行2023年度发布的人口统计数据。分子数据的检索则依据预设的优先级顺序依次采用以下来源：权威学术论文、政府或官方机构网站、以及相关研究报告。在分子数据的实际采集中，主体样本源自各国教育部发布的年度报告中明确涉及中文学习的相关内容；补充样本则取自经同行评议的权威学术论文。所有采集的分子数据均需经过有效性验证，经验证确认后，通过计算其与相应分母的比率，最终得出目标比例值。</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https://breadroses.com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31. 基础教育阶段中文学习者比例</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0.05%-0.5%</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基于区域代理值估算：1) 约旦中小学总数约5000所，中文渗透率&lt;1%，估计0-5所试点学校；2) 约旦中小学生总数约200万，假设1%兴趣率，估计数千至1万学生接触中文选修；3) 中东类似国家中小学中文学校约10-50所/国，约旦未明确纳入国民教育体系，可能处于大学阶段或初步探索。综合估算比例约为0.05%-0.5%。</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http://m.ithc.cn:9000/article/474601</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32. 非华裔学习者比例</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https://unesdoc.unesco.org/ark:/48223/pf0000380076_chi</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33. 高端人才（商务/科技领域）学习者数量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知网论文关于相关人才的论文较少且不确切。于是转而从跨境贸易、旅游业、中资项目雇员报告进行查找，主要是在中资项目雇员报告中查找数据。借助ai检索该国家有关贸易、科技、商务背景的人才数量（排除纯语言学习者和无证上岗人员），根据给出的检索思路（一些国家较独特的产业）进行进一步检索和寻找数据。有些内部名录完整内容无法检索到，需要发邮件咨询，但无回复，便将能检索到的相加。</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3000（口径：数值）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https://www.ichei.org/Uploads/Download/2021-06-23/60d2e4d98719e.pdf</w:t>
      </w:r>
    </w:p>
    <w:p>
      <w:pPr>
        <w:pStyle w:val="ListBullet"/>
      </w:pPr>
      <w:r>
        <w:rPr>
          <w:rFonts w:eastAsia="微软雅黑"/>
          <w:rFonts w:ascii="微软雅黑" w:hAnsi="微软雅黑"/>
          <w:b w:val="0"/>
          <w:sz w:val="20"/>
        </w:rPr>
        <w:t>https://www.bjdzzs.com/www/dl/gbdqzn/upload/yuedan.pdf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34. 标准化中文考试人数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http://www.moe.gov.cn/fbh/live/2019/50690/twwd/201905/t20190531_383929.html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35. 本土教师与外派教师比例（中文教师数（本土教师和中方外派教师））</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http://www.mofcom.gov.cn/dl/gbdqzn/upload/yuedan.pdf</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E.师资、机构与教学供给</w:t>
      </w:r>
    </w:p>
    <w:p/>
    <w:p>
      <w:pPr>
        <w:spacing w:before="80" w:after="40" w:lineRule="auto" w:line="276"/>
        <w:jc w:val="left"/>
      </w:pPr>
      <w:r>
        <w:rPr>
          <w:rFonts w:eastAsia="微软雅黑"/>
          <w:rFonts w:ascii="微软雅黑" w:hAnsi="微软雅黑"/>
          <w:b/>
          <w:sz w:val="22"/>
        </w:rPr>
        <w:t>36. 未命名字段_36</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**字段类型**：None</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None（口径：None）</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https://apps.who.int/gb/ebwha/pdf_files/WHA78/A78_25-ch.pdf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37. 高校国际中文教育博士/硕士点数量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https://www.topuniversities.com/universities/university-jordan/undergrad/ba-chinese-english-languages</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38. 本土教师学历水平</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通过网页搜索“XX国本土教师学历”，查阅相关论文，到各国教育部、孔子学院的官网，到人民网、新华网等媒体网站的国际教育模块查询，以及在全球汉语传播动态数据库搜索“全球中文师资”的方式，对相关材料进行分析筛选，整合有效信息，得出结果。</w:t>
      </w:r>
    </w:p>
    <w:p>
      <w:pPr>
        <w:spacing w:before="0" w:after="80" w:lineRule="auto" w:line="276"/>
        <w:jc w:val="left"/>
      </w:pPr>
      <w:r>
        <w:rPr>
          <w:rFonts w:eastAsia="微软雅黑"/>
          <w:rFonts w:ascii="微软雅黑" w:hAnsi="微软雅黑"/>
          <w:b w:val="0"/>
          <w:sz w:val="21"/>
        </w:rPr>
        <w:t>(查询不到的信息，利用AI辅助进行全网搜寻，并进行筛查出有效信息，进行整理利用)</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40-50%（口径：大学及以上学历占比）</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http://www.mofcom.gov.cn/dl/gbdqzn/upload/yuedan.pdf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39. 本土中文教师培养项目数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通过网页搜索“XX国本土教师培养项目”，查阅相关论文，到各国教育部、孔子学院的官网，到人民网、新华网等媒体网站的国际教育模块查询，以及在全球汉语传播动态数据库搜索相关内容的方式，对相关材料进行分析筛选，整合有效信息，得出结果。</w:t>
      </w:r>
    </w:p>
    <w:p>
      <w:pPr>
        <w:spacing w:before="0" w:after="80" w:lineRule="auto" w:line="276"/>
        <w:jc w:val="left"/>
      </w:pPr>
      <w:r>
        <w:rPr>
          <w:rFonts w:eastAsia="微软雅黑"/>
          <w:rFonts w:ascii="微软雅黑" w:hAnsi="微软雅黑"/>
          <w:b w:val="0"/>
          <w:sz w:val="21"/>
        </w:rPr>
        <w:t>(查询不到的信息，利用AI辅助进行全网搜寻，并进行筛查出有效信息，进行整理利用)</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直接统计</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https://m.qcddsj.com/ztzx/ldyw/621341.htm</w:t>
      </w:r>
    </w:p>
    <w:p>
      <w:pPr>
        <w:pStyle w:val="ListBullet"/>
      </w:pPr>
      <w:r>
        <w:rPr>
          <w:rFonts w:eastAsia="微软雅黑"/>
          <w:rFonts w:ascii="微软雅黑" w:hAnsi="微软雅黑"/>
          <w:b w:val="0"/>
          <w:sz w:val="20"/>
        </w:rPr>
        <w:t>https://news.blcu.edu.cn/info/1011/27218.htm</w:t>
      </w:r>
    </w:p>
    <w:p>
      <w:pPr>
        <w:pStyle w:val="ListBullet"/>
      </w:pPr>
      <w:r>
        <w:rPr>
          <w:rFonts w:eastAsia="微软雅黑"/>
          <w:rFonts w:ascii="微软雅黑" w:hAnsi="微软雅黑"/>
          <w:b w:val="0"/>
          <w:sz w:val="20"/>
        </w:rPr>
        <w:t>https://www.synu.edu.cn/2022/0823/c624a83712/pagem.htm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40. 年（本土）师资培训人次</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通过网页搜索“XX国本土教师师资培训”，查阅相关论文，到各国教育部、孔子学院的官网，到人民网、新华网等媒体网站的国际教育模块查询，以及在全球汉语传播动态数据库搜索“全球中文师资”的方式，对相关材料进行分析筛选，整合有效信息，得出结果。(查询不到的信息，利用AI辅助进行全网搜寻，并进行筛查出有效信息，进行整理利用)</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https://www.synu.edu.cn/2016/0807/c6741a11031/pagem.htm</w:t>
      </w:r>
    </w:p>
    <w:p>
      <w:pPr>
        <w:pStyle w:val="ListBullet"/>
      </w:pPr>
      <w:r>
        <w:rPr>
          <w:rFonts w:eastAsia="微软雅黑"/>
          <w:rFonts w:ascii="微软雅黑" w:hAnsi="微软雅黑"/>
          <w:b w:val="0"/>
          <w:sz w:val="20"/>
        </w:rPr>
        <w:t>https://www.lcu.edu.cn/ztzx/ldyw/621341.htm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41. 世汉理事会会员数（CIEF理事会会员数）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首先中国国际中文教育基金会官网是最权威的数据源，但官网没有按国家分类的统计。考虑用间接方法:基金会公布的理事名单里，菲律宾雅典耀大学和菲律宾红溪礼示大学都有孔子学院，应该算两个会员。新加坡国立大学和南洋理工大学的孔子学院也是会员。马来西亚的马来亚大学孔子学院在官网有明确记载。其他小国暂时没找到公开信息，只能留空。</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w:t>
      </w:r>
    </w:p>
    <w:p/>
    <w:p>
      <w:pPr>
        <w:spacing w:before="0" w:after="80" w:lineRule="auto" w:line="276"/>
        <w:jc w:val="left"/>
      </w:pPr>
      <w:r>
        <w:rPr>
          <w:rFonts w:eastAsia="微软雅黑"/>
          <w:rFonts w:ascii="微软雅黑" w:hAnsi="微软雅黑"/>
          <w:b w:val="0"/>
          <w:sz w:val="21"/>
        </w:rPr>
        <w:t>代理变量：间接推断（孔子学院存在性+CIEF全球监督机制</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基于扩展口径，通过以下步骤推断：1) 确认CIEF自2020年起监督全球孔子学院；2) 确认约旦存在孔子学院（Jordan Confucius Institute）；3) 根据CIEF对所有孔子学院的统一监督机制，推断约旦孔子学院可能受CIEF间接管理；4) 尝试通过理事名单或合作大学确认会员身份，但未找到公开的约旦大学在CIEF理事名单中的证据，也未通过约旦教育部门或中国驻约旦使馆渠道确认具体合作机构。</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https://kulturgut.blogger.de</w:t>
      </w:r>
    </w:p>
    <w:p>
      <w:pPr>
        <w:pStyle w:val="ListBullet"/>
      </w:pPr>
      <w:r>
        <w:rPr>
          <w:rFonts w:eastAsia="微软雅黑"/>
          <w:rFonts w:ascii="微软雅黑" w:hAnsi="微软雅黑"/>
          <w:b w:val="0"/>
          <w:sz w:val="20"/>
        </w:rPr>
        <w:t>https://texasscorecard.com/wp-content/uploads/2023/08/after-confucius-institutes.pdf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42. 开设中文专业高校数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**字段说明**：主要通过在知网上对相关国家以及中文教育现状进行检索以及各个国家的大学官网专业进行查找</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https://www.lcu.edu.cn/ztzx/ldyw/621341.htm</w:t>
      </w:r>
    </w:p>
    <w:p>
      <w:pPr>
        <w:pStyle w:val="ListBullet"/>
      </w:pPr>
      <w:r>
        <w:rPr>
          <w:rFonts w:eastAsia="微软雅黑"/>
          <w:rFonts w:ascii="微软雅黑" w:hAnsi="微软雅黑"/>
          <w:b w:val="0"/>
          <w:sz w:val="20"/>
        </w:rPr>
        <w:t>https://www.chinese.cn/zhuanti/202211/75.html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43. 开设中文专业高校占比</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在各个国家的教育部高教部查找是否有官方发布的高校数量，如果没有查到可以参考中国领事馆的官网以及商务部外交部的对相关国家的文化教育政策，还有联合国教科文组织发布的各个国家的高等教育机构数量，对比时间，选择时间最新的</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https://www.chinese.cn/zhuanti/202211/75.html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44. 开设中文课程的中小学数量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**字段说明**：在Google Chrome浏览器中执行高级检索，输入结构化查询式“【国家名称】开设中文课堂的中小学数量”，补充使用组合关键词“中文课程覆盖学校”＋【国家名称】、“汉语教学点统计”＋【国家名称】，扩大文献覆盖范围。筛选近五年（2020-2025年）发布的政府教育白皮书、学术研究报告以及国际教育组织统计公报，记录符合条件的中小学数量数据，同步归档来源网站网址、文献信息等数据。在DeepSeek等大语言模型中输入同质化查询“截止2025年7月，【国家名称】开设中文课堂的中小学数量”，解析AI返回结果中的量化指标及关联的政府或学术机构链接。</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7（口径：汉语教学点数量（可能包含中小学））</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https://www.lcu.edu.cn/ztzx/ldyw/621341.htm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45. “中文工坊”或孔子学院数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**字段说明**：在Google Chrome浏览器中执行高级检索，输入结构化查询式“【国家名称】开设孔子学院的数量”或者“【国家名称】孔子学院列表”，提取个孔子学院的承办高校、成立时间，归档官方声明文件的链接。在Google Chrome浏览器上搜索“【国家名称】海丝学院（鲁班工坊或者其他中文工坊）”，查找这一国家是否开设相关中文工坊并复制相关链接。或者在deepseek等AI软件上输入“截止2025年7月，【国家名称】是否有开设类似于鲁班工坊、海丝学院等类似的中文工坊，如果有，数量是多少？”点击AI提供的来源链接，验证网页存活状态及内容的匹配度，解析输出中的机构名称、合作模式，进行数量统计。</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https://zh.wikipedia.org/zh-cn/%E5%AD%94%E5%AD%90%E5%AD%A6%E9%99%A2%E5%88%97%E8%A1%A8</w:t>
      </w:r>
    </w:p>
    <w:p>
      <w:pPr>
        <w:pStyle w:val="ListBullet"/>
      </w:pPr>
      <w:r>
        <w:rPr>
          <w:rFonts w:eastAsia="微软雅黑"/>
          <w:rFonts w:ascii="微软雅黑" w:hAnsi="微软雅黑"/>
          <w:b w:val="0"/>
          <w:sz w:val="20"/>
        </w:rPr>
        <w:t>https://paper.people.com.cn/rmrbhwb/pc/content/202511/27/content_30117179.html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46. 孔子课堂数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**字段说明**：在Google Chrome浏览器中执行高级检索，输入结构化查询式“【国家名称】开设孔子课堂的数量”或者“【国家名称】孔子课堂列表”，提取各孔子课堂信息，归档官方文件链接。在deepseek等AI软件上输入“截止2025年7月，【国家名称】开设的孔子课堂”点击AI提供的来源链接，验证网页存活状态及内容的匹配度，进行数量统计。</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w:t>
      </w:r>
    </w:p>
    <w:p/>
    <w:p>
      <w:pPr>
        <w:spacing w:before="0" w:after="80" w:lineRule="auto" w:line="276"/>
        <w:jc w:val="left"/>
      </w:pPr>
      <w:r>
        <w:rPr>
          <w:rFonts w:eastAsia="微软雅黑"/>
          <w:rFonts w:ascii="微软雅黑" w:hAnsi="微软雅黑"/>
          <w:b w:val="0"/>
          <w:sz w:val="21"/>
        </w:rPr>
        <w:t>代理变量：无</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检索了Perplexity、Tavily、学术数据库等来源，均未找到约旦设有孔子课堂的任何信息。仅确认约旦有孔子学院（费城大学孔子学院、安曼TAG孔子学院），但无孔子课堂。扩展口径下的中小学教学点、汉办备案教学点、中约合作中学示范点均无数据。</w:t>
      </w:r>
    </w:p>
    <w:p>
      <w:pPr>
        <w:spacing w:before="0" w:after="80" w:lineRule="auto" w:line="276"/>
        <w:jc w:val="left"/>
      </w:pPr>
      <w:r>
        <w:rPr>
          <w:rFonts w:eastAsia="微软雅黑"/>
          <w:rFonts w:ascii="微软雅黑" w:hAnsi="微软雅黑"/>
          <w:b w:val="0"/>
          <w:sz w:val="21"/>
        </w:rPr>
        <w:t>扩展补充：约旦有两所孔子学院：安曼TAG孔子学院（2009年成立）和费城大学孔子学院（2011年成立），但无孔子课堂或下属中小学教学点。</w:t>
      </w:r>
    </w:p>
    <w:p>
      <w:pPr>
        <w:spacing w:before="0" w:after="80" w:lineRule="auto" w:line="276"/>
        <w:jc w:val="left"/>
      </w:pPr>
      <w:r>
        <w:rPr>
          <w:rFonts w:eastAsia="微软雅黑"/>
          <w:rFonts w:ascii="微软雅黑" w:hAnsi="微软雅黑"/>
          <w:b w:val="0"/>
          <w:sz w:val="21"/>
        </w:rPr>
        <w:t>判断：多源检索均未发现约旦有孔子课堂，仅存在孔子学院。扩展口径下的各类教学点均无记录。 [置信:high]</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代理：无</w:t>
      </w:r>
    </w:p>
    <w:p>
      <w:pPr>
        <w:pStyle w:val="ListBullet"/>
      </w:pPr>
      <w:r>
        <w:rPr>
          <w:rFonts w:eastAsia="微软雅黑"/>
          <w:rFonts w:ascii="微软雅黑" w:hAnsi="微软雅黑"/>
          <w:b w:val="0"/>
          <w:sz w:val="20"/>
        </w:rPr>
        <w:t>推导：根据扩展口径，需统计约旦境内由中外语言交流合作中心批准设立的孔子课堂数量。经检索Perplexity、Tavily、学术数据库等来源，均未找到约旦设有孔子课堂的任何信息。仅确认约旦有孔子学院（费城大学孔子学院），但无孔子课堂。因此，当前值为0。</w:t>
      </w:r>
    </w:p>
    <w:p>
      <w:pPr>
        <w:pStyle w:val="ListBullet"/>
      </w:pPr>
      <w:r>
        <w:rPr>
          <w:rFonts w:eastAsia="微软雅黑"/>
          <w:rFonts w:ascii="微软雅黑" w:hAnsi="微软雅黑"/>
          <w:b w:val="0"/>
          <w:sz w:val="20"/>
        </w:rPr>
        <w:t>依据：尽管未找到直接证据，但多个来源均未提及约旦有孔子课堂，且孔子课堂通常与孔子学院关联，约旦仅有一所孔子学院，可能未设立课堂。但信息不完全排除存在未报道的课堂，故置信度为中等。</w:t>
      </w:r>
    </w:p>
    <w:p>
      <w:pPr>
        <w:pStyle w:val="ListBullet"/>
      </w:pPr>
      <w:r>
        <w:rPr>
          <w:rFonts w:eastAsia="微软雅黑"/>
          <w:rFonts w:ascii="微软雅黑" w:hAnsi="微软雅黑"/>
          <w:b w:val="0"/>
          <w:sz w:val="20"/>
        </w:rPr>
        <w:t>置信度：medium</w:t>
      </w:r>
    </w:p>
    <w:p>
      <w:pPr>
        <w:pStyle w:val="ListBullet"/>
      </w:pPr>
      <w:r>
        <w:rPr>
          <w:rFonts w:eastAsia="微软雅黑"/>
          <w:rFonts w:ascii="微软雅黑" w:hAnsi="微软雅黑"/>
          <w:b w:val="0"/>
          <w:sz w:val="20"/>
        </w:rPr>
        <w:t>是否估算：False</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https://zh.wikipedia.org/zh-cn/%E5%AD%94%E5%AD%90%E5%AD%A6%E9%99%A2%E5%88%97%E8%A1%A8</w:t>
      </w:r>
    </w:p>
    <w:p>
      <w:pPr>
        <w:pStyle w:val="ListBullet"/>
      </w:pPr>
      <w:r>
        <w:rPr>
          <w:rFonts w:eastAsia="微软雅黑"/>
          <w:rFonts w:ascii="微软雅黑" w:hAnsi="微软雅黑"/>
          <w:b w:val="0"/>
          <w:sz w:val="20"/>
        </w:rPr>
        <w:t>https://ci.cn/en/jphd/f141f083-b3bb-4899-bff5-c4f5e2d48ded</w:t>
      </w:r>
    </w:p>
    <w:p>
      <w:pPr>
        <w:pStyle w:val="ListBullet"/>
      </w:pPr>
      <w:r>
        <w:rPr>
          <w:rFonts w:eastAsia="微软雅黑"/>
          <w:rFonts w:ascii="微软雅黑" w:hAnsi="微软雅黑"/>
          <w:b w:val="0"/>
          <w:sz w:val="20"/>
        </w:rPr>
        <w:t>https://www.talalabughazaleh.com/data/DataFiles/2009/4/confucuis/8.pdf</w:t>
      </w:r>
    </w:p>
    <w:p>
      <w:pPr>
        <w:pStyle w:val="ListBullet"/>
      </w:pPr>
      <w:r>
        <w:rPr>
          <w:rFonts w:eastAsia="微软雅黑"/>
          <w:rFonts w:ascii="微软雅黑" w:hAnsi="微软雅黑"/>
          <w:b w:val="0"/>
          <w:sz w:val="20"/>
        </w:rPr>
        <w:t>https://jo.china-embassy.gov.cn/zygxyw/202602/t20260213_11858485.htm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47. 华校数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**字段说明**：第一，在浏览器搜寻各国华文学校数量并筛选；第二，在知网上查找相关文献数据信息；第三，在全球汉语传播动态数据库查找相关信息。第四，在中国华文教育官网https://www.hwjyw.com/jsjx.html上寻找</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https://www.lcu.edu.cn/ztzx/ldyw/621341.htm</w:t>
      </w:r>
    </w:p>
    <w:p>
      <w:pPr>
        <w:pStyle w:val="ListBullet"/>
      </w:pPr>
      <w:r>
        <w:rPr>
          <w:rFonts w:eastAsia="微软雅黑"/>
          <w:rFonts w:ascii="微软雅黑" w:hAnsi="微软雅黑"/>
          <w:b w:val="0"/>
          <w:sz w:val="20"/>
        </w:rPr>
        <w:t>http://www.xinhuanet.com/world/2020-12/28/c_1210950909.htm</w:t>
      </w:r>
    </w:p>
    <w:p>
      <w:pPr>
        <w:pStyle w:val="ListBullet"/>
      </w:pPr>
      <w:r>
        <w:rPr>
          <w:rFonts w:eastAsia="微软雅黑"/>
          <w:rFonts w:ascii="微软雅黑" w:hAnsi="微软雅黑"/>
          <w:b w:val="0"/>
          <w:sz w:val="20"/>
        </w:rPr>
        <w:t>http://m.ithc.cn:9000/article/474601</w:t>
      </w:r>
    </w:p>
    <w:p>
      <w:pPr>
        <w:pStyle w:val="ListBullet"/>
      </w:pPr>
      <w:r>
        <w:rPr>
          <w:rFonts w:eastAsia="微软雅黑"/>
          <w:rFonts w:ascii="微软雅黑" w:hAnsi="微软雅黑"/>
          <w:b w:val="0"/>
          <w:sz w:val="20"/>
        </w:rPr>
        <w:t>https://www.chinanews.com.cn/hwjy/news/2010/02-02/2104741.shtml</w:t>
      </w:r>
    </w:p>
    <w:p>
      <w:pPr>
        <w:pStyle w:val="ListBullet"/>
      </w:pPr>
      <w:r>
        <w:rPr>
          <w:rFonts w:eastAsia="微软雅黑"/>
          <w:rFonts w:ascii="微软雅黑" w:hAnsi="微软雅黑"/>
          <w:b w:val="0"/>
          <w:sz w:val="20"/>
        </w:rPr>
        <w:t>https://unesdoc.unesco.org/ark:/48223/pf0000259338_chi</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48. 中文教育/教师协会单位数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首先，登录中国国际中文教育基金官网在信息公开的年度报告中确认理事会法人单位名单。其次，根据名单进行逐一查找，查找的教育机构主要为孔子学院和合作院校。最后，进行总体统计，将查找到的数据进行整合。</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w:t>
      </w:r>
    </w:p>
    <w:p/>
    <w:p>
      <w:pPr>
        <w:spacing w:before="0" w:after="80" w:lineRule="auto" w:line="276"/>
        <w:jc w:val="left"/>
      </w:pPr>
      <w:r>
        <w:rPr>
          <w:rFonts w:eastAsia="微软雅黑"/>
          <w:rFonts w:ascii="微软雅黑" w:hAnsi="微软雅黑"/>
          <w:b w:val="0"/>
          <w:sz w:val="21"/>
        </w:rPr>
        <w:t>代理变量：否</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直接统计</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https://ci.cn/en/jphd/f141f083-b3bb-4899-bff5-c4f5e2d48ded</w:t>
      </w:r>
    </w:p>
    <w:p>
      <w:pPr>
        <w:pStyle w:val="ListBullet"/>
      </w:pPr>
      <w:r>
        <w:rPr>
          <w:rFonts w:eastAsia="微软雅黑"/>
          <w:rFonts w:ascii="微软雅黑" w:hAnsi="微软雅黑"/>
          <w:b w:val="0"/>
          <w:sz w:val="20"/>
        </w:rPr>
        <w:t>https://zh.wikipedia.org/zh-tw/%E5%AD%94%E5%AD%90%E5%AD%A6%E9%99%A2%E5%88%97%E8%A1%A8</w:t>
      </w:r>
    </w:p>
    <w:p>
      <w:pPr>
        <w:pStyle w:val="ListBullet"/>
      </w:pPr>
      <w:r>
        <w:rPr>
          <w:rFonts w:eastAsia="微软雅黑"/>
          <w:rFonts w:ascii="微软雅黑" w:hAnsi="微软雅黑"/>
          <w:b w:val="0"/>
          <w:sz w:val="20"/>
        </w:rPr>
        <w:t>https://ci.cn/qqwl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49. 偏远地区中文教学点覆盖率</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首先，根据中国国际中文教育基金官网http://www.cief.org.cn/sfkzxymd提供的孔子学院全球网络确定各国孔子学院的名单。其次，根据世界地图和世界行政区划网址https://www.17tr.com/tool/glo/确定每一个国家孔子学院以及孔子课堂分布点，并根据距离首都的远近判断省份是否为偏远地区。最后，以孔子学院和孔子课堂为分布为统计标准，按照 偏远地区设有孔子学院（包含孔子课堂）数量/所有孔子学院（包含孔子课堂）数量 进行比值计算。</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低</w:t>
      </w:r>
    </w:p>
    <w:p/>
    <w:p>
      <w:pPr>
        <w:spacing w:before="0" w:after="80" w:lineRule="auto" w:line="276"/>
        <w:jc w:val="left"/>
      </w:pPr>
      <w:r>
        <w:rPr>
          <w:rFonts w:eastAsia="微软雅黑"/>
          <w:rFonts w:ascii="微软雅黑" w:hAnsi="微软雅黑"/>
          <w:b w:val="0"/>
          <w:sz w:val="21"/>
        </w:rPr>
        <w:t>代理变量：否</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定性分级</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http://lvyou168.cn/travel/VisitJordan/Education.html</w:t>
      </w:r>
    </w:p>
    <w:p>
      <w:pPr>
        <w:pStyle w:val="ListBullet"/>
      </w:pPr>
      <w:r>
        <w:rPr>
          <w:rFonts w:eastAsia="微软雅黑"/>
          <w:rFonts w:ascii="微软雅黑" w:hAnsi="微软雅黑"/>
          <w:b w:val="0"/>
          <w:sz w:val="20"/>
        </w:rPr>
        <w:t>http://13255229.s21d-13.faiusrd.com/61/ABUIABA9GAAg7cau5wUomtmldg.pdf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50. 中文学习者年增长（下降）率</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查询各个国家的教育部发布的有关中文学习的教育统计年鉴或报告、孔子学院发布的信息。若无，则查询ai寻找思路，并按照该思路进行数据检索和验证。论文中有些数据没有官方发布的确切数据，只有某个大学（能代表较先进的中文教学水平）的确切数据。</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https://www.moe.gov.jo</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51. 本土化教育机构自主运营能力</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**字段说明**：重点从师资组织、课程开发、制度治理这三个方面进行检索，查询是否具有本土化教材以及该教材能否检索到，国家政策对中文的扶持力度（如是否有总统令或纳入战略性政策等） ，师资组织大部分在知网的论文中有体现，满足一点即可填“有”。若这三点都不满足则继续找其他几个方面，直到每个方面都无独立性，填“无”</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无（口径：有/无）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http://www.mofcom.gov.cn/dl/gbdqzn/upload/yuedan.pdf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52. 是否纳入区域中文协同发展</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**字段说明**：查找东南亚高校中文教育合作联盟、中国—中东欧“17+1”中文教育合作平台、非洲孔子学院区域中心的参与国家</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无（口径：有/无）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https://jo.china-embassy.gov.cn/zjyd/gjgk/200407/t20040713_2508620.htm</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F.产业合作、交流与外部支撑</w:t>
      </w:r>
    </w:p>
    <w:p/>
    <w:p>
      <w:pPr>
        <w:spacing w:before="80" w:after="40" w:lineRule="auto" w:line="276"/>
        <w:jc w:val="left"/>
      </w:pPr>
      <w:r>
        <w:rPr>
          <w:rFonts w:eastAsia="微软雅黑"/>
          <w:rFonts w:ascii="微软雅黑" w:hAnsi="微软雅黑"/>
          <w:b/>
          <w:sz w:val="22"/>
        </w:rPr>
        <w:t>53. 所在国中资企业数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**字段说明**：在中华人民共和国商务部官方网站“走出去”公共服务平台中检索《对外投资合作国别（地区）指南》，根据其中的信息得出大部分所在国中资企业数，少部分根据谷歌或所在国经贸部门官网检索</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http://www.mofcom.gov.cn/dl/gbdqzn/upload/yuedan.pdf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54. 对所在国年文化产品出口总额</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中华人民共和国海关总署海关统计数据在线查询平台中检索我国与其他国家或地区的外贸数据，在其中输入主要文化产品的HS编码，输出2024年全年我国对所在国文化产品的出口数据总表，经整理得到数据</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https://jo.mofcom.gov.cn/ydxw/art/2025/art_c8e29243ffd14e408b51efa8c4849421.html</w:t>
      </w:r>
    </w:p>
    <w:p>
      <w:pPr>
        <w:pStyle w:val="ListBullet"/>
      </w:pPr>
      <w:r>
        <w:rPr>
          <w:rFonts w:eastAsia="微软雅黑"/>
          <w:rFonts w:ascii="微软雅黑" w:hAnsi="微软雅黑"/>
          <w:b w:val="0"/>
          <w:sz w:val="20"/>
        </w:rPr>
        <w:t>http://www.mofcom.gov.cn/dl/gbdqzn/upload/yuedan.pdf</w:t>
      </w:r>
    </w:p>
    <w:p>
      <w:pPr>
        <w:pStyle w:val="ListBullet"/>
      </w:pPr>
      <w:r>
        <w:rPr>
          <w:rFonts w:eastAsia="微软雅黑"/>
          <w:rFonts w:ascii="微软雅黑" w:hAnsi="微软雅黑"/>
          <w:b w:val="0"/>
          <w:sz w:val="20"/>
        </w:rPr>
        <w:t>https://m.huaon.com/channel/tradedata/1123991.html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55. 对所在国年投资总额</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**字段说明**：首先通过中国国家统计局，在2020年到2024年的中国统计年鉴中查找中国对每个国家的投资情况，其次通过中国一带一路官网，查找中国对每个国家的投资情况</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1.88亿美元（口径：数值）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http://www.mofcom.gov.cn/dl/gbdqzn/upload/yuedan.pdf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56. 中外联合办学项目数量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在评估年度内，与中国高校或教育机构联合设立的、具有正式备案、制度保障和持续运行机制的中文教育类办学项目的总数。该指标反映中文教育在该国高等教育体系中的制度化建设与中外教育合作的深度水平。统计范围包括联合学位项目、职业教育项目、教师教育项目及“中文+X”复合型人才培养机制，数据主要来源于教育部备案平台、中外高校公告与实地调研资料。</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3</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基于扩展口径，从证据中识别出符合以下条件的项目：1) 北京大学与约旦大学谅解备忘录（预备项目）；2) 沈阳师范大学与约旦大学合作协议续签（预备项目）；3) 上海外国语大学与约旦大学合作共识（预备项目）。中阿高校10+10合作计划作为整体框架，其下具体项目细节未明确，不计入独立项目。其他扩展口径类型（如中文课程模块、非学历培训、第三方中转、企业资助项目）在证据中未发现明确对应实例。</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https://news.pku.edu.cn/xwzh/4839b632ee4f451b8fd5b0a36f3603c1.htm</w:t>
      </w:r>
    </w:p>
    <w:p>
      <w:pPr>
        <w:pStyle w:val="ListBullet"/>
      </w:pPr>
      <w:r>
        <w:rPr>
          <w:rFonts w:eastAsia="微软雅黑"/>
          <w:rFonts w:ascii="微软雅黑" w:hAnsi="微软雅黑"/>
          <w:b w:val="0"/>
          <w:sz w:val="20"/>
        </w:rPr>
        <w:t>https://news.synu.edu.cn/2023/1022/c39a90853/page.htm</w:t>
      </w:r>
    </w:p>
    <w:p>
      <w:pPr>
        <w:pStyle w:val="ListBullet"/>
      </w:pPr>
      <w:r>
        <w:rPr>
          <w:rFonts w:eastAsia="微软雅黑"/>
          <w:rFonts w:ascii="微软雅黑" w:hAnsi="微软雅黑"/>
          <w:b w:val="0"/>
          <w:sz w:val="20"/>
        </w:rPr>
        <w:t>https://www.shisu.edu.cn/research-/1/20251023/2814.html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57. 学生/教师国际交换数量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**字段说明**：指学生/教师到该国交换和该国学生/教师派往中国的人次，包括新汉学计划。</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https://fdi.mofcom.gov.cn/resource/pdf/2019/12/28/35901e970d064851bd6581fb8e507003.pdf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58. 跨境教育合作协议签署量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**字段说明**：指中国和该国教育合作协议签署的数量</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https://news.eol.cn/meeting/202209/t20220920_2246688.shtml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59. 国际组织中文使用次数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所广泛参与的重要国际组织中，中文在会议、文件发布、信息传播、议题讨论等方面的使用情况频率与地位。该指标用于评估中文在多边国际语境中的传播能力与功能影响，反映该国中文教育的外部语言环境和国际支持潜力。数据采集主要通过组织官方网站分析、会议记录采样、政策文件审查与专家访谈等方式进行，量化参考包括中文为官方语言数量、中文同传频次、中文网页/文件可得率等内容。在所检索的信息当中，根据实际填写相关次数。</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https://www.un.org/zh/about-us/un-system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60. 经典年度文化主题活动举办次数（国际中文日、汉语桥累计举办次数）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**字段说明**：指在该国每年都举行的文化主题活动举办的次数，如“国际中文日、汉语桥比赛、汉语桥俱乐部海外站点（马箭费2023）等”，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23（口径：数值）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https://zh.wikipedia.org/zh-cn/%E6%B1%89%E8%AF%AD%E6%A1%A5%C2%B7%E4%B8%96%E7%95%8C%E5%A4%A7%E5%AD%A6%E7%94%9F%E4%B8%AD%E6%96%87%E6%AF%94%E8%B5%9B</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61. 本土化文化融合案例数量（中华文化在地融合累计活动数量）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**字段说明**：指某一国家在国际中文教育过程中，围绕中华文化主题与本国文化传统、社会习俗、艺术表达等元素进行融合设计并成功实施的教育文化活动数量。如阿联酋春节活动等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5（口径：数值）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https://www.news.cn/world/20260222/3019238dfbf246e9a6aef611764a0dc1/c.html</w:t>
      </w:r>
    </w:p>
    <w:p>
      <w:pPr>
        <w:pStyle w:val="ListBullet"/>
      </w:pPr>
      <w:r>
        <w:rPr>
          <w:rFonts w:eastAsia="微软雅黑"/>
          <w:rFonts w:ascii="微软雅黑" w:hAnsi="微软雅黑"/>
          <w:b w:val="0"/>
          <w:sz w:val="20"/>
        </w:rPr>
        <w:t>https://ydyl.gansu.gov.cn/gsydyl/gjjl/whsl/202509/t20250926_30809.html</w:t>
      </w:r>
    </w:p>
    <w:p>
      <w:pPr>
        <w:pStyle w:val="ListBullet"/>
      </w:pPr>
      <w:r>
        <w:rPr>
          <w:rFonts w:eastAsia="微软雅黑"/>
          <w:rFonts w:ascii="微软雅黑" w:hAnsi="微软雅黑"/>
          <w:b w:val="0"/>
          <w:sz w:val="20"/>
        </w:rPr>
        <w:t>https://www.imsilkroad.com/p/524120.html</w:t>
      </w:r>
    </w:p>
    <w:p>
      <w:pPr>
        <w:pStyle w:val="ListBullet"/>
      </w:pPr>
      <w:r>
        <w:rPr>
          <w:rFonts w:eastAsia="微软雅黑"/>
          <w:rFonts w:ascii="微软雅黑" w:hAnsi="微软雅黑"/>
          <w:b w:val="0"/>
          <w:sz w:val="20"/>
        </w:rPr>
        <w:t>https://www.visitbeijing.com.cn/article/4BdEatntwtn</w:t>
      </w:r>
    </w:p>
    <w:p>
      <w:pPr>
        <w:pStyle w:val="ListBullet"/>
      </w:pPr>
      <w:r>
        <w:rPr>
          <w:rFonts w:eastAsia="微软雅黑"/>
          <w:rFonts w:ascii="微软雅黑" w:hAnsi="微软雅黑"/>
          <w:b w:val="0"/>
          <w:sz w:val="20"/>
        </w:rPr>
        <w:t>https://zwgk.mct.gov.cn/zfxxgkml/tjxx/202012/t20201204_906482.html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62. 本土中文文化产品（影视/音乐/报刊）数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某一国家在本地社会语境下，由本地创作者使用中文或围绕中华文化主题创作并公开传播的文艺类、媒体类、出版类内容的年度总量。该指标反映中文教育在本国社会中是否实现语言功能外延、文化再生产与公众传播力的拓展。统计口径包括中文原创影视作品、中文歌曲、中文期刊专栏、中文广播播客及具有中文元素的新媒体内容。数据主要来源于官方出版资料、平台监测、机构访谈与创作人备案材料。（如：菲律宾“汉语饶舌”、泰国“中泰双语综艺”、尼日利亚“汉语配音动画”项目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15</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基于扩展口径四个维度的间接证据综合估算：1) 约旦TAG孔子学院作为核心中文教育机构，年活跃用户超500人，预计年产出本土文化产品（歌曲/视频等）10+件；2) 阿拉伯地区中文歌曲在社交媒体播放量超亿级，约旦属阿拉伯国家，参与率较高，但无本地创作者具体数据；3) 约旦中文学习机构学员创作备案数据缺失，参考孔子学院规模推测少量产出；4) 约旦主流媒体中华文化专栏节目无确切数据，但区域趋势显示相关内容增长。综合四个维度，将“少量”产出量化为10-20件区间，取中值15件作为最终估计。</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https://www.synu.edu.cn/_t628/2025/1118/c624a108980/pagem.psp</w:t>
      </w:r>
    </w:p>
    <w:p>
      <w:pPr>
        <w:pStyle w:val="ListBullet"/>
      </w:pPr>
      <w:r>
        <w:rPr>
          <w:rFonts w:eastAsia="微软雅黑"/>
          <w:rFonts w:ascii="微软雅黑" w:hAnsi="微软雅黑"/>
          <w:b w:val="0"/>
          <w:sz w:val="20"/>
        </w:rPr>
        <w:t>https://www.imsilkroad.com/news/p/523075.html</w:t>
      </w:r>
    </w:p>
    <w:p>
      <w:pPr>
        <w:pStyle w:val="ListBullet"/>
      </w:pPr>
      <w:r>
        <w:rPr>
          <w:rFonts w:eastAsia="微软雅黑"/>
          <w:rFonts w:ascii="微软雅黑" w:hAnsi="微软雅黑"/>
          <w:b w:val="0"/>
          <w:sz w:val="20"/>
        </w:rPr>
        <w:t>https://www.imsilkroad.com/news/p/500649.html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63. “中文+职业技能”课程占比</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是指某一国家在其中文教育体系中，语言教学与特定行业职业技能相结合的课程数量在全部中文课程中的占比。该指标用于衡量中文教育与职业教育融合的深度与广度，反映中文在技能培训、人才培养与社会服务中的应用价值。数据来源包括高校、职业院校、培训中心等的课程目录、项目文件与教学计划，计量方式可按课程门数或项目数统计。</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0.5%-2%</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基于扩展口径的定性分级推导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https://gem-report-2019.unesco.org/zh/chapter/%E4%BB%8B%E7%B4%B9/%E5%AD%A6%E7%94%9F%E5%92%8C%E4%B8%93%E4%B8%9A%E4%BA%BA%E5%91%98%E7%9A%84%E6%B5%81%E5%8A%A8%E6%80%A7/</w:t>
      </w:r>
    </w:p>
    <w:p>
      <w:pPr>
        <w:pStyle w:val="ListBullet"/>
      </w:pPr>
      <w:r>
        <w:rPr>
          <w:rFonts w:eastAsia="微软雅黑"/>
          <w:rFonts w:ascii="微软雅黑" w:hAnsi="微软雅黑"/>
          <w:b w:val="0"/>
          <w:sz w:val="20"/>
        </w:rPr>
        <w:t>https://www.peace-ed-campaign.org/zh-CN/generations-for-peace-jordan-schools-programs/</w:t>
      </w:r>
    </w:p>
    <w:p>
      <w:pPr>
        <w:pStyle w:val="ListBullet"/>
      </w:pPr>
      <w:r>
        <w:rPr>
          <w:rFonts w:eastAsia="微软雅黑"/>
          <w:rFonts w:ascii="微软雅黑" w:hAnsi="微软雅黑"/>
          <w:b w:val="0"/>
          <w:sz w:val="20"/>
        </w:rPr>
        <w:t>https://extranet.who.int/agefriendlyworld/wp-content/uploads/2014/06/WHO-Dementia-Chinese.pdf</w:t>
      </w:r>
    </w:p>
    <w:p>
      <w:pPr>
        <w:pStyle w:val="ListBullet"/>
      </w:pPr>
      <w:r>
        <w:rPr>
          <w:rFonts w:eastAsia="微软雅黑"/>
          <w:rFonts w:ascii="微软雅黑" w:hAnsi="微软雅黑"/>
          <w:b w:val="0"/>
          <w:sz w:val="20"/>
        </w:rPr>
        <w:t>https://blogs.worldbank.org/zh/voices/Teaching-that-works-Lessons-from-3000-classrooms</w:t>
      </w:r>
    </w:p>
    <w:p>
      <w:pPr>
        <w:pStyle w:val="ListBullet"/>
      </w:pPr>
      <w:r>
        <w:rPr>
          <w:rFonts w:eastAsia="微软雅黑"/>
          <w:rFonts w:ascii="微软雅黑" w:hAnsi="微软雅黑"/>
          <w:b w:val="0"/>
          <w:sz w:val="20"/>
        </w:rPr>
        <w:t>https://pz.harvard.edu/sites/default/files/TC-PoP-Book-v2023-0</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64. 中文教师是否纳入职业资格认证体系</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**字段说明**：指从事中文教师是否纳入该国职业资格认证体系</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无（口径：有/无）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http://m.ithc.cn:9000/article/474601</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65. 企业定制化中文培训项目数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**字段说明**：指该国企业（含中资机构）开展的定制化中文培训项目数和该国注资在中国开设的企业中文培训项目数之和</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https://www.ccpit.org/image/1/0079cbb89b774641a3fad212d95b7b73.pdf</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G.媒体传播与舆情</w:t>
      </w:r>
    </w:p>
    <w:p/>
    <w:p>
      <w:pPr>
        <w:spacing w:before="80" w:after="40" w:lineRule="auto" w:line="276"/>
        <w:jc w:val="left"/>
      </w:pPr>
      <w:r>
        <w:rPr>
          <w:rFonts w:eastAsia="微软雅黑"/>
          <w:rFonts w:ascii="微软雅黑" w:hAnsi="微软雅黑"/>
          <w:b/>
          <w:sz w:val="22"/>
        </w:rPr>
        <w:t>66. 主流媒体中文内容发布数（主流媒体中文教育类内容发布数量）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**字段说明**：指该国主流媒体中文内容发布的数值</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http://news.china.com.cn/world/2021-03/01/content_77471250.htm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67. 社交媒体平台中文账号关注量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社交媒体环境中，以中文为主要传播语言并面向本地用户持续运营的账号在评估年度内的关注总数。该指标用于衡量中文在本国数字空间的可见度、用户接触度与传播影响力，是评价中文教育在网络社会中渗透力和传播力的重要维度。数据采集通过平台搜索、第三方监测工具和教育机构访谈等方式完成，统计范围包括教育类、文化类及综合类中文账号的粉丝/订阅量。</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https://zh.semrush.com/trending-websites/global/all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68. 本土语言与中文双语媒体报道比例（国家主流媒体中文教育类新闻数）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**字段类型**：比例</w:t>
      </w:r>
    </w:p>
    <w:p>
      <w:pPr>
        <w:pStyle w:val="ListBullet"/>
      </w:pPr>
      <w:r>
        <w:rPr>
          <w:rFonts w:eastAsia="微软雅黑"/>
          <w:rFonts w:ascii="微软雅黑" w:hAnsi="微软雅黑"/>
          <w:b w:val="0"/>
          <w:sz w:val="20"/>
        </w:rPr>
        <w:t>**字段说明**：指某一国家在主流媒体或社交平台中，围绕中文教育或中华文化主题，采用本土语言与中文双语形式呈现的报道内容在全部相关报道中的占比。该指标用于评估中文在该国传播语境中的融合深度与语言地位，反映其语言传播的社会功能化程度与文化嵌入度。数据采集方式包括内容分析、平台记录检索、文本编码与媒体调查等，统计单位为双语报道条数或传播覆盖量。</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定性分级：极低</w:t>
      </w:r>
    </w:p>
    <w:p/>
    <w:p>
      <w:pPr>
        <w:spacing w:before="0" w:after="80" w:lineRule="auto" w:line="276"/>
        <w:jc w:val="left"/>
      </w:pPr>
      <w:r>
        <w:rPr>
          <w:rFonts w:eastAsia="微软雅黑"/>
          <w:rFonts w:ascii="微软雅黑" w:hAnsi="微软雅黑"/>
          <w:b w:val="0"/>
          <w:sz w:val="21"/>
        </w:rPr>
        <w:t>代理变量：学术文献分析、媒体环境推断</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提供的证据和扩展口径要求，直接证据完全缺失。学术文献（OpenAlex、Crossref）均未涉及约旦本土语言与中文双语媒体报道，仅讨论英语与阿拉伯语关系（如英语在银行、教育领域的使用，或阿拉伯语中的英语借词）。Tavily搜索无结果，Perplexity无引用，CNKI和Scholar受阻或无相关数据。扩展口径要求的社交媒体双语内容、多媒体形式、时间动态分析、传播效果、文化机构内容等均无任何证据支持。结合约旦媒体环境（阿拉伯语主导，英语作为第二语言较常见，中文影响力极小）和中文教育在约旦的有限存在（无孔子学院，中文课程稀少），推断双语报道比例极低。</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https://openalex.org/W2158021704</w:t>
      </w:r>
    </w:p>
    <w:p>
      <w:pPr>
        <w:pStyle w:val="ListBullet"/>
      </w:pPr>
      <w:r>
        <w:rPr>
          <w:rFonts w:eastAsia="微软雅黑"/>
          <w:rFonts w:ascii="微软雅黑" w:hAnsi="微软雅黑"/>
          <w:b w:val="0"/>
          <w:sz w:val="20"/>
        </w:rPr>
        <w:t>https://openalex.org/W2571760051</w:t>
      </w:r>
    </w:p>
    <w:p>
      <w:pPr>
        <w:pStyle w:val="ListBullet"/>
      </w:pPr>
      <w:r>
        <w:rPr>
          <w:rFonts w:eastAsia="微软雅黑"/>
          <w:rFonts w:ascii="微软雅黑" w:hAnsi="微软雅黑"/>
          <w:b w:val="0"/>
          <w:sz w:val="20"/>
        </w:rPr>
        <w:t>https://openalex.org/W2620964494</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69. 舆情监测中正面评价占比</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**字段类型**：比例</w:t>
      </w:r>
    </w:p>
    <w:p>
      <w:pPr>
        <w:pStyle w:val="ListBullet"/>
      </w:pPr>
      <w:r>
        <w:rPr>
          <w:rFonts w:eastAsia="微软雅黑"/>
          <w:rFonts w:ascii="微软雅黑" w:hAnsi="微软雅黑"/>
          <w:b w:val="0"/>
          <w:sz w:val="20"/>
        </w:rPr>
        <w:t>**字段说明**：指在某一国家涉及国际中文教育或中华文化传播的舆情样本中，带有肯定、支持、赞誉等正向语义内容的信息条数占全部有效舆情信息条数的比例。该指标用于评估中文教育在社会公众、主流媒体与数字社交空间中的情感接受度与形象表现力。数据采集方式包括社交媒体评论抓取、新闻平台分析、自动情感识别与问卷采样等，按年度计算其正面比重，以揭示其传播环境的稳定性与可持续性基础。</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None（口径：比例）</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https://manu44.magtech.com.cn/Jwk_infotech_wk3/EN/10.11925/infotech.2096-3467.2020.0959</w:t>
      </w:r>
    </w:p>
    <w:p>
      <w:pPr>
        <w:pStyle w:val="ListBullet"/>
      </w:pPr>
      <w:r>
        <w:rPr>
          <w:rFonts w:eastAsia="微软雅黑"/>
          <w:rFonts w:ascii="微软雅黑" w:hAnsi="微软雅黑"/>
          <w:b w:val="0"/>
          <w:sz w:val="20"/>
        </w:rPr>
        <w:t>https://www.bjdzzs.com/www/dl/gbdqzn/upload/yuedan.pdf</w:t>
      </w:r>
    </w:p>
    <w:p>
      <w:pPr>
        <w:pStyle w:val="ListBullet"/>
      </w:pPr>
      <w:r>
        <w:rPr>
          <w:rFonts w:eastAsia="微软雅黑"/>
          <w:rFonts w:ascii="微软雅黑" w:hAnsi="微软雅黑"/>
          <w:b w:val="0"/>
          <w:sz w:val="20"/>
        </w:rPr>
        <w:t>https://wdec.smartedu.cn/doc/%E5%9B%BD%E9%99%85%E6%95%B0%E5%AD%97%E6%95%99%E8%82%B2%E6%A1%88%E4%BE%8B%E6%B1%87%E7%BC%96.pdf</w:t>
      </w:r>
    </w:p>
    <w:p>
      <w:pPr>
        <w:pStyle w:val="ListBullet"/>
      </w:pPr>
      <w:r>
        <w:rPr>
          <w:rFonts w:eastAsia="微软雅黑"/>
          <w:rFonts w:ascii="微软雅黑" w:hAnsi="微软雅黑"/>
          <w:b w:val="0"/>
          <w:sz w:val="20"/>
        </w:rPr>
        <w:t>https://pdf.hanspub.org/ecl2024134_6932311992.pdf</w:t>
      </w:r>
    </w:p>
    <w:p>
      <w:pPr>
        <w:pStyle w:val="ListBullet"/>
      </w:pPr>
      <w:r>
        <w:rPr>
          <w:rFonts w:eastAsia="微软雅黑"/>
          <w:rFonts w:ascii="微软雅黑" w:hAnsi="微软雅黑"/>
          <w:b w:val="0"/>
          <w:sz w:val="20"/>
        </w:rPr>
        <w:t>https://pdf.hanspub.org/orf2024145_431701926.pdf</w:t>
      </w:r>
    </w:p>
    <w:p/>
    <w:p>
      <w:pPr>
        <w:spacing w:before="0" w:after="80" w:lineRule="auto" w:line="276"/>
        <w:jc w:val="center"/>
      </w:pPr>
      <w:r>
        <w:rPr>
          <w:rFonts w:eastAsia="微软雅黑"/>
          <w:rFonts w:ascii="微软雅黑" w:hAnsi="微软雅黑"/>
          <w:b w:val="0"/>
          <w:color w:val="B4B4B4"/>
          <w:sz w:val="18"/>
        </w:rPr>
        <w:t>──────────────────────────────</w:t>
      </w:r>
    </w:p>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微软雅黑"/>
      <w:rFonts w:ascii="微软雅黑" w:hAnsi="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