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以色列 · 中文教育指标体系完整数据</w:t>
      </w:r>
    </w:p>
    <w:p/>
    <w:p>
      <w:pPr>
        <w:spacing w:before="0" w:after="80" w:lineRule="auto" w:line="276"/>
        <w:jc w:val="left"/>
      </w:pPr>
      <w:r>
        <w:rPr>
          <w:rFonts w:eastAsia="微软雅黑"/>
          <w:rFonts w:ascii="微软雅黑" w:hAnsi="微软雅黑"/>
          <w:b w:val="0"/>
          <w:sz w:val="21"/>
        </w:rPr>
        <w:t>国家：以色列</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https://www.mfa.gov.cn/web/gjhdq_676201/gj_676203/yz_676205/1206_677196/1207_677208/201703/t20170321_8007468.shtml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有（基础教育阶段）（口径：基础教育）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https://zh.wikipedia.org/zh-tw/%E4%BB%A5%E8%89%B2%E5%88%97%E8%AF%AD%E8%A8%80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以下以色列政府主导或支持的中文教育项目：1）以色列教育部与中方签订的《中以教育部教育合作协议》（2002年）中的汉语教师研修奖学金项目；2）以色列高等教育委员会支持的莱温斯基教育学院中文师范专业项目；3）以色列高等教育委员会支持的中以高等教育合作框架下的语言教学交流项目。这些项目分别符合扩展口径中的政府与高校联合主办、政府资助第三方机构实施、政府官方教育计划下的具体项目等条件。证据中未发现其他符合扩展口径的项目，因此计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https://www.fmprc.gov.cn/ziliao_674904/tytj_674911/tyfg_674913/200206/t20020604_9866884.shtml</w:t>
      </w:r>
    </w:p>
    <w:p>
      <w:pPr>
        <w:pStyle w:val="ListBullet"/>
      </w:pPr>
      <w:r>
        <w:rPr>
          <w:rFonts w:eastAsia="微软雅黑"/>
          <w:rFonts w:ascii="微软雅黑" w:hAnsi="微软雅黑"/>
          <w:b w:val="0"/>
          <w:sz w:val="20"/>
        </w:rPr>
        <w:t>https://www.chinanews.com/hwjy/2011/09-27/3355458.shtml</w:t>
      </w:r>
    </w:p>
    <w:p>
      <w:pPr>
        <w:pStyle w:val="ListBullet"/>
      </w:pPr>
      <w:r>
        <w:rPr>
          <w:rFonts w:eastAsia="微软雅黑"/>
          <w:rFonts w:ascii="微软雅黑" w:hAnsi="微软雅黑"/>
          <w:b w:val="0"/>
          <w:sz w:val="20"/>
        </w:rPr>
        <w:t>https://che.org.il/wp-content/uploads/2013/04/CHE-Brochure_Chinese.pdf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直接计数符合扩展口径的独立文件数量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https://www.chinanews.com/hwjy/news/2010/01-28/2097298.shtml</w:t>
      </w:r>
    </w:p>
    <w:p>
      <w:pPr>
        <w:pStyle w:val="ListBullet"/>
      </w:pPr>
      <w:r>
        <w:rPr>
          <w:rFonts w:eastAsia="微软雅黑"/>
          <w:rFonts w:ascii="微软雅黑" w:hAnsi="微软雅黑"/>
          <w:b w:val="0"/>
          <w:sz w:val="20"/>
        </w:rPr>
        <w:t>https://www.fmprc.gov.cn/ziliao_674904/tytj_674911/tyfg_674913/200206/t20020604_9866884.shtml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基于以色列教育预算占国民预算约10%（约600亿新谢克尔），中文教育作为非主流语言项目，类比少数族裔教育专项占比推测&lt;0.1%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http://www.news.cn/world/20251008/597f0413ab1d4973a2404b9306859a2a/c.html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http://www.gzxjw.org.cn/zjjx/jcjg/201905/t20190527_85452077.html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代理变量：扩展口径：以色列《义务教育法》、教育部课程纲要、中以教育合作协议、一带一路政策声明、地方教育法规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以色列《义务教育法》（1949及修正）全文，未发现中文或汉语相关条款；教育部课程纲要规定外语为英语、法语、阿拉伯语，无中文；中以教育合作协议为双边文件，非以色列国内法律，且未找到具体条款；一带一路政策声明未涉及中文教育；地方教育法规无中文课程支持证据。近3年无相关生效或修订条款。</w:t>
      </w:r>
    </w:p>
    <w:p>
      <w:pPr>
        <w:spacing w:before="0" w:after="80" w:lineRule="auto" w:line="276"/>
        <w:jc w:val="left"/>
      </w:pPr>
      <w:r>
        <w:rPr>
          <w:rFonts w:eastAsia="微软雅黑"/>
          <w:rFonts w:ascii="微软雅黑" w:hAnsi="微软雅黑"/>
          <w:b w:val="0"/>
          <w:sz w:val="21"/>
        </w:rPr>
        <w:t>判断：所有扩展口径下的检索均未发现任何涉及中文教育的法律、法规或政令条款，且无间接数据可替代。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以色列现行法律、法规、政令中未发现任何直接或间接涉及中文教育的条款。以色列教育法律框架由《义务教育法》主导，未提及中文；中以教育合作协议为双边协议，非以色列国内法律；近3年（2022-2025年）无相关生效或修订条款。因此条款数量为0。</w:t>
      </w:r>
    </w:p>
    <w:p>
      <w:pPr>
        <w:pStyle w:val="ListBullet"/>
      </w:pPr>
      <w:r>
        <w:rPr>
          <w:rFonts w:eastAsia="微软雅黑"/>
          <w:rFonts w:ascii="微软雅黑" w:hAnsi="微软雅黑"/>
          <w:b w:val="0"/>
          <w:sz w:val="20"/>
        </w:rPr>
        <w:t>依据：多方来源一致表明以色列无中文教育相关法律条款，且无任何证据支持存在此类条款。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https://www.fmprc.gov.cn/ziliao_674904/tytj_674911/tyfg_674913/200206/t20020604_9866884.shtml</w:t>
      </w:r>
    </w:p>
    <w:p>
      <w:pPr>
        <w:pStyle w:val="ListBullet"/>
      </w:pPr>
      <w:r>
        <w:rPr>
          <w:rFonts w:eastAsia="微软雅黑"/>
          <w:rFonts w:ascii="微软雅黑" w:hAnsi="微软雅黑"/>
          <w:b w:val="0"/>
          <w:sz w:val="20"/>
        </w:rPr>
        <w:t>https://zh.wikipedia.org/zh-cn/%E4%BB%A5%E8%89%B2%E5%88%97%E6%95%99%E8%82%B2</w:t>
      </w:r>
    </w:p>
    <w:p>
      <w:pPr>
        <w:pStyle w:val="ListBullet"/>
      </w:pPr>
      <w:r>
        <w:rPr>
          <w:rFonts w:eastAsia="微软雅黑"/>
          <w:rFonts w:ascii="微软雅黑" w:hAnsi="微软雅黑"/>
          <w:b w:val="0"/>
          <w:sz w:val="20"/>
        </w:rPr>
        <w:t>https://www.tisanet.org/quarterly/8-2-7.pdf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https://www.fmprc.gov.cn/ziliao_674904/tytj_674911/tyfg_674913/200206/t20020604_9866884.shtml</w:t>
      </w:r>
    </w:p>
    <w:p>
      <w:pPr>
        <w:pStyle w:val="ListBullet"/>
      </w:pPr>
      <w:r>
        <w:rPr>
          <w:rFonts w:eastAsia="微软雅黑"/>
          <w:rFonts w:ascii="微软雅黑" w:hAnsi="微软雅黑"/>
          <w:b w:val="0"/>
          <w:sz w:val="20"/>
        </w:rPr>
        <w:t>https://zh.wikipedia.org/zh-cn/%E4%BB%A5%E8%89%B2%E5%88%97%E6%95%99%E8%82%B2</w:t>
      </w:r>
    </w:p>
    <w:p>
      <w:pPr>
        <w:pStyle w:val="ListBullet"/>
      </w:pPr>
      <w:r>
        <w:rPr>
          <w:rFonts w:eastAsia="微软雅黑"/>
          <w:rFonts w:ascii="微软雅黑" w:hAnsi="微软雅黑"/>
          <w:b w:val="0"/>
          <w:sz w:val="20"/>
        </w:rPr>
        <w:t>https://www.tisanet.org/quarterly/8-2-7.pdf</w:t>
      </w:r>
    </w:p>
    <w:p>
      <w:pPr>
        <w:pStyle w:val="ListBullet"/>
      </w:pPr>
      <w:r>
        <w:rPr>
          <w:rFonts w:eastAsia="微软雅黑"/>
          <w:rFonts w:ascii="微软雅黑" w:hAnsi="微软雅黑"/>
          <w:b w:val="0"/>
          <w:sz w:val="20"/>
        </w:rPr>
        <w:t>http://www.chinajew.com/view.asp?id=309</w:t>
      </w:r>
    </w:p>
    <w:p>
      <w:pPr>
        <w:pStyle w:val="ListBullet"/>
      </w:pPr>
      <w:r>
        <w:rPr>
          <w:rFonts w:eastAsia="微软雅黑"/>
          <w:rFonts w:ascii="微软雅黑" w:hAnsi="微软雅黑"/>
          <w:b w:val="0"/>
          <w:sz w:val="20"/>
        </w:rPr>
        <w:t>https://www.tisanet.org/quarterly/8-2-7.pdf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代理变量：中文教育规模增长趋势、高等教育国际化政策、多语言教育制度基础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中文教育政策稳定性：以色列虽无专门中文教育政策，但《义务教育法》《国家教育法》提供多语言教育制度基础，且中文教育规模4年增长5倍（2012-2016），显示政策环境支持；2) 社会文化接受度：中小学中文学习者从600人增至3200人，学校从30所增至110所，反映社会需求增长；3) 政府支持：通过“卓越计划”增加国际教育预算，间接促进中文教育需求；4) 风险因素：缺乏专门政策文件、师资不足、地区安全局势可能影响稳定性，但现有证据表明整体环境支持中文教育发展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https://www.ydylcn.com/skwx_ydyl/initDatabaseDetail?siteId=1&amp;contentId=7631850&amp;contentType=literature</w:t>
      </w:r>
    </w:p>
    <w:p>
      <w:pPr>
        <w:pStyle w:val="ListBullet"/>
      </w:pPr>
      <w:r>
        <w:rPr>
          <w:rFonts w:eastAsia="微软雅黑"/>
          <w:rFonts w:ascii="微软雅黑" w:hAnsi="微软雅黑"/>
          <w:b w:val="0"/>
          <w:sz w:val="20"/>
        </w:rPr>
        <w:t>http://www.gzxjw.org.cn/zjjx/jcjg/201905/t20190527_85452077.html</w:t>
      </w:r>
    </w:p>
    <w:p>
      <w:pPr>
        <w:pStyle w:val="ListBullet"/>
      </w:pPr>
      <w:r>
        <w:rPr>
          <w:rFonts w:eastAsia="微软雅黑"/>
          <w:rFonts w:ascii="微软雅黑" w:hAnsi="微软雅黑"/>
          <w:b w:val="0"/>
          <w:sz w:val="20"/>
        </w:rPr>
        <w:t>https://www.52hrtt.com/ysl/n/w/info/F1770707362441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https://www.qstheory.cn/20260314/b1355f9a70b24d968eed3a8f5b424405/c.html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0-5本</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基于扩展口径检索结果推导的区间值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http://list.dangdang.com/waiyu?category_path=01.30.06.00.00.00&amp;activity_id=&amp;price_scale=50~&amp;discount_scale=60~</w:t>
      </w:r>
    </w:p>
    <w:p>
      <w:pPr>
        <w:pStyle w:val="ListBullet"/>
      </w:pPr>
      <w:r>
        <w:rPr>
          <w:rFonts w:eastAsia="微软雅黑"/>
          <w:rFonts w:ascii="微软雅黑" w:hAnsi="微软雅黑"/>
          <w:b w:val="0"/>
          <w:sz w:val="20"/>
        </w:rPr>
        <w:t>http://discount.dangdang.com/list/01.36.11_S0.html?minprice=15</w:t>
      </w:r>
    </w:p>
    <w:p>
      <w:pPr>
        <w:pStyle w:val="ListBullet"/>
      </w:pPr>
      <w:r>
        <w:rPr>
          <w:rFonts w:eastAsia="微软雅黑"/>
          <w:rFonts w:ascii="微软雅黑" w:hAnsi="微软雅黑"/>
          <w:b w:val="0"/>
          <w:sz w:val="20"/>
        </w:rPr>
        <w:t>http://list.dangdang.com/waiyu?category_path=01.56.33.15.00.00&amp;activity_id=&amp;score=6~10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https://unesdoc.unesco.org/ark:/48223/pf0000235431_chi</w:t>
      </w:r>
    </w:p>
    <w:p>
      <w:pPr>
        <w:pStyle w:val="ListBullet"/>
      </w:pPr>
      <w:r>
        <w:rPr>
          <w:rFonts w:eastAsia="微软雅黑"/>
          <w:rFonts w:ascii="微软雅黑" w:hAnsi="微软雅黑"/>
          <w:b w:val="0"/>
          <w:sz w:val="20"/>
        </w:rPr>
        <w:t>https://www.xjtlu.edu.cn/assets/files/publications/2019In-the-media-Chinese.pdf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https://www.news.cn/world/20260421/e37851225e804b4084aca34705308178/c.html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https://kyy.scu.edu.cn/info/1449/11457.htm</w:t>
      </w:r>
    </w:p>
    <w:p>
      <w:pPr>
        <w:pStyle w:val="ListBullet"/>
      </w:pPr>
      <w:r>
        <w:rPr>
          <w:rFonts w:eastAsia="微软雅黑"/>
          <w:rFonts w:ascii="微软雅黑" w:hAnsi="微软雅黑"/>
          <w:b w:val="0"/>
          <w:sz w:val="20"/>
        </w:rPr>
        <w:t>https://research.ustb.edu.cn/kyxm/gjzrkxjjwxm/jjwtzgg/e9c5e99235be446baf91dd7b52408790.htm</w:t>
      </w:r>
    </w:p>
    <w:p>
      <w:pPr>
        <w:pStyle w:val="ListBullet"/>
      </w:pPr>
      <w:r>
        <w:rPr>
          <w:rFonts w:eastAsia="微软雅黑"/>
          <w:rFonts w:ascii="微软雅黑" w:hAnsi="微软雅黑"/>
          <w:b w:val="0"/>
          <w:sz w:val="20"/>
        </w:rPr>
        <w:t>https://www.ustc.edu.cn/info/1362/22077.htm</w:t>
      </w:r>
    </w:p>
    <w:p>
      <w:pPr>
        <w:pStyle w:val="ListBullet"/>
      </w:pPr>
      <w:r>
        <w:rPr>
          <w:rFonts w:eastAsia="微软雅黑"/>
          <w:rFonts w:ascii="微软雅黑" w:hAnsi="微软雅黑"/>
          <w:b w:val="0"/>
          <w:sz w:val="20"/>
        </w:rPr>
        <w:t>https://news.sciencenet.cn/htmlnews/2020/12/449641.shtm</w:t>
      </w:r>
    </w:p>
    <w:p>
      <w:pPr>
        <w:pStyle w:val="ListBullet"/>
      </w:pPr>
      <w:r>
        <w:rPr>
          <w:rFonts w:eastAsia="微软雅黑"/>
          <w:rFonts w:ascii="微软雅黑" w:hAnsi="微软雅黑"/>
          <w:b w:val="0"/>
          <w:sz w:val="20"/>
        </w:rPr>
        <w:t>https://www.nsfc.gov.cn/csc/20345/20348/pdf/2022/202201-57-60.pdf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https://zh.wikipedia.org/zh-cn/%E5%9B%BD%E5%AE%B6%E5%AE%89%E5%85%A8%E7%A0%94%E7%A9%B6%E6%89%80_(%E4%BB%A5%E8%89%B2%E5%88%97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0（无直接编委，但1位留华学者：Tuvi Etzion-未确认中国学位）</w:t>
      </w:r>
    </w:p>
    <w:p/>
    <w:p>
      <w:pPr>
        <w:spacing w:before="0" w:after="80" w:lineRule="auto" w:line="276"/>
        <w:jc w:val="left"/>
      </w:pPr>
      <w:r>
        <w:rPr>
          <w:rFonts w:eastAsia="微软雅黑"/>
          <w:rFonts w:ascii="微软雅黑" w:hAnsi="微软雅黑"/>
          <w:b w:val="0"/>
          <w:sz w:val="21"/>
        </w:rPr>
        <w:t>代理变量：扩展口径：编委/审稿人/留华学者/顾问/教材主编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Perplexity搜索未发现以色列学者担任指定中文核心期刊编委或审稿人；学术数据库（OpenAlex、Semantic Scholar、Crossref、CNKI）未检索到相关编委信息；仅发现Tuvi Etzion教授（以色列理工学院）担任英文国际期刊编委，但非中文核心期刊；未找到留华归国学者、汉办顾问或中文教材主编信息。</w:t>
      </w:r>
    </w:p>
    <w:p>
      <w:pPr>
        <w:spacing w:before="0" w:after="80" w:lineRule="auto" w:line="276"/>
        <w:jc w:val="left"/>
      </w:pPr>
      <w:r>
        <w:rPr>
          <w:rFonts w:eastAsia="微软雅黑"/>
          <w:rFonts w:ascii="微软雅黑" w:hAnsi="微软雅黑"/>
          <w:b w:val="0"/>
          <w:sz w:val="21"/>
        </w:rPr>
        <w:t>扩展补充：留华学者：Tuvi Etzion（以色列理工学院），但未确认其在中国高校获得学位；无其他扩展口径下的相关数据。</w:t>
      </w:r>
    </w:p>
    <w:p>
      <w:pPr>
        <w:spacing w:before="0" w:after="80" w:lineRule="auto" w:line="276"/>
        <w:jc w:val="left"/>
      </w:pPr>
      <w:r>
        <w:rPr>
          <w:rFonts w:eastAsia="微软雅黑"/>
          <w:rFonts w:ascii="微软雅黑" w:hAnsi="微软雅黑"/>
          <w:b w:val="0"/>
          <w:sz w:val="21"/>
        </w:rPr>
        <w:t>判断：基于扩展口径全面检索后未发现直接编委，但存在一位可能相关的学者（Tuvi Etzion），其中国学位未确认，故最终值为0并附留华学者信息。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推导：直接证据：Perplexity搜索结果中无以色列学者担任指定中文核心期刊或中文教育类国际期刊编委的记录；学术数据库（OpenAlex、Semantic Scholar、Crossref、CNKI）未检索到相关编委信息。间接证据：相关以色列学者（如Tuvi Etzion、钟子宜）所任编委均为非中文期刊。因此，该指标值为0。</w:t>
      </w:r>
    </w:p>
    <w:p>
      <w:pPr>
        <w:pStyle w:val="ListBullet"/>
      </w:pPr>
      <w:r>
        <w:rPr>
          <w:rFonts w:eastAsia="微软雅黑"/>
          <w:rFonts w:ascii="微软雅黑" w:hAnsi="微软雅黑"/>
          <w:b w:val="0"/>
          <w:sz w:val="20"/>
        </w:rPr>
        <w:t>依据：基于多源搜索（Perplexity、学术数据库）均未发现以色列学者担任指定期刊编委，且相关学者任职于非中文期刊，故判定值为0。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https://www.icrc.org/zh/document/china-interview-zhu-lijiang-editorial-board-international-review</w:t>
      </w:r>
    </w:p>
    <w:p>
      <w:pPr>
        <w:pStyle w:val="ListBullet"/>
      </w:pPr>
      <w:r>
        <w:rPr>
          <w:rFonts w:eastAsia="微软雅黑"/>
          <w:rFonts w:ascii="微软雅黑" w:hAnsi="微软雅黑"/>
          <w:b w:val="0"/>
          <w:sz w:val="20"/>
        </w:rPr>
        <w:t>https://news.xmu.edu.cn/info/1010/41480.htm</w:t>
      </w:r>
    </w:p>
    <w:p>
      <w:pPr>
        <w:pStyle w:val="ListBullet"/>
      </w:pPr>
      <w:r>
        <w:rPr>
          <w:rFonts w:eastAsia="微软雅黑"/>
          <w:rFonts w:ascii="微软雅黑" w:hAnsi="微软雅黑"/>
          <w:b w:val="0"/>
          <w:sz w:val="20"/>
        </w:rPr>
        <w:t>http://www.wuxihospital.com/info/1373/2460.htm</w:t>
      </w:r>
    </w:p>
    <w:p>
      <w:pPr>
        <w:pStyle w:val="ListBullet"/>
      </w:pPr>
      <w:r>
        <w:rPr>
          <w:rFonts w:eastAsia="微软雅黑"/>
          <w:rFonts w:ascii="微软雅黑" w:hAnsi="微软雅黑"/>
          <w:b w:val="0"/>
          <w:sz w:val="20"/>
        </w:rPr>
        <w:t>http://jsxx.ahau.edu.cn/ch/jsxx_show.html?zgh=2016012</w:t>
      </w:r>
    </w:p>
    <w:p>
      <w:pPr>
        <w:pStyle w:val="ListBullet"/>
      </w:pPr>
      <w:r>
        <w:rPr>
          <w:rFonts w:eastAsia="微软雅黑"/>
          <w:rFonts w:ascii="微软雅黑" w:hAnsi="微软雅黑"/>
          <w:b w:val="0"/>
          <w:sz w:val="20"/>
        </w:rPr>
        <w:t>https://www.kerui.org/articlesdetails.aspx?ID=1517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https://www.icrc.org/zh/document/china-interview-zhu-lijiang-editorial-board-international-review</w:t>
      </w:r>
    </w:p>
    <w:p>
      <w:pPr>
        <w:pStyle w:val="ListBullet"/>
      </w:pPr>
      <w:r>
        <w:rPr>
          <w:rFonts w:eastAsia="微软雅黑"/>
          <w:rFonts w:ascii="微软雅黑" w:hAnsi="微软雅黑"/>
          <w:b w:val="0"/>
          <w:sz w:val="20"/>
        </w:rPr>
        <w:t>https://news.xmu.edu.cn/info/1010/41480.htm</w:t>
      </w:r>
    </w:p>
    <w:p>
      <w:pPr>
        <w:pStyle w:val="ListBullet"/>
      </w:pPr>
      <w:r>
        <w:rPr>
          <w:rFonts w:eastAsia="微软雅黑"/>
          <w:rFonts w:ascii="微软雅黑" w:hAnsi="微软雅黑"/>
          <w:b w:val="0"/>
          <w:sz w:val="20"/>
        </w:rPr>
        <w:t>http://www.wuxihospital.com/info/1373/2460.htm</w:t>
      </w:r>
    </w:p>
    <w:p>
      <w:pPr>
        <w:pStyle w:val="ListBullet"/>
      </w:pPr>
      <w:r>
        <w:rPr>
          <w:rFonts w:eastAsia="微软雅黑"/>
          <w:rFonts w:ascii="微软雅黑" w:hAnsi="微软雅黑"/>
          <w:b w:val="0"/>
          <w:sz w:val="20"/>
        </w:rPr>
        <w:t>https://www.ahjzu.edu.cn/slx/2026/0330/c10742a267833/page.htm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https://www.scopus.com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Pr>
        <w:pStyle w:val="ListBullet"/>
      </w:pPr>
      <w:r>
        <w:rPr>
          <w:rFonts w:eastAsia="微软雅黑"/>
          <w:rFonts w:ascii="微软雅黑" w:hAnsi="微软雅黑"/>
          <w:b w:val="0"/>
          <w:sz w:val="20"/>
        </w:rPr>
        <w:t>https://zh.wikipedia.org/zh-tw/%E4%BB%A5%E8%89%B2%E5%88%97%E6%95%99%E8%82%B2</w:t>
      </w:r>
    </w:p>
    <w:p>
      <w:pPr>
        <w:pStyle w:val="ListBullet"/>
      </w:pPr>
      <w:r>
        <w:rPr>
          <w:rFonts w:eastAsia="微软雅黑"/>
          <w:rFonts w:ascii="微软雅黑" w:hAnsi="微软雅黑"/>
          <w:b w:val="0"/>
          <w:sz w:val="20"/>
        </w:rPr>
        <w:t>https://cs.mfa.gov.cn/zggmcg/ljmdd/yz_645708/ysl_648252/</w:t>
      </w:r>
    </w:p>
    <w:p>
      <w:pPr>
        <w:pStyle w:val="ListBullet"/>
      </w:pPr>
      <w:r>
        <w:rPr>
          <w:rFonts w:eastAsia="微软雅黑"/>
          <w:rFonts w:ascii="微软雅黑" w:hAnsi="微软雅黑"/>
          <w:b w:val="0"/>
          <w:sz w:val="20"/>
        </w:rPr>
        <w:t>https://www.yidaiyilu.gov.cn/wcm.files/upload/CMSydylgw/202012/202012230438012.pdf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https://bulletinofcas.researchcommons.org/cgi/viewcontent.cgi?article=1557&amp;context=journal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http://news.blcu.edu.cn/info/1025/11853.htm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https://www.tisanet.org/quarterly/8-2-7.pdf</w:t>
      </w:r>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https://digitallibrary.un.org/nanna/record/4028113/files/1389385_ZH.pdf?withWatermark=0&amp;withMetadata=0&amp;registerDownload=1&amp;version=1</w:t>
      </w:r>
    </w:p>
    <w:p>
      <w:pPr>
        <w:pStyle w:val="ListBullet"/>
      </w:pPr>
      <w:r>
        <w:rPr>
          <w:rFonts w:eastAsia="微软雅黑"/>
          <w:rFonts w:ascii="微软雅黑" w:hAnsi="微软雅黑"/>
          <w:b w:val="0"/>
          <w:sz w:val="20"/>
        </w:rPr>
        <w:t>https://documents1.worldbank.org/curated/en/549011468208465338/pdf/153180PUB0CHINESE0Box349487B00PUBLIC0.pdf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https://iet.open.ac.uk/file/innovating-pedagogy-2017-cn.pdf</w:t>
      </w:r>
    </w:p>
    <w:p>
      <w:pPr>
        <w:pStyle w:val="ListBullet"/>
      </w:pPr>
      <w:r>
        <w:rPr>
          <w:rFonts w:eastAsia="微软雅黑"/>
          <w:rFonts w:ascii="微软雅黑" w:hAnsi="微软雅黑"/>
          <w:b w:val="0"/>
          <w:sz w:val="20"/>
        </w:rPr>
        <w:t>https://www.mofcom.gov.cn/dl/gbdqzn/upload/yiselie.pdf</w:t>
      </w:r>
    </w:p>
    <w:p>
      <w:pPr>
        <w:pStyle w:val="ListBullet"/>
      </w:pPr>
      <w:r>
        <w:rPr>
          <w:rFonts w:eastAsia="微软雅黑"/>
          <w:rFonts w:ascii="微软雅黑" w:hAnsi="微软雅黑"/>
          <w:b w:val="0"/>
          <w:sz w:val="20"/>
        </w:rPr>
        <w:t>https://che.org.il/wp-content/uploads/2013/04/CHE-Brochure_Chinese.pdf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Pr>
        <w:pStyle w:val="ListBullet"/>
      </w:pPr>
      <w:r>
        <w:rPr>
          <w:rFonts w:eastAsia="微软雅黑"/>
          <w:rFonts w:ascii="微软雅黑" w:hAnsi="微软雅黑"/>
          <w:b w:val="0"/>
          <w:sz w:val="20"/>
        </w:rPr>
        <w:t>https://fao.zibo.gov.cn/module/download/downfile.jsp?classid=0&amp;filename=d1c1fad9c64e4e2f8145e2db44ab919e.pdf</w:t>
      </w:r>
    </w:p>
    <w:p>
      <w:pPr>
        <w:pStyle w:val="ListBullet"/>
      </w:pPr>
      <w:r>
        <w:rPr>
          <w:rFonts w:eastAsia="微软雅黑"/>
          <w:rFonts w:ascii="微软雅黑" w:hAnsi="微软雅黑"/>
          <w:b w:val="0"/>
          <w:sz w:val="20"/>
        </w:rPr>
        <w:t>https://www.tisanet.org/quarterly/8-2-7.pdf</w:t>
      </w:r>
    </w:p>
    <w:p>
      <w:pPr>
        <w:pStyle w:val="ListBullet"/>
      </w:pPr>
      <w:r>
        <w:rPr>
          <w:rFonts w:eastAsia="微软雅黑"/>
          <w:rFonts w:ascii="微软雅黑" w:hAnsi="微软雅黑"/>
          <w:b w:val="0"/>
          <w:sz w:val="20"/>
        </w:rPr>
        <w:t>https://www.secrss.com/articles/47728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直接统计符合扩展口径的网站/平台数量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https://en-hum.huji.ac.il/language-courses</w:t>
      </w:r>
    </w:p>
    <w:p>
      <w:pPr>
        <w:pStyle w:val="ListBullet"/>
      </w:pPr>
      <w:r>
        <w:rPr>
          <w:rFonts w:eastAsia="微软雅黑"/>
          <w:rFonts w:ascii="微软雅黑" w:hAnsi="微软雅黑"/>
          <w:b w:val="0"/>
          <w:sz w:val="20"/>
        </w:rPr>
        <w:t>http://ci.ruc.edu.cn/kyxw/1c82159033c74fe68fb0f3e11a180c0c.htm</w:t>
      </w:r>
    </w:p>
    <w:p>
      <w:pPr>
        <w:pStyle w:val="ListBullet"/>
      </w:pPr>
      <w:r>
        <w:rPr>
          <w:rFonts w:eastAsia="微软雅黑"/>
          <w:rFonts w:ascii="微软雅黑" w:hAnsi="微软雅黑"/>
          <w:b w:val="0"/>
          <w:sz w:val="20"/>
        </w:rPr>
        <w:t>https://israelmega.com/free-courses/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https://cs.mfa.gov.cn/zggmcg/ljmdd/yz_645708/ysl_648252/</w:t>
      </w:r>
    </w:p>
    <w:p>
      <w:pPr>
        <w:pStyle w:val="ListBullet"/>
      </w:pPr>
      <w:r>
        <w:rPr>
          <w:rFonts w:eastAsia="微软雅黑"/>
          <w:rFonts w:ascii="微软雅黑" w:hAnsi="微软雅黑"/>
          <w:b w:val="0"/>
          <w:sz w:val="20"/>
        </w:rPr>
        <w:t>https://www.mofcom.gov.cn/dl/gbdqzn/upload/yiselie.pdf</w:t>
      </w:r>
    </w:p>
    <w:p>
      <w:pPr>
        <w:pStyle w:val="ListBullet"/>
      </w:pPr>
      <w:r>
        <w:rPr>
          <w:rFonts w:eastAsia="微软雅黑"/>
          <w:rFonts w:ascii="微软雅黑" w:hAnsi="微软雅黑"/>
          <w:b w:val="0"/>
          <w:sz w:val="20"/>
        </w:rPr>
        <w:t>https://www.yidaiyilu.gov.cn/wcm.files/upload/CMSydylgw/202012/202012230438012.pdf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https://digitallearning.education.gov.il/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0.03%</w:t>
      </w:r>
    </w:p>
    <w:p/>
    <w:p>
      <w:pPr>
        <w:spacing w:before="0" w:after="80" w:lineRule="auto" w:line="276"/>
        <w:jc w:val="left"/>
      </w:pPr>
      <w:r>
        <w:rPr>
          <w:rFonts w:eastAsia="微软雅黑"/>
          <w:rFonts w:ascii="微软雅黑" w:hAnsi="微软雅黑"/>
          <w:b w:val="0"/>
          <w:sz w:val="21"/>
        </w:rPr>
        <w:t>代理变量：区域教育趋势、孔子学院数据、台湾教育年报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基于扩展口径，分子估算为2000-4000人（中小学500-1000人，大学300-500人，成人教育及培训1000-2000人），分母为以色列2023年人口1014万，计算比例约0.02%-0.04%，取中值0.03%。</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合成值：0.03%</w:t>
      </w:r>
    </w:p>
    <w:p>
      <w:pPr>
        <w:pStyle w:val="ListBullet"/>
      </w:pPr>
      <w:r>
        <w:rPr>
          <w:rFonts w:eastAsia="微软雅黑"/>
          <w:rFonts w:ascii="微软雅黑" w:hAnsi="微软雅黑"/>
          <w:b w:val="0"/>
          <w:sz w:val="20"/>
        </w:rPr>
        <w:t>代理：区域教育趋势、孔子学院数据、台湾教育年报</w:t>
      </w:r>
    </w:p>
    <w:p>
      <w:pPr>
        <w:pStyle w:val="ListBullet"/>
      </w:pPr>
      <w:r>
        <w:rPr>
          <w:rFonts w:eastAsia="微软雅黑"/>
          <w:rFonts w:ascii="微软雅黑" w:hAnsi="微软雅黑"/>
          <w:b w:val="0"/>
          <w:sz w:val="20"/>
        </w:rPr>
        <w:t>推导：基于扩展口径，分子估算为2000-4000人（中小学500-1000人，大学300-500人，成人教育及培训1000-2000人），分母为以色列2023年人口1014万，计算比例约0.02%-0.04%，取中值0.03%。</w:t>
      </w:r>
    </w:p>
    <w:p>
      <w:pPr>
        <w:pStyle w:val="ListBullet"/>
      </w:pPr>
      <w:r>
        <w:rPr>
          <w:rFonts w:eastAsia="微软雅黑"/>
          <w:rFonts w:ascii="微软雅黑" w:hAnsi="微软雅黑"/>
          <w:b w:val="0"/>
          <w:sz w:val="20"/>
        </w:rPr>
        <w:t>依据：无直接官方数据，基于多源代理推导，存在较大不确定性。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https://www.mfa.gov.cn/web/gjhdq_676201/gj_676203/yz_676205/1206_677196/</w:t>
      </w:r>
    </w:p>
    <w:p>
      <w:pPr>
        <w:pStyle w:val="ListBullet"/>
      </w:pPr>
      <w:r>
        <w:rPr>
          <w:rFonts w:eastAsia="微软雅黑"/>
          <w:rFonts w:ascii="微软雅黑" w:hAnsi="微软雅黑"/>
          <w:b w:val="0"/>
          <w:sz w:val="20"/>
        </w:rPr>
        <w:t>https://teric.naer.edu.tw/wSite/PDFReader?xmlId=&amp;fileName=1749717610194&amp;format=pdf</w:t>
      </w:r>
    </w:p>
    <w:p>
      <w:pPr>
        <w:pStyle w:val="ListBullet"/>
      </w:pPr>
      <w:r>
        <w:rPr>
          <w:rFonts w:eastAsia="微软雅黑"/>
          <w:rFonts w:ascii="微软雅黑" w:hAnsi="微软雅黑"/>
          <w:b w:val="0"/>
          <w:sz w:val="20"/>
        </w:rPr>
        <w:t>https://www.mofcom.gov.cn/dl/gbdqzn/upload/yiselie.pdf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https://www.mfa.gov.cn/web/gjhdq_676201/gj_676203/yz_676205/1206_677196/</w:t>
      </w:r>
    </w:p>
    <w:p>
      <w:pPr>
        <w:pStyle w:val="ListBullet"/>
      </w:pPr>
      <w:r>
        <w:rPr>
          <w:rFonts w:eastAsia="微软雅黑"/>
          <w:rFonts w:ascii="微软雅黑" w:hAnsi="微软雅黑"/>
          <w:b w:val="0"/>
          <w:sz w:val="20"/>
        </w:rPr>
        <w:t>https://teric.naer.edu.tw/wSite/PDFReader?xmlId=&amp;fileName=1749717610194&amp;format=pdf</w:t>
      </w:r>
    </w:p>
    <w:p>
      <w:pPr>
        <w:pStyle w:val="ListBullet"/>
      </w:pPr>
      <w:r>
        <w:rPr>
          <w:rFonts w:eastAsia="微软雅黑"/>
          <w:rFonts w:ascii="微软雅黑" w:hAnsi="微软雅黑"/>
          <w:b w:val="0"/>
          <w:sz w:val="20"/>
        </w:rPr>
        <w:t>https://www.mofcom.gov.cn/dl/gbdqzn/upload/yiselie.pdf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基于UNESCO全球教育监测报告及以色列教育语境代理推导：1) 以色列K-12学生总数约150万（覆盖3-12年级），中文学习者比例估计&lt;1%；2) 中文课程未列为全国K-12标准课程，仅在部分中学作为选修外语，学校覆盖率约0.5-2%；3) 中文作为第三外语选修比例约0.2-0.8%。综合基础教育阶段中文学习者比例取&lt;1%作为保守估计。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https://www.oregon.gov/delc/Documents/pdg-provider-survey-2023-exec-summ_SCH.pdf</w:t>
      </w:r>
    </w:p>
    <w:p>
      <w:pPr>
        <w:pStyle w:val="ListBullet"/>
      </w:pPr>
      <w:r>
        <w:rPr>
          <w:rFonts w:eastAsia="微软雅黑"/>
          <w:rFonts w:ascii="微软雅黑" w:hAnsi="微软雅黑"/>
          <w:b w:val="0"/>
          <w:sz w:val="20"/>
        </w:rPr>
        <w:t>https://www.wise-qatar.org/app/uploads/2019/04/wise_research21st_century_skills_chinese.pdf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https://tradeinservices.mofcom.gov.cn/article/news/gjxw/202504/174509.html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800-2200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HSK年参考人数约85万，覆盖168个国家，按国家平均约505人/国。考虑到以色列人口约900万、中东地区华语学习相对活跃，将以色列占比估算为0.1%-0.2%，得出HSK年参考人数800-1700人。YCT/BCT考试按HSK总人数的10%-15%估算，得出80-250人。孔子学院考试参考类似国家单场规模（如津巴布韦173人），估算为数百人。综合三项，取区间800-2200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https://finance.sina.com.cn/jjxw/2026-02-01/doc-inhkhmvm5309475.shtml</w:t>
      </w:r>
    </w:p>
    <w:p>
      <w:pPr>
        <w:pStyle w:val="ListBullet"/>
      </w:pPr>
      <w:r>
        <w:rPr>
          <w:rFonts w:eastAsia="微软雅黑"/>
          <w:rFonts w:ascii="微软雅黑" w:hAnsi="微软雅黑"/>
          <w:b w:val="0"/>
          <w:sz w:val="20"/>
        </w:rPr>
        <w:t>http://ci.ruc.edu.cn/kyxw/d8e74f94e5d1450486cccc7587412a81.htm</w:t>
      </w:r>
    </w:p>
    <w:p>
      <w:pPr>
        <w:pStyle w:val="ListBullet"/>
      </w:pPr>
      <w:r>
        <w:rPr>
          <w:rFonts w:eastAsia="微软雅黑"/>
          <w:rFonts w:ascii="微软雅黑" w:hAnsi="微软雅黑"/>
          <w:b w:val="0"/>
          <w:sz w:val="20"/>
        </w:rPr>
        <w:t>https://www.52hrtt.com/jp/n/w/info/F1731046995477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https://www.yidaiyilu.gov.cn/wcm.files/upload/CMSydylgw/202012/202012230438012.pdf</w:t>
      </w:r>
    </w:p>
    <w:p>
      <w:pPr>
        <w:pStyle w:val="ListBullet"/>
      </w:pPr>
      <w:r>
        <w:rPr>
          <w:rFonts w:eastAsia="微软雅黑"/>
          <w:rFonts w:ascii="微软雅黑" w:hAnsi="微软雅黑"/>
          <w:b w:val="0"/>
          <w:sz w:val="20"/>
        </w:rPr>
        <w:t>https://xxgk.ecnu.edu.cn/_upload/article/files/f3/91/93298d354a08aebdc685cb1c4c56/2bdedc17-e647-4861-a799-ceba70dbbc9b.pdf</w:t>
      </w:r>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https://ipr.mofcom.gov.cn/hwwq_2/zhuankan/file/2019/2019-12.pdf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巴伊兰大学翻译和口译研究系提供两个符合要求的学位点：1）翻译和口译研究硕士项目（包含中英文或中文-希伯来语轨道）；2）翻译和口译研究博士项目。这两个项目均为正式学位授予点，当前活跃招生，且明确包含中文方向。其他以色列大学未发现符合扩展口径的博士/硕士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https://biuinternational.com/%E4%B8%AD%E6%96%87/</w:t>
      </w:r>
    </w:p>
    <w:p>
      <w:pPr>
        <w:pStyle w:val="ListBullet"/>
      </w:pPr>
      <w:r>
        <w:rPr>
          <w:rFonts w:eastAsia="微软雅黑"/>
          <w:rFonts w:ascii="微软雅黑" w:hAnsi="微软雅黑"/>
          <w:b w:val="0"/>
          <w:sz w:val="20"/>
        </w:rPr>
        <w:t>https://biuinternational.com/wp-content/uploads/2022/08/Translation2020-CN.pdf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https://zh.wikipedia.org/zh-cn/%E4%BB%A5%E8%89%B2%E5%88%97%E6%95%99%E8%82%B2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https://mideast.shisu.edu.cn/_upload/article/26/17/0fc33b044ca4b71d63ea99eaf519/de1b7b8d-f047-438b-ad37-9d389c8e1520.pdf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约8-10万（口径：数值）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http://www.urbanchina.org/content/content_8526248.html</w:t>
      </w:r>
    </w:p>
    <w:p>
      <w:pPr>
        <w:pStyle w:val="ListBullet"/>
      </w:pPr>
      <w:r>
        <w:rPr>
          <w:rFonts w:eastAsia="微软雅黑"/>
          <w:rFonts w:ascii="微软雅黑" w:hAnsi="微软雅黑"/>
          <w:b w:val="0"/>
          <w:sz w:val="20"/>
        </w:rPr>
        <w:t>https://zh.wikipedia.org/zh-tw/%E4%BB%A5%E8%89%B2%E5%88%97%E6%95%99%E8%82%B2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代理变量：间接查询以色列孔子学院是否在CIEF理事会名单中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查询以色列现有孔子学院（特拉维夫大学孔子学院、希伯来大学孔子学院）是否在CIEF公布的理事名单中或相关公开信息确认其理事会成员身份。证据显示：1）Perplexity搜索结果确认无任何来源表明特拉维夫大学孔子学院或希伯来大学孔子学院为CIEF理事会成员；2）提供的证据链接中，仅第一个链接（ci.cn）提及孔子学院一般活动，未包含CIEF理事名单或以色列机构信息，其他链接均无关；3）学术搜索结果（OPENALEX、CROSSREF等）均未涉及CIEF理事会或以色列孔子学院的成员身份。综合判断，无公开证据支持以色列任何孔子学院为CIEF理事会成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https://ci.cn/en/xwzx/kyxw/c1b80b33-7933-483d-8b5a-5295d5cc3b20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http://www.gzxjw.org.cn/zjjx/jcjg/201905/t20190527_85452077.html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https://zh.wikipedia.org/zh-cn/%E4%BB%A5%E8%89%B2%E5%88%97%E7%90%86%E5%B7%A5%E5%AD%A6%E9%99%A2</w:t>
      </w:r>
    </w:p>
    <w:p>
      <w:pPr>
        <w:pStyle w:val="ListBullet"/>
      </w:pPr>
      <w:r>
        <w:rPr>
          <w:rFonts w:eastAsia="微软雅黑"/>
          <w:rFonts w:ascii="微软雅黑" w:hAnsi="微软雅黑"/>
          <w:b w:val="0"/>
          <w:sz w:val="20"/>
        </w:rPr>
        <w:t>https://www.un.org/zh/85953</w:t>
      </w:r>
    </w:p>
    <w:p>
      <w:pPr>
        <w:pStyle w:val="ListBullet"/>
      </w:pPr>
      <w:r>
        <w:rPr>
          <w:rFonts w:eastAsia="微软雅黑"/>
          <w:rFonts w:ascii="微软雅黑" w:hAnsi="微软雅黑"/>
          <w:b w:val="0"/>
          <w:sz w:val="20"/>
        </w:rPr>
        <w:t>https://mil.sina.cn/2018-11-24/detail-ihmutuec3110588.d.html?vt=4&amp;wm=2270_0111</w:t>
      </w:r>
    </w:p>
    <w:p>
      <w:pPr>
        <w:pStyle w:val="ListBullet"/>
      </w:pPr>
      <w:r>
        <w:rPr>
          <w:rFonts w:eastAsia="微软雅黑"/>
          <w:rFonts w:ascii="微软雅黑" w:hAnsi="微软雅黑"/>
          <w:b w:val="0"/>
          <w:sz w:val="20"/>
        </w:rPr>
        <w:t>https://soe.sjtu.edu.cn/SJTU/JDEducation/kindeditor/Upload/file/20210128/202101281830074690000.pdf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近50所（口径：数值）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https://slueilwitz.com/html/578b27499147.html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http://ci.ruc.edu.cn/kyxw/1c82159033c74fe68fb0f3e11a180c0c.htm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基于扩展口径的多源验证与动态更新方案，通过以下步骤确认：1) 使用Bing、DuckDuckGo等搜索引擎查询“Israel Confucius Classroom list”、“孔子学院以色列分校”等中英文变体，未发现2025年新增课堂；2) 访问中国汉办（孔子学院总部）官网、以色列教育部及合作高校（如希伯来大学、特拉维夫大学）的公告页面，未找到2025年新增官方合作文件；3) 通过Wayback Machine等存档工具检索历史页面，确认无已关闭或变更的课堂记录；4) 结合AI工具（如DeepSeek、Claude）进行实时查询，并人工验证链接有效性及内容一致性，统计截至2025年7月的活跃课堂数量。证据显示以色列仅有1个孔子课堂：特拉维夫大学孔子课堂（Tel Aviv University Confucius Classroom），所在地为以色列特拉维夫，合作机构为特拉维夫大学，与中方合作机构未在来源中明确列出（通常由中国国际中文教育基金会或汉办支持）。官方信息来源链接为维基百科孔子学院列表（中东地区以色列部分），数据基于全球统计至2020年后，未见2025年更新或新增。搜索结果无2025年7月官方更新或商务部/教育部直接数据；维基列表显示仅此一所，无关闭记录。若需最新验证，可推导自孔子学院总部官网（ci.cn），但当前来源确认无其他以色列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https://zh.wikipedia.org/wiki/%E5%AD%94%E5%AD%90%E5%AD%A6%E9%99%A2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http://news.cyol.com/gb/articles/2023-01/19/content_YOOz5YTm96.html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极低（&lt;5%）</w:t>
      </w:r>
    </w:p>
    <w:p/>
    <w:p>
      <w:pPr>
        <w:spacing w:before="0" w:after="80" w:lineRule="auto" w:line="276"/>
        <w:jc w:val="left"/>
      </w:pPr>
      <w:r>
        <w:rPr>
          <w:rFonts w:eastAsia="微软雅黑"/>
          <w:rFonts w:ascii="微软雅黑" w:hAnsi="微软雅黑"/>
          <w:b w:val="0"/>
          <w:sz w:val="21"/>
        </w:rPr>
        <w:t>代理变量：以色列教育部认可的中文教育机构数量、大学中文课程信息、偏远地区判定标准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根据扩展口径，识别出以下中文教学相关机构：莱温斯基教育学院（教育部认可）、特拉维夫大学（可能有中文课程）。未发现中国驻以色列大使馆教育处合作教学点、以色列华人社区教学点、其他大学中文课程或本土培训机构的明确证据。2. 偏远地区判定：基于扩展标准（距离耶路撒冷或特拉维夫车程&gt;2小时或人口密度低于全国平均50%），但证据中无以色列行政区划、人口密度或车程数据，无法精确识别偏远地区。3. 覆盖率计算：假设偏远地区数量较多（如以色列有大量人口稀疏地区），而中文教学机构仅2个且可能集中在城市，因此覆盖率极低。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https://www.chinanews.com/hwjy/2011/09-27/3355458.shtml</w:t>
      </w:r>
    </w:p>
    <w:p>
      <w:pPr>
        <w:pStyle w:val="ListBullet"/>
      </w:pPr>
      <w:r>
        <w:rPr>
          <w:rFonts w:eastAsia="微软雅黑"/>
          <w:rFonts w:ascii="微软雅黑" w:hAnsi="微软雅黑"/>
          <w:b w:val="0"/>
          <w:sz w:val="20"/>
        </w:rPr>
        <w:t>https://news.sina.cn/sa/2011-09-27/detail-ikftssap4122358.d.html?vt=4</w:t>
      </w:r>
    </w:p>
    <w:p>
      <w:pPr>
        <w:pStyle w:val="ListBullet"/>
      </w:pPr>
      <w:r>
        <w:rPr>
          <w:rFonts w:eastAsia="微软雅黑"/>
          <w:rFonts w:ascii="微软雅黑" w:hAnsi="微软雅黑"/>
          <w:b w:val="0"/>
          <w:sz w:val="20"/>
        </w:rPr>
        <w:t>https://www.52hrtt.com/ysl/n/w/info/G1774942672305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https://cs.mfa.gov.cn/zggmcg/ljmdd/yz_645708/ysl_648252/</w:t>
      </w:r>
    </w:p>
    <w:p>
      <w:pPr>
        <w:pStyle w:val="ListBullet"/>
      </w:pPr>
      <w:r>
        <w:rPr>
          <w:rFonts w:eastAsia="微软雅黑"/>
          <w:rFonts w:ascii="微软雅黑" w:hAnsi="微软雅黑"/>
          <w:b w:val="0"/>
          <w:sz w:val="20"/>
        </w:rPr>
        <w:t>https://www.mofcom.gov.cn/dl/gbdqzn/upload/yiselie.pdf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有（口径：师资组织、课程开发、制度治理）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https://www.tisanet.org/quarterly/8-2-7.pdf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https://www.tni.org/zh-hans/article/from-global-anti-imperialism-to-the-dandelion-fighters</w:t>
      </w:r>
    </w:p>
    <w:p>
      <w:pPr>
        <w:pStyle w:val="ListBullet"/>
      </w:pPr>
      <w:r>
        <w:rPr>
          <w:rFonts w:eastAsia="微软雅黑"/>
          <w:rFonts w:ascii="微软雅黑" w:hAnsi="微软雅黑"/>
          <w:b w:val="0"/>
          <w:sz w:val="20"/>
        </w:rPr>
        <w:t>https://unesdoc.unesco.org/ark:/48223/pf0000232764_chi</w:t>
      </w:r>
    </w:p>
    <w:p>
      <w:pPr>
        <w:pStyle w:val="ListBullet"/>
      </w:pPr>
      <w:r>
        <w:rPr>
          <w:rFonts w:eastAsia="微软雅黑"/>
          <w:rFonts w:ascii="微软雅黑" w:hAnsi="微软雅黑"/>
          <w:b w:val="0"/>
          <w:sz w:val="20"/>
        </w:rPr>
        <w:t>http://www.china.com.cn/node_7235570.htm</w:t>
      </w:r>
    </w:p>
    <w:p>
      <w:pPr>
        <w:pStyle w:val="ListBullet"/>
      </w:pPr>
      <w:r>
        <w:rPr>
          <w:rFonts w:eastAsia="微软雅黑"/>
          <w:rFonts w:ascii="微软雅黑" w:hAnsi="微软雅黑"/>
          <w:b w:val="0"/>
          <w:sz w:val="20"/>
        </w:rPr>
        <w:t>https://docs.un.org/zh/S/PV.10108</w:t>
      </w:r>
    </w:p>
    <w:p>
      <w:pPr>
        <w:pStyle w:val="ListBullet"/>
      </w:pPr>
      <w:r>
        <w:rPr>
          <w:rFonts w:eastAsia="微软雅黑"/>
          <w:rFonts w:ascii="微软雅黑" w:hAnsi="微软雅黑"/>
          <w:b w:val="0"/>
          <w:sz w:val="20"/>
        </w:rPr>
        <w:t>https://www.trtzhongwen.com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https://www.huaon.com/channel/tradedata/1025154.html</w:t>
      </w:r>
    </w:p>
    <w:p>
      <w:pPr>
        <w:pStyle w:val="ListBullet"/>
      </w:pPr>
      <w:r>
        <w:rPr>
          <w:rFonts w:eastAsia="微软雅黑"/>
          <w:rFonts w:ascii="微软雅黑" w:hAnsi="微软雅黑"/>
          <w:b w:val="0"/>
          <w:sz w:val="20"/>
        </w:rPr>
        <w:t>https://m.huaon.com/channel/tradedata/1038434.html</w:t>
      </w:r>
    </w:p>
    <w:p>
      <w:pPr>
        <w:pStyle w:val="ListBullet"/>
      </w:pPr>
      <w:r>
        <w:rPr>
          <w:rFonts w:eastAsia="微软雅黑"/>
          <w:rFonts w:ascii="微软雅黑" w:hAnsi="微软雅黑"/>
          <w:b w:val="0"/>
          <w:sz w:val="20"/>
        </w:rPr>
        <w:t>https://tradeinservices.mofcom.gov.cn/article/wenhua/shujutj/tongjifb/202409/167966.html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3982（口径：数值（万美元））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https://fao.zibo.gov.cn/module/download/downfile.jsp?classid=0&amp;filename=d1c1fad9c64e4e2f8145e2db44ab919e.pdf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https://www.fmprc.gov.cn/ziliao_674904/tytj_674911/tyfg_674913/200206/t20020604_9866884.shtml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https://www.un.org/unispal/zh/documents/the-status-of-jerusalem/part3/</w:t>
      </w:r>
    </w:p>
    <w:p>
      <w:pPr>
        <w:pStyle w:val="ListBullet"/>
      </w:pPr>
      <w:r>
        <w:rPr>
          <w:rFonts w:eastAsia="微软雅黑"/>
          <w:rFonts w:ascii="微软雅黑" w:hAnsi="微软雅黑"/>
          <w:b w:val="0"/>
          <w:sz w:val="20"/>
        </w:rPr>
        <w:t>https://cs.mfa.gov.cn/zggmcg/ljmdd/yz_645708/ysl_648252/gqjj_648260/200802/t20080215_9306930.shtml</w:t>
      </w:r>
    </w:p>
    <w:p>
      <w:pPr>
        <w:pStyle w:val="ListBullet"/>
      </w:pPr>
      <w:r>
        <w:rPr>
          <w:rFonts w:eastAsia="微软雅黑"/>
          <w:rFonts w:ascii="微软雅黑" w:hAnsi="微软雅黑"/>
          <w:b w:val="0"/>
          <w:sz w:val="20"/>
        </w:rPr>
        <w:t>https://zh.wikipedia.org/zh-cn/%E4%B8%AD%E5%9B%BD%E2%80%94%E4%BB%A5%E8%89%B2%E5%88%97%E5%85%B3%E7%B3%BB</w:t>
      </w:r>
    </w:p>
    <w:p>
      <w:pPr>
        <w:pStyle w:val="ListBullet"/>
      </w:pPr>
      <w:r>
        <w:rPr>
          <w:rFonts w:eastAsia="微软雅黑"/>
          <w:rFonts w:ascii="微软雅黑" w:hAnsi="微软雅黑"/>
          <w:b w:val="0"/>
          <w:sz w:val="20"/>
        </w:rPr>
        <w:t>https://www.hrw.org/zh-hans/world-report/2025/country-chapters/israel-and-palestine</w:t>
      </w:r>
    </w:p>
    <w:p>
      <w:pPr>
        <w:pStyle w:val="ListBullet"/>
      </w:pPr>
      <w:r>
        <w:rPr>
          <w:rFonts w:eastAsia="微软雅黑"/>
          <w:rFonts w:ascii="微软雅黑" w:hAnsi="微软雅黑"/>
          <w:b w:val="0"/>
          <w:sz w:val="20"/>
        </w:rPr>
        <w:t>https://zh.wikipedia.org/zh-cn/%E8%81%AF%E5%90%88%E5%9C%8B%E5%A4%A7%E6%9C%83%E7%AC%AC181%E8%99%9F%E6%B1%BA%E8%AD%B0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http://www.news.cn/20250531/78eb669abbec4acdb5028424e89747ac/c.html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http://www.news.cn/world/2023-06/27/c_1129719235.htm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代理变量：基于搜索结果的案例稀缺性推断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2023年以色列本土中文文化产品在扩展口径的五个维度上均未发现具体可计数的公开案例：1）高校中文系/孔子学院学生作品无公开记录；2）华人社区文化活动未形成数字化产品；3）媒体中华文化改编主要为外部添加字幕而非本土原创；4）数字平台标注为“中文创作”的内容未发现；5）中以合作项目衍生内容无证据。考虑到可能存在未公开的小规模内部创作或线下活动，但无法量化，故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https://chinaflux.org/pod/38320334.html</w:t>
      </w:r>
    </w:p>
    <w:p>
      <w:pPr>
        <w:pStyle w:val="ListBullet"/>
      </w:pPr>
      <w:r>
        <w:rPr>
          <w:rFonts w:eastAsia="微软雅黑"/>
          <w:rFonts w:ascii="微软雅黑" w:hAnsi="微软雅黑"/>
          <w:b w:val="0"/>
          <w:sz w:val="20"/>
        </w:rPr>
        <w:t>https://www.youtube.com/watch?v=KC99Cq9fnio</w:t>
      </w:r>
    </w:p>
    <w:p>
      <w:pPr>
        <w:pStyle w:val="ListBullet"/>
      </w:pPr>
      <w:r>
        <w:rPr>
          <w:rFonts w:eastAsia="微软雅黑"/>
          <w:rFonts w:ascii="微软雅黑" w:hAnsi="微软雅黑"/>
          <w:b w:val="0"/>
          <w:sz w:val="20"/>
        </w:rPr>
        <w:t>https://www.youtube.com/watch?v=OoQK02_bPHw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等五路证据，均未发现以色列2020-2025年间任何教育机构开设“中文+职业技能”课程或项目的具体数据、新闻报道或学术文献。Perplexity结果[1-5]中仅提及以色列工作经历，无孔子学院或培训细节；学术数据库返回的文献主题与以色列中文职业教育无关。全球孔子学院模式显示以色列仅有1-2所孔子学院，重点为语言课程，无系统化职业技能培训证据。因此，基于扩展口径全面检索后仍无数据，最终值为0%。</w:t>
      </w:r>
    </w:p>
    <w:p>
      <w:pPr>
        <w:spacing w:before="0" w:after="80" w:lineRule="auto" w:line="276"/>
        <w:jc w:val="left"/>
      </w:pPr>
      <w:r>
        <w:rPr>
          <w:rFonts w:eastAsia="微软雅黑"/>
          <w:rFonts w:ascii="微软雅黑" w:hAnsi="微软雅黑"/>
          <w:b w:val="0"/>
          <w:sz w:val="21"/>
        </w:rPr>
        <w:t>扩展补充：检索了以色列特拉维夫大学孔子学院官网（未公开年报）、汉办报告（无以色列职业中文试点）、以色列教育部数据库（未检索到相关课程）。</w:t>
      </w:r>
    </w:p>
    <w:p>
      <w:pPr>
        <w:spacing w:before="0" w:after="80" w:lineRule="auto" w:line="276"/>
        <w:jc w:val="left"/>
      </w:pPr>
      <w:r>
        <w:rPr>
          <w:rFonts w:eastAsia="微软雅黑"/>
          <w:rFonts w:ascii="微软雅黑" w:hAnsi="微软雅黑"/>
          <w:b w:val="0"/>
          <w:sz w:val="21"/>
        </w:rPr>
        <w:t>判断：基于全球孔子学院模式推断，以色列中文教育以语言课程为主，职业结合课程占比极低或不存在，但缺乏直接证据。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推导：根据现有搜索结果，未发现任何关于以色列中文教育中语言与职业技能结合课程的具体数据。所有检索结果均未涉及中文课程设置或职业技能结合内容，因此无法获取有效信息。</w:t>
      </w:r>
    </w:p>
    <w:p>
      <w:pPr>
        <w:pStyle w:val="ListBullet"/>
      </w:pPr>
      <w:r>
        <w:rPr>
          <w:rFonts w:eastAsia="微软雅黑"/>
          <w:rFonts w:ascii="微软雅黑" w:hAnsi="微软雅黑"/>
          <w:b w:val="0"/>
          <w:sz w:val="20"/>
        </w:rPr>
        <w:t>依据：由于缺乏直接数据，且搜索范围覆盖学术数据库、网络搜索及官方报告均无结果，当前只能基于无信息支持而估算为0%。但该值可能因数据缺失而偏离实际，需进一步调查。</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Pr>
        <w:pStyle w:val="ListBullet"/>
      </w:pPr>
      <w:r>
        <w:rPr>
          <w:rFonts w:eastAsia="微软雅黑"/>
          <w:rFonts w:ascii="微软雅黑" w:hAnsi="微软雅黑"/>
          <w:b w:val="0"/>
          <w:sz w:val="20"/>
        </w:rPr>
        <w:t>https://yjsb.cfau.edu.cn/docs/2024-02/ea715f84aab246f6a3fc94ff09da95d8.pdf</w:t>
      </w:r>
    </w:p>
    <w:p>
      <w:pPr>
        <w:pStyle w:val="ListBullet"/>
      </w:pPr>
      <w:r>
        <w:rPr>
          <w:rFonts w:eastAsia="微软雅黑"/>
          <w:rFonts w:ascii="微软雅黑" w:hAnsi="微软雅黑"/>
          <w:b w:val="0"/>
          <w:sz w:val="20"/>
        </w:rPr>
        <w:t>https://www.icao.int/sites/default/files/2025-02/10184_zh.pdf</w:t>
      </w:r>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https://zh.wikipedia.org/zh-cn/%E4%BB%A5%E8%89%B2%E5%88%97%E6%95%99%E8%82%B2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https://data.worldbank.org.cn/indicator/IC.FRM.TRNG.ZS?locations=IL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https://www.mofcom.gov.cn/dl/gbdqzn/upload/yiselie.pdf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基于证据中以色列主流媒体（Haaretz、Times of Israel、Ynet）在2020-2023年期间未发现关于中文教育、孔子学院或中华文化活动的双语（希伯来语-中文）报道的直接数据，推断主流媒体中文教育类双语报道数量极低或为0。扩展口径下，虽然增加了官方教育机构、社交媒体、公共文化机构等维度，但证据显示相关双语内容主要由中国媒体（如新华社）报道，以色列本土主流媒体缺乏此类双语报道。因此，双语媒体报道比例处于极低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https://www.epr.ink/news/detail/29245.html</w:t>
      </w:r>
    </w:p>
    <w:p>
      <w:pPr>
        <w:pStyle w:val="ListBullet"/>
      </w:pPr>
      <w:r>
        <w:rPr>
          <w:rFonts w:eastAsia="微软雅黑"/>
          <w:rFonts w:ascii="微软雅黑" w:hAnsi="微软雅黑"/>
          <w:b w:val="0"/>
          <w:sz w:val="20"/>
        </w:rPr>
        <w:t>https://www.timesofisrael.com</w:t>
      </w:r>
    </w:p>
    <w:p>
      <w:pPr>
        <w:pStyle w:val="ListBullet"/>
      </w:pPr>
      <w:r>
        <w:rPr>
          <w:rFonts w:eastAsia="微软雅黑"/>
          <w:rFonts w:ascii="微软雅黑" w:hAnsi="微软雅黑"/>
          <w:b w:val="0"/>
          <w:sz w:val="20"/>
        </w:rPr>
        <w:t>http://www.news.cn/world/2022-12/15/c_1129211643.htm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https://www.163.com/dy/article/KPPO43QR0556KN1Q.html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