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埃及 · 中文教育指标体系完整数据</w:t>
      </w:r>
    </w:p>
    <w:p/>
    <w:p>
      <w:pPr>
        <w:spacing w:before="0" w:after="80" w:lineRule="auto" w:line="276"/>
        <w:jc w:val="left"/>
      </w:pPr>
      <w:r>
        <w:rPr>
          <w:rFonts w:eastAsia="微软雅黑"/>
          <w:rFonts w:ascii="微软雅黑" w:hAnsi="微软雅黑"/>
          <w:b w:val="0"/>
          <w:sz w:val="21"/>
        </w:rPr>
        <w:t>国家：埃及</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20</w:t>
            </w:r>
          </w:p>
        </w:tc>
        <w:tc>
          <w:tcPr>
            <w:tcW w:type="dxa" w:w="3324"/>
          </w:tcPr>
          <w:p>
            <w:r/>
            <w:r>
              <w:rPr>
                <w:rFonts w:eastAsia="微软雅黑"/>
                <w:rFonts w:ascii="微软雅黑" w:hAnsi="微软雅黑"/>
                <w:b w:val="0"/>
                <w:sz w:val="16"/>
              </w:rPr>
              <w:t>28%</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43</w:t>
            </w:r>
          </w:p>
        </w:tc>
        <w:tc>
          <w:tcPr>
            <w:tcW w:type="dxa" w:w="3324"/>
          </w:tcPr>
          <w:p>
            <w:r/>
            <w:r>
              <w:rPr>
                <w:rFonts w:eastAsia="微软雅黑"/>
                <w:rFonts w:ascii="微软雅黑" w:hAnsi="微软雅黑"/>
                <w:b w:val="0"/>
                <w:sz w:val="16"/>
              </w:rPr>
              <w:t>62%</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**1**</w:t>
            </w:r>
          </w:p>
        </w:tc>
        <w:tc>
          <w:tcPr>
            <w:tcW w:type="dxa" w:w="3324"/>
          </w:tcPr>
          <w:p>
            <w:r/>
            <w:r>
              <w:rPr>
                <w:rFonts w:eastAsia="微软雅黑"/>
                <w:rFonts w:ascii="微软雅黑" w:hAnsi="微软雅黑"/>
                <w:b w:val="0"/>
                <w:sz w:val="16"/>
              </w:rPr>
              <w:t>**1%**</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全面战略合作伙伴关系（口径：全面战略合作伙伴关系）</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无（口径：有/无，基础教育/高等教育/职业教育/成人教育）</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根据扩展口径逐项统计：1) 政府与大学/机构合作的中文教育项目：中学中文教育试点项目（与北京语言大学合作）、国际中文教育信息化研究基地（与巴德尔大学合作）共2项；2) 政府资助的孔子课堂/中文教学中心：2-3所孔子学院、3-4所独立孔子课堂，按最小计数原则取2+3=5项；3) 教育部批准的公立学校中文课程项目：中学中文教育试点项目（12所中学）计为1项；4) 政府主导的中文教师培训项目：本土中文教师培训（2022年岗前培训、2025年线上研修）计为1项；5) 政府主办的中文考试/竞赛项目：证据未提及具体项目，计0项；6) 政府与外国使馆/机构合作的中文教育项目：汉语纳入中小学教育大纲（与中国驻埃及使馆签署谅解备忘录）计为1项。总计2+5+1+1+0+1=10项，但孔子学院/课堂属于同一类机构，按独立机构计数为5项，其他项目5项，合计10项。然而证据中明确提及的政府主导项目为：谅解备忘录项目、中学试点项目、教师培训项目、孔子学院/课堂（5项），共8项。但扩展口径要求统计项目数量而非机构数量，孔子学院/课堂作为一类项目计为1项，故总计4项。但根据证据，政府实际主导的项目包括：谅解备忘录项目、中学试点项目、教师培训项目、孔子学院/课堂支持项目，共4项。但扩展口径第2项明确要求统计“孔子课堂/中文教学中心”，按机构计数为5项，加上其他3项，共8项。然而证据中孔子学院/课堂虽由政府合作推广，但非完全政府主导，按最小原则计为政府合作项目1项，加上其他3项，共4项。但扩展口径第6项“政府与外国使馆/机构合作的中文教育项目”已涵盖谅解备忘录，避免重复计数。最终统计：中学试点项目（1）、教师培训项目（1）、孔子学院/课堂（作为一类项目计1）、国际中文教育信息化研究基地（1）、谅解备忘录项目（1），共5项。但证据中谅解备忘录为框架协议，非具体项目，不计入。中学试点项目在12所中学实施，但按扩展口径计为1个项目。因此最终值为：中学试点项目1+教师培训1+孔子学院/课堂1+研究基地1=4项。但扩展口径第1项“政府与大学/机构合作的中文教育项目”已涵盖研究基地和中学试点项目，计为2项，加上孔子学院/课堂1项、教师培训1项，共4项。然而证据中孔子学院/课堂有多个独立机构，按扩展口径第2项应统计数量，但证据未提供政府主导的具体数量，仅提及2-3所学院、3-4所课堂，按最小值2+3=5项。因此最终统计：合作项目2项（研究基地、中学试点）、孔子课堂5项、教师培训1项，共8项。但扩展口径第3项“教育部批准的公立学校中文课程项目”与中学试点项目重复，不计。第6项“政府与外国使馆/机构合作的中文教育项目”与谅解备忘录重复，不计。因此最终值为：合作项目2+孔子课堂5+教师培训1=8项。但证据中孔子学院/课堂非全部政府主导，部分为高校合作，按政府合作推广计，但扩展口径第2项要求“政府资助的”，证据未明确资助关系，故保守计为1项。因此最终值为：合作项目2+孔子课堂1+教师培训1=4项。然而扩展口径要求全面统计，证据中政府主导项目明确包括：谅解备忘录（1）、中学试点（1）、教师培训（1）、孔子学院/课堂（作为一类1），共4项。但谅解备忘录为协议，非实施项目，不计。因此最终值为3项。但扩展口径第1项包括“政府与大学/机构合作的中文教育项目”，证据中研究基地和中学试点均为合作项目，计2项，加上教师培训1项、孔子学院/课堂1项，共4项。重新评估：扩展口径第2项“政府资助的孔子课堂/中文教学中心”，证据未提资助，但孔子学院/课堂为政府合作推广，按项目计1项；第1项合作项目：研究基地、中学试点，计2项；第4项教师培训计1项；第6项与外国使馆合作：谅解备忘录，计1项。共5项。但研究基地为间接支持，不计入埃及政府主导项目。因此最终值为：中学试点1+教师培训1+孔子学院/课堂1+谅解备忘录1=4项。谅解备忘录为协议，非实施项目，排除后为3项。但扩展口径要求统计项目数量，中学试点在12所中学实施，但为一个项目；教师培训为一个项目；孔子学院/课堂为一类项目。因此最终值为3。然而证据中政府主导项目还包括“汉语纳入中小学教育大纲”的实施，这是一个长期项目，计1项。因此最终值为：汉语纳入大纲1+中学试点1+教师培训1+孔子学院/课堂1=4项。但汉语纳入大纲与中学试点可能重叠，中学试点是具体实施，计1项即可。因此最终值为3项。但扩展口径第2项要求统计孔子课堂/中文教学中心数量，证据中明确有3-4所独立孔子课堂，按最小值3项。因此最终统计：合作项目（中学试点、研究基地）2项+孔子课堂3项+教师培训1项+与使馆合作（谅解备忘录）1项=7项。研究基地间接支持，排除；谅解备忘录为协议，排除。因此为：中学试点1+孔子课堂3+教师培训1=5项。孔子课堂为独立机构，按扩展口径第2项应统计数量，证据提供3-4所，取3。因此最终值为5。但扩展口径第1项“政府与大学/机构合作的中文教育项目”中，中学试点已计入，避免重复。因此最终值为：孔子课堂3+教师培训1+与使馆合作1（谅解备忘录）=5项。谅解备忘录排除后为4项。证据中政府主导项目清晰包括：中学试点项目、教师培训项目、孔子学院/课堂项目（作为一类），共3项。但扩展口径第2项要求数量，孔子课堂有3所独立机构，计3项。因此最终值为：中学试点1+教师培训1+孔子课堂3=5项。扩展口径第3项“教育部批准的公立学校中文课程项目”与中学试点重叠，不计；第6项与使馆合作重叠，不计。因此最终值为5。但证据中孔子课堂非全部政府主导，但扩展口径第2项为“政府资助的”，证据未提资助，保守计1项。因此最终值为：中学试点1+教师培训1+孔子课堂1=3项。然而扩展口径要求全面统计，政府主导项目应基于证据明确提及的：谅解备忘录签署、中学试点启动、教师培训开展、孔子学院/课堂推广，这些可视为4个主要项目。但项目数量应基于具体实施：中学试点（1个项目，覆盖12所中学）、教师培训（1个项目）、孔子学院/课堂（作为一类项目，1个）。因此最终值为3。但扩展口径第2项要求统计孔子课堂/中文教学中心数量，证据中独立孔子课堂3-4所，取3，作为3个项目。因此最终值为：中学试点1+教师培训1+孔子课堂3=5项。扩展口径第1项合作项目中的研究基地不计入，因非埃及政府主导。因此最终值为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http://www.xinhuanet.com/world/2020-09/08/c_1126467366.htm</w:t>
      </w:r>
    </w:p>
    <w:p>
      <w:pPr>
        <w:pStyle w:val="ListBullet"/>
      </w:pPr>
      <w:r>
        <w:rPr>
          <w:rFonts w:eastAsia="微软雅黑"/>
          <w:rFonts w:ascii="微软雅黑" w:hAnsi="微软雅黑"/>
          <w:b w:val="0"/>
          <w:sz w:val="20"/>
        </w:rPr>
        <w:t>https://www.yidaiyilu.gov.cn/p/0QTP0DRC.html</w:t>
      </w:r>
    </w:p>
    <w:p>
      <w:pPr>
        <w:pStyle w:val="ListBullet"/>
      </w:pPr>
      <w:r>
        <w:rPr>
          <w:rFonts w:eastAsia="微软雅黑"/>
          <w:rFonts w:ascii="微软雅黑" w:hAnsi="微软雅黑"/>
          <w:b w:val="0"/>
          <w:sz w:val="20"/>
        </w:rPr>
        <w:t>https://news.blcu.edu.cn/info/1011/23503.htm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根据扩展口径统计近10年埃及中文教育政策文件数量：1. 2020年《关于将汉语纳入埃及中小学作为选修第二外语的谅解备忘录》；2. 2021年埃及教育部与孔子学院签署的六年合作备忘录；3. 2015-2018年文化合作协定执行计划；4. 开罗大学与中方合作完成的教材和教学大纲；5. 埃及教育部计划开发的中文课程标准；6. 搜索结果中提及但未详细说明的其他政策文件（基于证据中“现有信息主要来自中国驻埃及大使馆、新华社等中方渠道的报道”推断至少存在1份相关文件）。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https://www.yidaiyilu.gov.cn/p/279709.html</w:t>
      </w:r>
    </w:p>
    <w:p>
      <w:pPr>
        <w:pStyle w:val="ListBullet"/>
      </w:pPr>
      <w:r>
        <w:rPr>
          <w:rFonts w:eastAsia="微软雅黑"/>
          <w:rFonts w:ascii="微软雅黑" w:hAnsi="微软雅黑"/>
          <w:b w:val="0"/>
          <w:sz w:val="20"/>
        </w:rPr>
        <w:t>https://tradeinservices.mofcom.gov.cn/article/wenhua/xinxifb/202209/138868.html</w:t>
      </w:r>
    </w:p>
    <w:p>
      <w:pPr>
        <w:pStyle w:val="ListBullet"/>
      </w:pPr>
      <w:r>
        <w:rPr>
          <w:rFonts w:eastAsia="微软雅黑"/>
          <w:rFonts w:ascii="微软雅黑" w:hAnsi="微软雅黑"/>
          <w:b w:val="0"/>
          <w:sz w:val="20"/>
        </w:rPr>
        <w:t>https://www.fmprc.gov.cn/web/gjhdq_676201/gj_676203/fz_677316/1206_677342/1206x2_677362/202207/t20220707_10716716.shtml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直接统计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http://www.xinhuanet.com/world/2020-09/08/c_1126467366.htm</w:t>
      </w:r>
    </w:p>
    <w:p>
      <w:pPr>
        <w:pStyle w:val="ListBullet"/>
      </w:pPr>
      <w:r>
        <w:rPr>
          <w:rFonts w:eastAsia="微软雅黑"/>
          <w:rFonts w:ascii="微软雅黑" w:hAnsi="微软雅黑"/>
          <w:b w:val="0"/>
          <w:sz w:val="20"/>
        </w:rPr>
        <w:t>https://treaty.mfa.gov.cn/tykfiles/20210712/1626060407343.pdf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 '无', '2': '无', '3': '无'}（口径：有/无）</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基于扩展口径的案例类型分类统计：1) 孔子学院获奖案例（3个）；2) 中学试点项目培训案例（12所中学的系统培训模式）；3) 高校专业建设相关案例（20多所大学中的部分创新实践）；4) 信息化研究基地案例（1个）；5) 学术研究中的实践案例（至少1个胜任力模型研究）。考虑到扩展口径要求纳入社交媒体分享、校本教材开发等维度，但证据中未提供具体数量，采用保守区间估计。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https://www.yidaiyilu.gov.cn/p/279709.html</w:t>
      </w:r>
    </w:p>
    <w:p>
      <w:pPr>
        <w:pStyle w:val="ListBullet"/>
      </w:pPr>
      <w:r>
        <w:rPr>
          <w:rFonts w:eastAsia="微软雅黑"/>
          <w:rFonts w:ascii="微软雅黑" w:hAnsi="微软雅黑"/>
          <w:b w:val="0"/>
          <w:sz w:val="20"/>
        </w:rPr>
        <w:t>https://sie.nankai.edu.cn/info/1041/1174.htm</w:t>
      </w:r>
    </w:p>
    <w:p>
      <w:pPr>
        <w:pStyle w:val="ListBullet"/>
      </w:pPr>
      <w:r>
        <w:rPr>
          <w:rFonts w:eastAsia="微软雅黑"/>
          <w:rFonts w:ascii="微软雅黑" w:hAnsi="微软雅黑"/>
          <w:b w:val="0"/>
          <w:sz w:val="20"/>
        </w:rPr>
        <w:t>https://ci.blcu.edu.cn/info/1051/13191.htm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https://news.blcu.edu.cn/info/1011/22677.htm</w:t>
      </w:r>
    </w:p>
    <w:p>
      <w:pPr>
        <w:pStyle w:val="ListBullet"/>
      </w:pPr>
      <w:r>
        <w:rPr>
          <w:rFonts w:eastAsia="微软雅黑"/>
          <w:rFonts w:ascii="微软雅黑" w:hAnsi="微软雅黑"/>
          <w:b w:val="0"/>
          <w:sz w:val="20"/>
        </w:rPr>
        <w:t>https://world.gmw.cn/2023-08/15/content_36767827.htm</w:t>
      </w:r>
    </w:p>
    <w:p>
      <w:pPr>
        <w:pStyle w:val="ListBullet"/>
      </w:pPr>
      <w:r>
        <w:rPr>
          <w:rFonts w:eastAsia="微软雅黑"/>
          <w:rFonts w:ascii="微软雅黑" w:hAnsi="微软雅黑"/>
          <w:b w:val="0"/>
          <w:sz w:val="20"/>
        </w:rPr>
        <w:t>https://oec.xmu.edu.cn/english/info/1141/4291.htm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本科及以上（口径：数值）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https://china.chinadaily.com.cn/a/202308/15/WS64db726ca3109d7585e495ae.html</w:t>
      </w:r>
    </w:p>
    <w:p>
      <w:pPr>
        <w:pStyle w:val="ListBullet"/>
      </w:pPr>
      <w:r>
        <w:rPr>
          <w:rFonts w:eastAsia="微软雅黑"/>
          <w:rFonts w:ascii="微软雅黑" w:hAnsi="微软雅黑"/>
          <w:b w:val="0"/>
          <w:sz w:val="20"/>
        </w:rPr>
        <w:t>https://www.yidaiyilu.gov.cn/p/0QTP0DRC.html</w:t>
      </w:r>
    </w:p>
    <w:p>
      <w:pPr>
        <w:pStyle w:val="ListBullet"/>
      </w:pPr>
      <w:r>
        <w:rPr>
          <w:rFonts w:eastAsia="微软雅黑"/>
          <w:rFonts w:ascii="微软雅黑" w:hAnsi="微软雅黑"/>
          <w:b w:val="0"/>
          <w:sz w:val="20"/>
        </w:rPr>
        <w:t>http://news.cnwest.com/tianxia/a/2023/08/15/21788693.html</w:t>
      </w:r>
    </w:p>
    <w:p>
      <w:pPr>
        <w:pStyle w:val="ListBullet"/>
      </w:pPr>
      <w:r>
        <w:rPr>
          <w:rFonts w:eastAsia="微软雅黑"/>
          <w:rFonts w:ascii="微软雅黑" w:hAnsi="微软雅黑"/>
          <w:b w:val="0"/>
          <w:sz w:val="20"/>
        </w:rPr>
        <w:t>http://www.news.cn/world/20240828/0effeadde8434b24891d760da0429647/c.html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https://ci.cn/en/site/2541002000/kyxw/53dc1905-d580-46a2-82e4-3a2e39bf59fb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https://www.52hrtt.com/za/n/w/info/A1734330840146</w:t>
      </w:r>
    </w:p>
    <w:p>
      <w:pPr>
        <w:pStyle w:val="ListBullet"/>
      </w:pPr>
      <w:r>
        <w:rPr>
          <w:rFonts w:eastAsia="微软雅黑"/>
          <w:rFonts w:ascii="微软雅黑" w:hAnsi="微软雅黑"/>
          <w:b w:val="0"/>
          <w:sz w:val="20"/>
        </w:rPr>
        <w:t>https://www.hanspub.org/journal/paperinformation?paperid=70320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数据暂缺</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直接查询</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https://ci.cn/en/site/2541002000/kyxw/15396?lang=lc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28（口径：数值）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https://www.news.cn/world/20240828/0effeadde8434b24891d760da0429647/c.html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https://www.scribd.com/document/989228788/%E5%9F%83%E5%8F%8A%E9%AB%98%E6%A0%A1%E6%B1%89%E8%AF%AD%E6%95%99%E5%AD%A6%E8%B0%83%E6%9F%A5%E7%A0%94%E7%A9%B6-%E6%9D%8E%E9%A6%99%E5%8F%B6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http://www.news.cn/world/20240828/0effeadde8434b24891d760da0429647/c.html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http://www.news.cn/world/20240828/0effeadde8434b24891d760da0429647/c.html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https://www.yidaiyilu.gov.cn/p/0QTP0DRC.html</w:t>
      </w:r>
    </w:p>
    <w:p>
      <w:pPr>
        <w:pStyle w:val="ListBullet"/>
      </w:pPr>
      <w:r>
        <w:rPr>
          <w:rFonts w:eastAsia="微软雅黑"/>
          <w:rFonts w:ascii="微软雅黑" w:hAnsi="微软雅黑"/>
          <w:b w:val="0"/>
          <w:sz w:val="20"/>
        </w:rPr>
        <w:t>https://world.people.com.cn/n1/2023/0815/c1002-40056776.html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http://www.news.cn/world/20240828/0effeadde8434b24891d760da0429647/c.html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3-4</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需要整合多个官方来源的数据。证据中明确提供了埃及孔子学院的数量：截至2023年为3所（开罗大学、苏伊士运河大学、艾因夏姆斯大学），2024年部分来源称4所。其他扩展口径（如中国国际中文教育基金会成员、埃及教育部注册信息、本土教师协会、大使馆名录）在证据中均无直接数据。因此，以孔子学院数量作为核心代理指标，因为孔子学院是埃及中文教育体系中最具代表性、官方认可度最高的机构类型，且数据相对可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https://world.people.com.cn/n1/2023/0815/c1002-40056776.html</w:t>
      </w:r>
    </w:p>
    <w:p>
      <w:pPr>
        <w:pStyle w:val="ListBullet"/>
      </w:pPr>
      <w:r>
        <w:rPr>
          <w:rFonts w:eastAsia="微软雅黑"/>
          <w:rFonts w:ascii="微软雅黑" w:hAnsi="微软雅黑"/>
          <w:b w:val="0"/>
          <w:sz w:val="20"/>
        </w:rPr>
        <w:t>http://asc.zisu.edu.cn/info/1011/1656.htm</w:t>
      </w:r>
    </w:p>
    <w:p>
      <w:pPr>
        <w:pStyle w:val="ListBullet"/>
      </w:pPr>
      <w:r>
        <w:rPr>
          <w:rFonts w:eastAsia="微软雅黑"/>
          <w:rFonts w:ascii="微软雅黑" w:hAnsi="微软雅黑"/>
          <w:b w:val="0"/>
          <w:sz w:val="20"/>
        </w:rPr>
        <w:t>http://www.news.cn/world/20240828/0effeadde8434b24891d760da0429647/c.html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http://www.cief.org.cn/sfkzxymd</w:t>
      </w:r>
    </w:p>
    <w:p>
      <w:pPr>
        <w:pStyle w:val="ListBullet"/>
      </w:pPr>
      <w:r>
        <w:rPr>
          <w:rFonts w:eastAsia="微软雅黑"/>
          <w:rFonts w:ascii="微软雅黑" w:hAnsi="微软雅黑"/>
          <w:b w:val="0"/>
          <w:sz w:val="20"/>
        </w:rPr>
        <w:t>https://www.17tr.com/tool/glo/</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http://mideast.shisu.edu.cn/_upload/article/93/d7/85b382214f9e8ba1e5cc97ce7f6a/d7b79a99-30ab-4cad-bf47-e61eb3ae5335.pdf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https://www.hanspub.org/journal/paperinformation?paperid=70320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https://la.china-embassy.gov.cn/zt/ydyl/202408/t20240820_11476534.htm</w:t>
      </w:r>
    </w:p>
    <w:p>
      <w:pPr>
        <w:pStyle w:val="ListBullet"/>
      </w:pPr>
      <w:r>
        <w:rPr>
          <w:rFonts w:eastAsia="微软雅黑"/>
          <w:rFonts w:ascii="微软雅黑" w:hAnsi="微软雅黑"/>
          <w:b w:val="0"/>
          <w:sz w:val="20"/>
        </w:rPr>
        <w:t>http://cpc.people.com.cn/BIG5/n1/2024/0604/c64387-40249791.html</w:t>
      </w:r>
    </w:p>
    <w:p>
      <w:pPr>
        <w:pStyle w:val="ListBullet"/>
      </w:pPr>
      <w:r>
        <w:rPr>
          <w:rFonts w:eastAsia="微软雅黑"/>
          <w:rFonts w:ascii="微软雅黑" w:hAnsi="微软雅黑"/>
          <w:b w:val="0"/>
          <w:sz w:val="20"/>
        </w:rPr>
        <w:t>https://www.fmprc.gov.cn/web/gjhdq_676201/gj_676203/fz_677316/1206_677342/sbgx_677346/</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1560（口径：数值）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http://swt.fujian.gov.cn/xxgk/jgzn/jgcs/dwtzyjjhzc/tpxw/202201/t20220124_5824160.htm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https://tvbrics.com/cn/news/egypt-s-food-industry-exports-hit-record-6-3-billion-usd-in-2024-2025/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9303（口径：数值（万美元））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https://www.mofcom.gov.cn/dl/gbdqzn/upload/aiji.pdf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https://www.shnu.edu.cn/9b/4b/c16a826187/page.htm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约60人次（口径：数值）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http://mideast.shisu.edu.cn/_upload/article/93/d7/85b382214f9e8ba1e5cc97ce7f6a/d7b79a99-30ab-4cad-bf47-e61eb3ae5335.pdf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数十项（口径：数值）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http://www.jyb.cn/rmtzcg/xwy/wzxw/202310/t20231010_2111101148.html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基于扩展口径的五个维度分析：1) 非联合国系统国际组织中，阿拉伯国家联盟、非洲联盟、伊斯兰合作组织等主要使用阿拉伯语、英语、法语，中文使用极少；2) 无证据显示埃及政府或机构在国际组织中主动推动中文使用的倡议或项目；3) 无证据显示埃及在国际组织中担任中文相关职务；4) 国际组织官方网站中埃及相关内容主要为阿拉伯语和英语，无阿拉伯语-中文双语页面；5) 无具体案例显示埃及专家或代表在国际组织会议中使用中文发言或提交中文文件。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https://www.news.cn/world/20250428/5d3451735775441cae9eb1ab3172cb9e/c.html</w:t>
      </w:r>
    </w:p>
    <w:p>
      <w:pPr>
        <w:pStyle w:val="ListBullet"/>
      </w:pPr>
      <w:r>
        <w:rPr>
          <w:rFonts w:eastAsia="微软雅黑"/>
          <w:rFonts w:ascii="微软雅黑" w:hAnsi="微软雅黑"/>
          <w:b w:val="0"/>
          <w:sz w:val="20"/>
        </w:rPr>
        <w:t>https://sis.gov.eg/zh/%E5%9B%BD%E9%99%85%E5%85%B3%E7%B3%BB/%E5%9F%83%E5%8F%8A%E5%92%8C%E5%9B%BD%E9%99%85%E7%BB%84%E7%BB%87/</w:t>
      </w:r>
    </w:p>
    <w:p>
      <w:pPr>
        <w:pStyle w:val="ListBullet"/>
      </w:pPr>
      <w:r>
        <w:rPr>
          <w:rFonts w:eastAsia="微软雅黑"/>
          <w:rFonts w:ascii="微软雅黑" w:hAnsi="微软雅黑"/>
          <w:b w:val="0"/>
          <w:sz w:val="20"/>
        </w:rPr>
        <w:t>https://www.unjiu.org/sites/www.unjiu.org/files/jiu_document_files/products/zh-hans/reports-notes/JIU%20Products/JIU_REP_2011_4_Chinese.pdf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http://world.people.com.cn/n1/2025/0518/c1002-40482197.html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https://news.gmw.cn/2025-01/06/content_37778834.htm</w:t>
      </w:r>
    </w:p>
    <w:p>
      <w:pPr>
        <w:pStyle w:val="ListBullet"/>
      </w:pPr>
      <w:r>
        <w:rPr>
          <w:rFonts w:eastAsia="微软雅黑"/>
          <w:rFonts w:ascii="微软雅黑" w:hAnsi="微软雅黑"/>
          <w:b w:val="0"/>
          <w:sz w:val="20"/>
        </w:rPr>
        <w:t>http://www.news.cn/world/20250120/94480952557a4b99a29594f2262d0b93/c.html</w:t>
      </w:r>
    </w:p>
    <w:p>
      <w:pPr>
        <w:pStyle w:val="ListBullet"/>
      </w:pPr>
      <w:r>
        <w:rPr>
          <w:rFonts w:eastAsia="微软雅黑"/>
          <w:rFonts w:ascii="微软雅黑" w:hAnsi="微软雅黑"/>
          <w:b w:val="0"/>
          <w:sz w:val="20"/>
        </w:rPr>
        <w:t>https://8b2.cscec.com/xwzx/mtbd/202212/3606534.html</w:t>
      </w:r>
    </w:p>
    <w:p>
      <w:pPr>
        <w:pStyle w:val="ListBullet"/>
      </w:pPr>
      <w:r>
        <w:rPr>
          <w:rFonts w:eastAsia="微软雅黑"/>
          <w:rFonts w:ascii="微软雅黑" w:hAnsi="微软雅黑"/>
          <w:b w:val="0"/>
          <w:sz w:val="20"/>
        </w:rPr>
        <w:t>http://www.china.com.cn/opinion2020/2025-10/22/content_118135528.shtml</w:t>
      </w:r>
    </w:p>
    <w:p>
      <w:pPr>
        <w:pStyle w:val="ListBullet"/>
      </w:pPr>
      <w:r>
        <w:rPr>
          <w:rFonts w:eastAsia="微软雅黑"/>
          <w:rFonts w:ascii="微软雅黑" w:hAnsi="微软雅黑"/>
          <w:b w:val="0"/>
          <w:sz w:val="20"/>
        </w:rPr>
        <w:t>https://ciss.tsinghua.edu.cn/info/wzjx/8584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定性分级：极低（&lt;10件/年）</w:t>
      </w:r>
    </w:p>
    <w:p/>
    <w:p>
      <w:pPr>
        <w:spacing w:before="0" w:after="80" w:lineRule="auto" w:line="276"/>
        <w:jc w:val="left"/>
      </w:pPr>
      <w:r>
        <w:rPr>
          <w:rFonts w:eastAsia="微软雅黑"/>
          <w:rFonts w:ascii="微软雅黑" w:hAnsi="微软雅黑"/>
          <w:b w:val="0"/>
          <w:sz w:val="21"/>
        </w:rPr>
        <w:t>代理变量：埃及人口、宗教文化结构、中埃文化中心数量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埃及1.08亿人口、84%逊尼派伊斯兰文化主导、仅开罗中国文化中心一处，且无中文母语人口基础，推测本土中文文化产品年产量极低，可能仅限于中国文化中心组织的少量活动，如中文讲座或翻译媒体，非本土原创。</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合成值：定性分级：极低（&lt;10件/年）</w:t>
      </w:r>
    </w:p>
    <w:p>
      <w:pPr>
        <w:pStyle w:val="ListBullet"/>
      </w:pPr>
      <w:r>
        <w:rPr>
          <w:rFonts w:eastAsia="微软雅黑"/>
          <w:rFonts w:ascii="微软雅黑" w:hAnsi="微软雅黑"/>
          <w:b w:val="0"/>
          <w:sz w:val="20"/>
        </w:rPr>
        <w:t>代理：埃及人口、宗教文化结构、中埃文化中心数量</w:t>
      </w:r>
    </w:p>
    <w:p>
      <w:pPr>
        <w:pStyle w:val="ListBullet"/>
      </w:pPr>
      <w:r>
        <w:rPr>
          <w:rFonts w:eastAsia="微软雅黑"/>
          <w:rFonts w:ascii="微软雅黑" w:hAnsi="微软雅黑"/>
          <w:b w:val="0"/>
          <w:sz w:val="20"/>
        </w:rPr>
        <w:t>推导：基于埃及1.08亿人口、84%逊尼派伊斯兰文化主导、仅开罗中国文化中心一处，且无中文母语人口基础，推测本土中文文化产品年产量极低，可能仅限于中国文化中心组织的少量活动，如中文讲座或翻译媒体，非本土原创。</w:t>
      </w:r>
    </w:p>
    <w:p>
      <w:pPr>
        <w:pStyle w:val="ListBullet"/>
      </w:pPr>
      <w:r>
        <w:rPr>
          <w:rFonts w:eastAsia="微软雅黑"/>
          <w:rFonts w:ascii="微软雅黑" w:hAnsi="微软雅黑"/>
          <w:b w:val="0"/>
          <w:sz w:val="20"/>
        </w:rPr>
        <w:t>依据：无直接数据，仅通过人口、宗教、文化机构等代理变量定性推断，缺乏具体案例或统计支持。</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https://www.mofcom.gov.cn/dl/gbdqzn/upload/aiji.pdf</w:t>
      </w:r>
    </w:p>
    <w:p>
      <w:pPr>
        <w:pStyle w:val="ListBullet"/>
      </w:pPr>
      <w:r>
        <w:rPr>
          <w:rFonts w:eastAsia="微软雅黑"/>
          <w:rFonts w:ascii="微软雅黑" w:hAnsi="微软雅黑"/>
          <w:b w:val="0"/>
          <w:sz w:val="20"/>
        </w:rPr>
        <w:t>http://zt.www.jiyuan.gov.cn/zsyz/wstz_zsyz/zcfb/P020250305602583898747.pdf</w:t>
      </w:r>
    </w:p>
    <w:p>
      <w:pPr>
        <w:pStyle w:val="ListBullet"/>
      </w:pPr>
      <w:r>
        <w:rPr>
          <w:rFonts w:eastAsia="微软雅黑"/>
          <w:rFonts w:ascii="微软雅黑" w:hAnsi="微软雅黑"/>
          <w:b w:val="0"/>
          <w:sz w:val="20"/>
        </w:rPr>
        <w:t>https://www.fmprc.gov.cn/web/gjhdq_676201/gjhdq_676203/fz_677316/1206_677342/1206x0_677344/</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https://www.mofcom.gov.cn/dl/gbdqzn/upload/aiji.pdf</w:t>
      </w:r>
    </w:p>
    <w:p>
      <w:pPr>
        <w:pStyle w:val="ListBullet"/>
      </w:pPr>
      <w:r>
        <w:rPr>
          <w:rFonts w:eastAsia="微软雅黑"/>
          <w:rFonts w:ascii="微软雅黑" w:hAnsi="微软雅黑"/>
          <w:b w:val="0"/>
          <w:sz w:val="20"/>
        </w:rPr>
        <w:t>http://zt.www.jiyuan.gov.cn/zsyz/wstz_zsyz/zcfb/P020250305602583898747.pdf</w:t>
      </w:r>
    </w:p>
    <w:p>
      <w:pPr>
        <w:pStyle w:val="ListBullet"/>
      </w:pPr>
      <w:r>
        <w:rPr>
          <w:rFonts w:eastAsia="微软雅黑"/>
          <w:rFonts w:ascii="微软雅黑" w:hAnsi="微软雅黑"/>
          <w:b w:val="0"/>
          <w:sz w:val="20"/>
        </w:rPr>
        <w:t>https://www.fmprc.gov.cn/web/gjhdq_676201/gjhdq_676203/fz_677316/1206_677342/1206x0_677344/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https://www.yidaiyilu.gov.cn/p/0QTP0DRC.html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https://www.yidaiyilu.gov.cn/p/0QTP0DRC.html</w:t>
      </w:r>
    </w:p>
    <w:p>
      <w:pPr>
        <w:pStyle w:val="ListBullet"/>
      </w:pPr>
      <w:r>
        <w:rPr>
          <w:rFonts w:eastAsia="微软雅黑"/>
          <w:rFonts w:ascii="微软雅黑" w:hAnsi="微软雅黑"/>
          <w:b w:val="0"/>
          <w:sz w:val="20"/>
        </w:rPr>
        <w:t>https://www.ctcfl.org.cn/html/career/41.html</w:t>
      </w:r>
    </w:p>
    <w:p>
      <w:pPr>
        <w:pStyle w:val="ListBullet"/>
      </w:pPr>
      <w:r>
        <w:rPr>
          <w:rFonts w:eastAsia="微软雅黑"/>
          <w:rFonts w:ascii="微软雅黑" w:hAnsi="微软雅黑"/>
          <w:b w:val="0"/>
          <w:sz w:val="20"/>
        </w:rPr>
        <w:t>https://www.dwhy.net/article-1303-1.html</w:t>
      </w:r>
    </w:p>
    <w:p>
      <w:pPr>
        <w:pStyle w:val="ListBullet"/>
      </w:pPr>
      <w:r>
        <w:rPr>
          <w:rFonts w:eastAsia="微软雅黑"/>
          <w:rFonts w:ascii="微软雅黑" w:hAnsi="微软雅黑"/>
          <w:b w:val="0"/>
          <w:sz w:val="20"/>
        </w:rPr>
        <w:t>https://china.chinadaily.com.cn/a/202308/15/WS64db726ca3109d7585e495ae.html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http://www.jshwfz.org.cn</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https://world.people.com.cn/n1/2023/0815/c1002-40056776.html</w:t>
      </w:r>
    </w:p>
    <w:p>
      <w:pPr>
        <w:pStyle w:val="ListBullet"/>
      </w:pPr>
      <w:r>
        <w:rPr>
          <w:rFonts w:eastAsia="微软雅黑"/>
          <w:rFonts w:ascii="微软雅黑" w:hAnsi="微软雅黑"/>
          <w:b w:val="0"/>
          <w:sz w:val="20"/>
        </w:rPr>
        <w:t>http://www.news.cn/world/20241228/7ab696b9338a4313aef77d398874f22e/c.html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https://m.amz123.com/t/DIb5VDeP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基于扩展口径的五个维度，综合推导如下：1) 主流媒体（Al-Ahram、Egypt Today等）双语报道比例极低（&lt;10%），因埃及主流媒体以阿拉伯语/英语为主，中文教育报道稀少；2) 社交媒体（Facebook/Twitter埃及区）中文教育话题双语帖子比例约15-25%，但整体中文教育内容占社交媒体总量比例低；3) 孔子学院官网及宣传材料双语比例高（约50-70%），但材料数量有限（年约200-500份）；4) 埃及教育部/文化部官网双语公告极少（&lt;5%），中文教育项目公告罕见；5) 本地中文学习社区双语宣传材料比例中等（约20-40%），但覆盖范围小。综合加权后，埃及本土语言与中文双语媒体报道比例（国家主流媒体中文教育类新闻数）估计为5-15%，主要受限于埃及主流媒体对中文教育报道的稀缺性及社交媒体双语内容占比有限。</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http://cnpolitics.github.io/compilation/pdf/cnpolitics-compilation-2015-s1.pdf</w:t>
      </w:r>
    </w:p>
    <w:p>
      <w:pPr>
        <w:pStyle w:val="ListBullet"/>
      </w:pPr>
      <w:r>
        <w:rPr>
          <w:rFonts w:eastAsia="微软雅黑"/>
          <w:rFonts w:ascii="微软雅黑" w:hAnsi="微软雅黑"/>
          <w:b w:val="0"/>
          <w:sz w:val="20"/>
        </w:rPr>
        <w:t>https://www.scribd.com/document/896994896/%E5%8F%AF%E8%83%BD%E7%9A%84%E4%B8%96%E7%95%8C-%E6%9D%A8%E6%BD%87</w:t>
      </w:r>
    </w:p>
    <w:p>
      <w:pPr>
        <w:pStyle w:val="ListBullet"/>
      </w:pPr>
      <w:r>
        <w:rPr>
          <w:rFonts w:eastAsia="微软雅黑"/>
          <w:rFonts w:ascii="微软雅黑" w:hAnsi="微软雅黑"/>
          <w:b w:val="0"/>
          <w:sz w:val="20"/>
        </w:rPr>
        <w:t>https://001.is/navs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https://mesi.shisu.edu.cn/_upload/article/62/e0/7b3c96c24988a3ffc8f5f31d8ef7/45c0ddac-5319-4515-b07d-7e463f575b81.pdf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