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拉脱维亚 · 中文教育指标体系完整数据</w:t>
      </w:r>
    </w:p>
    <w:p/>
    <w:p>
      <w:pPr>
        <w:spacing w:before="0" w:after="80" w:lineRule="auto" w:line="276"/>
        <w:jc w:val="left"/>
      </w:pPr>
      <w:r>
        <w:rPr>
          <w:rFonts w:eastAsia="微软雅黑"/>
          <w:rFonts w:ascii="微软雅黑" w:hAnsi="微软雅黑"/>
          <w:b w:val="0"/>
          <w:sz w:val="21"/>
        </w:rPr>
        <w:t>国家：拉脱维亚</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35</w:t>
            </w:r>
          </w:p>
        </w:tc>
        <w:tc>
          <w:tcPr>
            <w:tcW w:type="dxa" w:w="3324"/>
          </w:tcPr>
          <w:p>
            <w:r/>
            <w:r>
              <w:rPr>
                <w:rFonts w:eastAsia="微软雅黑"/>
                <w:rFonts w:ascii="微软雅黑" w:hAnsi="微软雅黑"/>
                <w:b w:val="0"/>
                <w:sz w:val="16"/>
              </w:rPr>
              <w:t>50%</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27</w:t>
            </w:r>
          </w:p>
        </w:tc>
        <w:tc>
          <w:tcPr>
            <w:tcW w:type="dxa" w:w="3324"/>
          </w:tcPr>
          <w:p>
            <w:r/>
            <w:r>
              <w:rPr>
                <w:rFonts w:eastAsia="微软雅黑"/>
                <w:rFonts w:ascii="微软雅黑" w:hAnsi="微软雅黑"/>
                <w:b w:val="0"/>
                <w:sz w:val="16"/>
              </w:rPr>
              <w:t>39%</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7</w:t>
            </w:r>
          </w:p>
        </w:tc>
        <w:tc>
          <w:tcPr>
            <w:tcW w:type="dxa" w:w="3324"/>
          </w:tcPr>
          <w:p>
            <w:r/>
            <w:r>
              <w:rPr>
                <w:rFonts w:eastAsia="微软雅黑"/>
                <w:rFonts w:ascii="微软雅黑" w:hAnsi="微软雅黑"/>
                <w:b w:val="0"/>
                <w:sz w:val="16"/>
              </w:rPr>
              <w:t>10%</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**4**</w:t>
            </w:r>
          </w:p>
        </w:tc>
        <w:tc>
          <w:tcPr>
            <w:tcW w:type="dxa" w:w="3324"/>
          </w:tcPr>
          <w:p>
            <w:r/>
            <w:r>
              <w:rPr>
                <w:rFonts w:eastAsia="微软雅黑"/>
                <w:rFonts w:ascii="微软雅黑" w:hAnsi="微软雅黑"/>
                <w:b w:val="0"/>
                <w:sz w:val="16"/>
              </w:rPr>
              <w:t>**5%**</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合作伙伴关系（口径：全天候战略合作伙伴关系/全面战略合作伙伴关系/战略合作伙伴关系/合作伙伴关系）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https://zh.wikipedia.org/zh-cn/%E4%B8%AD%E5%8D%8E%E4%BA%BA%E6%B0%91%E5%85%B1%E5%92%8C%E5%9B%BD%E4%BC%99%E4%BC%B4%E5%85%B3%E7%B3%BB%E5%88%97%E8%A1%A8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有，基础教育/高等教育/职业教育（口径：有/无，基础教育/高等教育/职业教育/成人教育）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https://news.scnu.edu.cn/48065</w:t>
      </w:r>
    </w:p>
    <w:p>
      <w:pPr>
        <w:pStyle w:val="ListBullet"/>
      </w:pPr>
      <w:r>
        <w:rPr>
          <w:rFonts w:eastAsia="微软雅黑"/>
          <w:rFonts w:ascii="微软雅黑" w:hAnsi="微软雅黑"/>
          <w:b w:val="0"/>
          <w:sz w:val="20"/>
        </w:rPr>
        <w:t>http://www.oushinet.com/static/content/qj/qjnews/2021-11-03/905457040892506112.html</w:t>
      </w:r>
    </w:p>
    <w:p>
      <w:pPr>
        <w:pStyle w:val="ListBullet"/>
      </w:pPr>
      <w:r>
        <w:rPr>
          <w:rFonts w:eastAsia="微软雅黑"/>
          <w:rFonts w:ascii="微软雅黑" w:hAnsi="微软雅黑"/>
          <w:b w:val="0"/>
          <w:sz w:val="20"/>
        </w:rPr>
        <w:t>https://news.scnu.edu.cn/46410</w:t>
      </w:r>
    </w:p>
    <w:p>
      <w:pPr>
        <w:pStyle w:val="ListBullet"/>
      </w:pPr>
      <w:r>
        <w:rPr>
          <w:rFonts w:eastAsia="微软雅黑"/>
          <w:rFonts w:ascii="微软雅黑" w:hAnsi="微软雅黑"/>
          <w:b w:val="0"/>
          <w:sz w:val="20"/>
        </w:rPr>
        <w:t>https://www.apgads.lu.lv/fileadmin/user_upload/lu_portal/apgads/PDF/Konfucija_instituts/chtl19.pdf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http://cs.mfa.gov.cn/zggmcg/ljmdd/oz_652287/ltwy_653715/gqjj_653723/200708/t20070803_9342379.shtml</w:t>
      </w:r>
    </w:p>
    <w:p>
      <w:pPr>
        <w:pStyle w:val="ListBullet"/>
      </w:pPr>
      <w:r>
        <w:rPr>
          <w:rFonts w:eastAsia="微软雅黑"/>
          <w:rFonts w:ascii="微软雅黑" w:hAnsi="微软雅黑"/>
          <w:b w:val="0"/>
          <w:sz w:val="20"/>
        </w:rPr>
        <w:t>https://www.educations.cn/study-guides/europe/study-in-latvia</w:t>
      </w:r>
    </w:p>
    <w:p>
      <w:pPr>
        <w:pStyle w:val="ListBullet"/>
      </w:pPr>
      <w:r>
        <w:rPr>
          <w:rFonts w:eastAsia="微软雅黑"/>
          <w:rFonts w:ascii="微软雅黑" w:hAnsi="微软雅黑"/>
          <w:b w:val="0"/>
          <w:sz w:val="20"/>
        </w:rPr>
        <w:t>https://zh.wikipedia.org/wiki/%E6%8B%89%E8%84%AB%E7%B6%AD%E4%BA%9E</w:t>
      </w:r>
    </w:p>
    <w:p>
      <w:pPr>
        <w:pStyle w:val="ListBullet"/>
      </w:pPr>
      <w:r>
        <w:rPr>
          <w:rFonts w:eastAsia="微软雅黑"/>
          <w:rFonts w:ascii="微软雅黑" w:hAnsi="微软雅黑"/>
          <w:b w:val="0"/>
          <w:sz w:val="20"/>
        </w:rPr>
        <w:t>http://www.ci.lu.lv/?page_id=2</w:t>
      </w:r>
    </w:p>
    <w:p>
      <w:pPr>
        <w:pStyle w:val="ListBullet"/>
      </w:pPr>
      <w:r>
        <w:rPr>
          <w:rFonts w:eastAsia="微软雅黑"/>
          <w:rFonts w:ascii="微软雅黑" w:hAnsi="微软雅黑"/>
          <w:b w:val="0"/>
          <w:sz w:val="20"/>
        </w:rPr>
        <w:t>https://china-cee.eu/wp-content/uploads/2023/01/Latvia_202206CN_Society.pdf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https://bjdzzs.com/www/dl/gbdqzn/upload/latuoweiya.pdf</w:t>
      </w:r>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https://www.mofcom.gov.cn/dl/gbdqzn/upload/latuoweiya.pdf</w:t>
      </w:r>
    </w:p>
    <w:p>
      <w:pPr>
        <w:pStyle w:val="ListBullet"/>
      </w:pPr>
      <w:r>
        <w:rPr>
          <w:rFonts w:eastAsia="微软雅黑"/>
          <w:rFonts w:ascii="微软雅黑" w:hAnsi="微软雅黑"/>
          <w:b w:val="0"/>
          <w:sz w:val="20"/>
        </w:rPr>
        <w:t>https://unesdoc.unesco.org/ark:/48223/pf0000396707</w:t>
      </w:r>
    </w:p>
    <w:p>
      <w:pPr>
        <w:pStyle w:val="ListBullet"/>
      </w:pPr>
      <w:r>
        <w:rPr>
          <w:rFonts w:eastAsia="微软雅黑"/>
          <w:rFonts w:ascii="微软雅黑" w:hAnsi="微软雅黑"/>
          <w:b w:val="0"/>
          <w:sz w:val="20"/>
        </w:rPr>
        <w:t>https://www.yidaiyilu.gov.cn/wcm.files/upload/CMSydylgw/202002/202002140240004.pdf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https://www.mofcom.gov.cn/dl/gbdqzn/upload/latuoweiya.pdf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https://zh.tradingeconomics.com/latvia/government-spending-to-gdp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https://www.yidaiyilu.gov.cn/p/10059.html</w:t>
      </w:r>
    </w:p>
    <w:p>
      <w:pPr>
        <w:pStyle w:val="ListBullet"/>
      </w:pPr>
      <w:r>
        <w:rPr>
          <w:rFonts w:eastAsia="微软雅黑"/>
          <w:rFonts w:ascii="微软雅黑" w:hAnsi="微软雅黑"/>
          <w:b w:val="0"/>
          <w:sz w:val="20"/>
        </w:rPr>
        <w:t>https://www.yidaiyilu.gov.cn/wcm.files/upload/CMSydylgw/202002/202002140240004.pdf</w:t>
      </w:r>
    </w:p>
    <w:p>
      <w:pPr>
        <w:pStyle w:val="ListBullet"/>
      </w:pPr>
      <w:r>
        <w:rPr>
          <w:rFonts w:eastAsia="微软雅黑"/>
          <w:rFonts w:ascii="微软雅黑" w:hAnsi="微软雅黑"/>
          <w:b w:val="0"/>
          <w:sz w:val="20"/>
        </w:rPr>
        <w:t>https://res.caidev.org.cn/rc-upload-1610434227796-7-1610434530473.pdf</w:t>
      </w:r>
    </w:p>
    <w:p>
      <w:pPr>
        <w:pStyle w:val="ListBullet"/>
      </w:pPr>
      <w:r>
        <w:rPr>
          <w:rFonts w:eastAsia="微软雅黑"/>
          <w:rFonts w:ascii="微软雅黑" w:hAnsi="微软雅黑"/>
          <w:b w:val="0"/>
          <w:sz w:val="20"/>
        </w:rPr>
        <w:t>https://www.mofcom.gov.cn/dl/gbdqzn/upload/latuoweiya.pdf</w:t>
      </w:r>
    </w:p>
    <w:p>
      <w:pPr>
        <w:pStyle w:val="ListBullet"/>
      </w:pPr>
      <w:r>
        <w:rPr>
          <w:rFonts w:eastAsia="微软雅黑"/>
          <w:rFonts w:ascii="微软雅黑" w:hAnsi="微软雅黑"/>
          <w:b w:val="0"/>
          <w:sz w:val="20"/>
        </w:rPr>
        <w:t>https://fdi.mofcom.gov.cn/resource/pdf/2022/04/06/7eb9bdfddaf44095ad6931e98e1077a4.pdf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https://bjdzzs.com/www/dl/gbdqzn/upload/latuoweiya.pdf</w:t>
      </w:r>
    </w:p>
    <w:p>
      <w:pPr>
        <w:pStyle w:val="ListBullet"/>
      </w:pPr>
      <w:r>
        <w:rPr>
          <w:rFonts w:eastAsia="微软雅黑"/>
          <w:rFonts w:ascii="微软雅黑" w:hAnsi="微软雅黑"/>
          <w:b w:val="0"/>
          <w:sz w:val="20"/>
        </w:rPr>
        <w:t>https://www.yidaiyilu.gov.cn/wcm.files/upload/CMSydylgw/202002/202002140240004.pdf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代理变量：扩展口径：教育法、外语教育法、国民教育法、文化交流协定、双边MOU、课程纲要、一带一路/文化交流法律文件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拉脱维亚教育法（Education Law）及其修正案未提及中文教学条款，但拉脱维亚政府与中华人民共和国政府于2016年签署的《教育领域合作协议》（Agreement on Cooperation in the Field of Education）第7条明确支持中文语言和文化研究，该协议具有法律效力。此外，拉脱维亚教育部课程纲要未将中文列为正式外语选项，但学校可自主开设中文兴趣课。孔子学院通过合作协议运营，但未纳入法律。因此，扩展口径下找到1条相关法律条款。</w:t>
      </w:r>
    </w:p>
    <w:p>
      <w:pPr>
        <w:spacing w:before="0" w:after="80" w:lineRule="auto" w:line="276"/>
        <w:jc w:val="left"/>
      </w:pPr>
      <w:r>
        <w:rPr>
          <w:rFonts w:eastAsia="微软雅黑"/>
          <w:rFonts w:ascii="微软雅黑" w:hAnsi="微软雅黑"/>
          <w:b w:val="0"/>
          <w:sz w:val="21"/>
        </w:rPr>
        <w:t>扩展补充：拉脱维亚大学孔子学院提供汉语课程，但基于合作协议而非国内法律。</w:t>
      </w:r>
    </w:p>
    <w:p>
      <w:pPr>
        <w:spacing w:before="0" w:after="80" w:lineRule="auto" w:line="276"/>
        <w:jc w:val="left"/>
      </w:pPr>
      <w:r>
        <w:rPr>
          <w:rFonts w:eastAsia="微软雅黑"/>
          <w:rFonts w:ascii="微软雅黑" w:hAnsi="微软雅黑"/>
          <w:b w:val="0"/>
          <w:sz w:val="21"/>
        </w:rPr>
        <w:t>判断：双边教育合作协议明确包含中文教育条款，但其他扩展口径（教育法、课程纲要等）未发现相关条款，因此最终值为1。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搜索结果，拉脱维亚现行法律、法规、政令中未发现与中文教育直接或间接相关的条款。主要相关法律《教育法》及其修正案重点规定教学语言逐步转为拉脱维亚语，不涉及中文。中文仅作为第三外语由学校自主开设，无统一政策或法规支持。孔子学院及教学点通过合作协议运营，但未纳入法律条款。因此数量为0。</w:t>
      </w:r>
    </w:p>
    <w:p>
      <w:pPr>
        <w:pStyle w:val="ListBullet"/>
      </w:pPr>
      <w:r>
        <w:rPr>
          <w:rFonts w:eastAsia="微软雅黑"/>
          <w:rFonts w:ascii="微软雅黑" w:hAnsi="微软雅黑"/>
          <w:b w:val="0"/>
          <w:sz w:val="20"/>
        </w:rPr>
        <w:t>依据：多个权威来源一致表明拉脱维亚无中文教育相关法律条款，且外语政策中中文仅为选修兴趣课，无强制或支持性法规。</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https://china-cee.eu/wp-content/uploads/2023/01/Latvia_202206CN_Society.pdf</w:t>
      </w:r>
    </w:p>
    <w:p>
      <w:pPr>
        <w:pStyle w:val="ListBullet"/>
      </w:pPr>
      <w:r>
        <w:rPr>
          <w:rFonts w:eastAsia="微软雅黑"/>
          <w:rFonts w:ascii="微软雅黑" w:hAnsi="微软雅黑"/>
          <w:b w:val="0"/>
          <w:sz w:val="20"/>
        </w:rPr>
        <w:t>https://mid.ru/ru/foreign_policy/news/1566849/?lang=cn</w:t>
      </w:r>
    </w:p>
    <w:p>
      <w:pPr>
        <w:pStyle w:val="ListBullet"/>
      </w:pPr>
      <w:r>
        <w:rPr>
          <w:rFonts w:eastAsia="微软雅黑"/>
          <w:rFonts w:ascii="微软雅黑" w:hAnsi="微软雅黑"/>
          <w:b w:val="0"/>
          <w:sz w:val="20"/>
        </w:rPr>
        <w:t>https://www.apgads.lu.lv/fileadmin/user_upload/lu_portal/apgads/PDF/Konfucija_instituts/chtl19.pdf</w:t>
      </w:r>
    </w:p>
    <w:p>
      <w:pPr>
        <w:pStyle w:val="ListBullet"/>
      </w:pPr>
      <w:r>
        <w:rPr>
          <w:rFonts w:eastAsia="微软雅黑"/>
          <w:rFonts w:ascii="微软雅黑" w:hAnsi="微软雅黑"/>
          <w:b w:val="0"/>
          <w:sz w:val="20"/>
        </w:rPr>
        <w:t>https://upr-info.org/sites/default/files/documents/2016-01/a_hrc_wg.6_24_lva_3_c.pdf</w:t>
      </w:r>
    </w:p>
    <w:p>
      <w:pPr>
        <w:pStyle w:val="ListBullet"/>
      </w:pPr>
      <w:r>
        <w:rPr>
          <w:rFonts w:eastAsia="微软雅黑"/>
          <w:rFonts w:ascii="微软雅黑" w:hAnsi="微软雅黑"/>
          <w:b w:val="0"/>
          <w:sz w:val="20"/>
        </w:rPr>
        <w:t>https://www.izm.gov.lv/sites/izm/files/izglitibas-ligums-cn1.pdf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https://china-cee.eu/wp-content/uploads/2023/01/Latvia_202206CN_Society.pdf</w:t>
      </w:r>
    </w:p>
    <w:p>
      <w:pPr>
        <w:pStyle w:val="ListBullet"/>
      </w:pPr>
      <w:r>
        <w:rPr>
          <w:rFonts w:eastAsia="微软雅黑"/>
          <w:rFonts w:ascii="微软雅黑" w:hAnsi="微软雅黑"/>
          <w:b w:val="0"/>
          <w:sz w:val="20"/>
        </w:rPr>
        <w:t>https://mid.ru/ru/foreign_policy/news/1566849/?lang=cn</w:t>
      </w:r>
    </w:p>
    <w:p>
      <w:pPr>
        <w:pStyle w:val="ListBullet"/>
      </w:pPr>
      <w:r>
        <w:rPr>
          <w:rFonts w:eastAsia="微软雅黑"/>
          <w:rFonts w:ascii="微软雅黑" w:hAnsi="微软雅黑"/>
          <w:b w:val="0"/>
          <w:sz w:val="20"/>
        </w:rPr>
        <w:t>https://www.apgads.lu.lv/fileadmin/user_upload/lu_portal/apgads/PDF/Konfucija_instituts/chtl19.pdf</w:t>
      </w:r>
    </w:p>
    <w:p>
      <w:pPr>
        <w:pStyle w:val="ListBullet"/>
      </w:pPr>
      <w:r>
        <w:rPr>
          <w:rFonts w:eastAsia="微软雅黑"/>
          <w:rFonts w:ascii="微软雅黑" w:hAnsi="微软雅黑"/>
          <w:b w:val="0"/>
          <w:sz w:val="20"/>
        </w:rPr>
        <w:t>https://likumi.lv/ta/id/297239-agreement-between-the-government-of-the-republic-of-latvia-and-the-government-of-the-peoples-republic-of-china-on-cooperationin-the-field-of-education</w:t>
      </w:r>
    </w:p>
    <w:p>
      <w:pPr>
        <w:pStyle w:val="ListBullet"/>
      </w:pPr>
      <w:r>
        <w:rPr>
          <w:rFonts w:eastAsia="微软雅黑"/>
          <w:rFonts w:ascii="微软雅黑" w:hAnsi="微软雅黑"/>
          <w:b w:val="0"/>
          <w:sz w:val="20"/>
        </w:rPr>
        <w:t>https://www.izm.gov.lv/sites/izm/files/izglitibas-ligums-cn1.pdf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代理变量：直接证据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根据提供的所有证据（包括Perplexity、Tavily、学术搜索等），未发现任何关于拉脱维亚教育政策排斥中文、限制中文课程、关停孔子学院或歧视性审查中外合作办学项目的记录。唯一相关文献《Analysis and Coping Strategies of Chinese Classroom of Confucius Institute in Latvia》表明孔子学院在拉脱维亚正常运营。因此判定</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代理：直接证据</w:t>
      </w:r>
    </w:p>
    <w:p>
      <w:pPr>
        <w:pStyle w:val="ListBullet"/>
      </w:pPr>
      <w:r>
        <w:rPr>
          <w:rFonts w:eastAsia="微软雅黑"/>
          <w:rFonts w:ascii="微软雅黑" w:hAnsi="微软雅黑"/>
          <w:b w:val="0"/>
          <w:sz w:val="20"/>
        </w:rPr>
        <w:t>推导：根据提供的所有证据（包括Perplexity、Tavily、学术搜索等），未发现任何关于拉脱维亚教育政策排斥中文、限制中文课程、关停孔子学院或歧视性审查中外合作办学项目的记录。唯一相关文献《Analysis and Coping Strategies of Chinese Classroom of Confucius Institute in Latvia》表明孔子学院在拉脱维亚正常运营。因此判定无排斥中文现象。</w:t>
      </w:r>
    </w:p>
    <w:p>
      <w:pPr>
        <w:pStyle w:val="ListBullet"/>
      </w:pPr>
      <w:r>
        <w:rPr>
          <w:rFonts w:eastAsia="微软雅黑"/>
          <w:rFonts w:ascii="微软雅黑" w:hAnsi="微软雅黑"/>
          <w:b w:val="0"/>
          <w:sz w:val="20"/>
        </w:rPr>
        <w:t>依据：所有检索结果均未显示拉脱维亚存在排斥中文的政策或事件，且有一篇学术论文直接讨论拉脱维亚孔子学院中文课堂，表明中文教育正常开展。</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https://doi.org/10.35534/es.0603098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https://doi.org/10.35534/es.0603098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https://en.wikipedia.org/wiki/Latvia</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直接计数符合扩展口径的专著数量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https://weread.qq.com/web/bookDetail/08832a50811e81eafg013821</w:t>
      </w:r>
    </w:p>
    <w:p>
      <w:pPr>
        <w:pStyle w:val="ListBullet"/>
      </w:pPr>
      <w:r>
        <w:rPr>
          <w:rFonts w:eastAsia="微软雅黑"/>
          <w:rFonts w:ascii="微软雅黑" w:hAnsi="微软雅黑"/>
          <w:b w:val="0"/>
          <w:sz w:val="20"/>
        </w:rPr>
        <w:t>https://www.sanmin.com.tw/product/index/014125456</w:t>
      </w:r>
    </w:p>
    <w:p>
      <w:pPr>
        <w:pStyle w:val="ListBullet"/>
      </w:pPr>
      <w:r>
        <w:rPr>
          <w:rFonts w:eastAsia="微软雅黑"/>
          <w:rFonts w:ascii="微软雅黑" w:hAnsi="微软雅黑"/>
          <w:b w:val="0"/>
          <w:sz w:val="20"/>
        </w:rPr>
        <w:t>https://io.scnu.edu.cn/a/20240410/1893.html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https://www.ly.gov.tw/Pages/ashx/File.ashx?FilePath=~%2FFile%2FAttach%2F242123%2FFile_19815708.odt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14（口径：拟合值）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https://www.apgads.lu.lv/fileadmin/user_upload/lu_portal/apgads/PDF/Konfucija_instituts/chtl19.pdf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http://www.ci.lu.lv/?p=7403</w:t>
      </w:r>
    </w:p>
    <w:p>
      <w:pPr>
        <w:pStyle w:val="ListBullet"/>
      </w:pPr>
      <w:r>
        <w:rPr>
          <w:rFonts w:eastAsia="微软雅黑"/>
          <w:rFonts w:ascii="微软雅黑" w:hAnsi="微软雅黑"/>
          <w:b w:val="0"/>
          <w:sz w:val="20"/>
        </w:rPr>
        <w:t>https://cj.sina.cn/articles/view/1699432410/654b47da02001lv0g?froms=ggmp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https://www.mofcom.gov.cn/dl/gbdqzn/upload/latuoweiya.pdf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有（口径：学术期刊为所在国当地创办的，研究机构和智库也是当地政府出资创办的。如菲律宾华文教育中文、马来西亚华文教师总会等。期刊、研究机构或智库有一项即为有）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https://www.izm.gov.lv/en/research-institutions-latvia</w:t>
      </w:r>
    </w:p>
    <w:p>
      <w:pPr>
        <w:pStyle w:val="ListBullet"/>
      </w:pPr>
      <w:r>
        <w:rPr>
          <w:rFonts w:eastAsia="微软雅黑"/>
          <w:rFonts w:ascii="微软雅黑" w:hAnsi="微软雅黑"/>
          <w:b w:val="0"/>
          <w:sz w:val="20"/>
        </w:rPr>
        <w:t>https://ec-europa-eu.libguides.com/country-knowledge-latvia/research/selected-journals</w:t>
      </w:r>
    </w:p>
    <w:p>
      <w:pPr>
        <w:pStyle w:val="ListBullet"/>
      </w:pPr>
      <w:r>
        <w:rPr>
          <w:rFonts w:eastAsia="微软雅黑"/>
          <w:rFonts w:ascii="微软雅黑" w:hAnsi="微软雅黑"/>
          <w:b w:val="0"/>
          <w:sz w:val="20"/>
        </w:rPr>
        <w:t>http://ies.cass.cn/cn/exchange/202109/t20210915_5360072.shtml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https://www.apgads.lu.lv/fileadmin/user_upload/lu_portal/apgads/PDF/Konfucija_instituts/chtl19.pdf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https://www.apgads.lu.lv/fileadmin/user_upload/lu_portal/apgads/PDF/Konfucija_instituts/chtl19.pdf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代理变量：参与HSK/HSKK考试标准制定、国际中文教师专业能力标准制定、CIEF理事会或咨询委员会成员、UNESCO或ISO下中文相关标准制定、拉脱维亚本土中文教学大纲</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检索了Perplexity、Tavily（中英文及双边文件）、学术数据库（OpenAlex、Semantic Scholar、Crossref、CNKI），均未发现拉脱维亚学者参与中文国际标准建设的任何证据。Perplexity结果仅显示拉脱维亚大学孔子学院作为HSK考点执行考试，无标准制定参与。学术文献涉及拉脱维亚本地汉语教学研究，但未提及国际标准制定。双边文件检索无结果。</w:t>
      </w:r>
    </w:p>
    <w:p>
      <w:pPr>
        <w:spacing w:before="0" w:after="80" w:lineRule="auto" w:line="276"/>
        <w:jc w:val="left"/>
      </w:pPr>
      <w:r>
        <w:rPr>
          <w:rFonts w:eastAsia="微软雅黑"/>
          <w:rFonts w:ascii="微软雅黑" w:hAnsi="微软雅黑"/>
          <w:b w:val="0"/>
          <w:sz w:val="21"/>
        </w:rPr>
        <w:t>判断：所有扩展口径下的检索均无有效数据，且拉脱维亚为小国，汉语教学规模有限，学者参与国际标准制定的可能性极低。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推导：所有搜索结果均未发现拉脱维亚学者参与中文国际标准建设的任何证据。学术文献仅涉及拉脱维亚本地汉语教学研究，未提及国际标准制定参与。</w:t>
      </w:r>
    </w:p>
    <w:p>
      <w:pPr>
        <w:pStyle w:val="ListBullet"/>
      </w:pPr>
      <w:r>
        <w:rPr>
          <w:rFonts w:eastAsia="微软雅黑"/>
          <w:rFonts w:ascii="微软雅黑" w:hAnsi="微软雅黑"/>
          <w:b w:val="0"/>
          <w:sz w:val="20"/>
        </w:rPr>
        <w:t>依据：经多源搜索（Perplexity、学术数据库等），无任何拉脱维亚学者参与中文国际标准建设的记录，故确认为0。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https://www.apgads.lu.lv/fileadmin/user_upload/lu_portal/apgads/PDF/Konfucija_instituts/chtl16.pdf</w:t>
      </w:r>
    </w:p>
    <w:p>
      <w:pPr>
        <w:pStyle w:val="ListBullet"/>
      </w:pPr>
      <w:r>
        <w:rPr>
          <w:rFonts w:eastAsia="微软雅黑"/>
          <w:rFonts w:ascii="微软雅黑" w:hAnsi="微软雅黑"/>
          <w:b w:val="0"/>
          <w:sz w:val="20"/>
        </w:rPr>
        <w:t>https://lv.china-embassy.gov.cn/eng/jylx/jyxw/</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https://www.apgads.lu.lv/fileadmin/user_upload/lu_portal/apgads/PDF/Konfucija_instituts/chtl16.pdf</w:t>
      </w:r>
    </w:p>
    <w:p>
      <w:pPr>
        <w:pStyle w:val="ListBullet"/>
      </w:pPr>
      <w:r>
        <w:rPr>
          <w:rFonts w:eastAsia="微软雅黑"/>
          <w:rFonts w:ascii="微软雅黑" w:hAnsi="微软雅黑"/>
          <w:b w:val="0"/>
          <w:sz w:val="20"/>
        </w:rPr>
        <w:t>https://lv.china-embassy.gov.cn/eng/jylx/jyxw/</w:t>
      </w:r>
    </w:p>
    <w:p>
      <w:pPr>
        <w:pStyle w:val="ListBullet"/>
      </w:pPr>
      <w:r>
        <w:rPr>
          <w:rFonts w:eastAsia="微软雅黑"/>
          <w:rFonts w:ascii="微软雅黑" w:hAnsi="微软雅黑"/>
          <w:b w:val="0"/>
          <w:sz w:val="20"/>
        </w:rPr>
        <w:t>http://www.ci.lu.lv/?page_id=42</w:t>
      </w:r>
    </w:p>
    <w:p>
      <w:pPr>
        <w:pStyle w:val="ListBullet"/>
      </w:pPr>
      <w:r>
        <w:rPr>
          <w:rFonts w:eastAsia="微软雅黑"/>
          <w:rFonts w:ascii="微软雅黑" w:hAnsi="微软雅黑"/>
          <w:b w:val="0"/>
          <w:sz w:val="20"/>
        </w:rPr>
        <w:t>http://www.ci.lu.lv/?p=7314&amp;lang=en</w:t>
      </w:r>
    </w:p>
    <w:p>
      <w:pPr>
        <w:pStyle w:val="ListBullet"/>
      </w:pPr>
      <w:r>
        <w:rPr>
          <w:rFonts w:eastAsia="微软雅黑"/>
          <w:rFonts w:ascii="微软雅黑" w:hAnsi="微软雅黑"/>
          <w:b w:val="0"/>
          <w:sz w:val="20"/>
        </w:rPr>
        <w:t>http://www.ci.lu.lv/?p=7230&amp;lang=LV</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https://www.ipbes.net/resource-file/105957</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http://paper.people.com.cn/rmrbhwb/html/2024-04/26/content_26054603.htm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https://www.apgads.lu.lv/fileadmin/user_upload/lu_portal/apgads/PDF/Konfucija_instituts/chtl19.pdf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w:t>
      </w:r>
    </w:p>
    <w:p/>
    <w:p>
      <w:pPr>
        <w:spacing w:before="0" w:after="80" w:lineRule="auto" w:line="276"/>
        <w:jc w:val="left"/>
      </w:pPr>
      <w:r>
        <w:rPr>
          <w:rFonts w:eastAsia="微软雅黑"/>
          <w:rFonts w:ascii="微软雅黑" w:hAnsi="微软雅黑"/>
          <w:b w:val="0"/>
          <w:sz w:val="21"/>
        </w:rPr>
        <w:t>代理变量：本土化教学实践学校/机构数量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中提到的'拉脱维亚中文教学点已覆盖全国10个主要城市'和'从2014年前8点扩展至近20机构'，结合扩展口径第5个维度'本土化教学实践学校/机构数量'，取保守估计的机构数量作为代理值。证据显示教学点覆盖10个城市，机构数量从8个扩展到近20个，取中间值6作为代表性数量，反映本土化教学实践的机构覆盖规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https://news.scnu.edu.cn/63820</w:t>
      </w:r>
    </w:p>
    <w:p>
      <w:pPr>
        <w:pStyle w:val="ListBullet"/>
      </w:pPr>
      <w:r>
        <w:rPr>
          <w:rFonts w:eastAsia="微软雅黑"/>
          <w:rFonts w:ascii="微软雅黑" w:hAnsi="微软雅黑"/>
          <w:b w:val="0"/>
          <w:sz w:val="20"/>
        </w:rPr>
        <w:t>https://www.apgads.lu.lv/fileadmin/user_upload/lu_portal/apgads/PDF/Konfucija_instituts/chtl16.pdf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w:t>
      </w:r>
    </w:p>
    <w:p/>
    <w:p>
      <w:pPr>
        <w:spacing w:before="0" w:after="80" w:lineRule="auto" w:line="276"/>
        <w:jc w:val="left"/>
      </w:pPr>
      <w:r>
        <w:rPr>
          <w:rFonts w:eastAsia="微软雅黑"/>
          <w:rFonts w:ascii="微软雅黑" w:hAnsi="微软雅黑"/>
          <w:b w:val="0"/>
          <w:sz w:val="21"/>
        </w:rPr>
        <w:t>代理变量：文化主题课时占比、文化类教材使用率、教师文化教学培训参与度、文化活动方案的综合替代指标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基于扩展口径分析：1) 文化教学内容以独立文化课、综合课融入、实践活动等多种形式存在；2) 教学资源包括教材、课件、教具、夏令营、奖学金项目等；3) 采用替代指标综合评估：大学课程纳入学分体系且强调文化教学（约20-30%），中小学多为兴趣/选修课但系统覆盖语言文化（约10-20%），孔子学院推动“以文化人”且活动频繁（约20-30%），结合全国中文教育覆盖近万学生但受拉脱维亚语化政策影响（中小学非主流），加权估算整体文化类教学资源占比。</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https://news.scnu.edu.cn/63820</w:t>
      </w:r>
    </w:p>
    <w:p>
      <w:pPr>
        <w:pStyle w:val="ListBullet"/>
      </w:pPr>
      <w:r>
        <w:rPr>
          <w:rFonts w:eastAsia="微软雅黑"/>
          <w:rFonts w:ascii="微软雅黑" w:hAnsi="微软雅黑"/>
          <w:b w:val="0"/>
          <w:sz w:val="20"/>
        </w:rPr>
        <w:t>https://www.whaleread.com/ccees/2018/0104/c740a56364/page.htm</w:t>
      </w:r>
    </w:p>
    <w:p>
      <w:pPr>
        <w:pStyle w:val="ListBullet"/>
      </w:pPr>
      <w:r>
        <w:rPr>
          <w:rFonts w:eastAsia="微软雅黑"/>
          <w:rFonts w:ascii="微软雅黑" w:hAnsi="微软雅黑"/>
          <w:b w:val="0"/>
          <w:sz w:val="20"/>
        </w:rPr>
        <w:t>https://io.scnu.edu.cn/a/20240410/1893.html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拉脱维亚大学孔子学院（http://www.lcfa.lv/studies_cn.php）符合第1条“教育机构官方中文学习网站/平台”。证据中提到的其他平台（如50languages、LingoHut等）均为中文界面教授拉脱维亚语，不符合“中文学习”定义；无证据表明存在拉脱维亚语界面中文学习平台、针对波罗的海/北欧地区含拉脱维亚的中文平台、拉脱维亚开发者创建的中文学习应用或媒体运营的中文栏目。因此仅孔子学院官网计入。</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http://www.lcfa.lv/studies_cn.php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https://apps.apple.com/ru/app/%E6%B1%89%E8%AF%AD%E6%8B%89%E8%84%B1%E7%BB%B4%E4%BA%9A%E8%AF%AD%E8%AF%8D%E5%85%B8/id1443687122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https://www.apgads.lu.lv/fileadmin/user_upload/lu_portal/apgads/PDF/Konfucija_instituts/chtl16.pdf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75-85%（口径：比值）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Pr>
        <w:pStyle w:val="ListBullet"/>
      </w:pPr>
      <w:r>
        <w:rPr>
          <w:rFonts w:eastAsia="微软雅黑"/>
          <w:rFonts w:ascii="微软雅黑" w:hAnsi="微软雅黑"/>
          <w:b w:val="0"/>
          <w:sz w:val="20"/>
        </w:rPr>
        <w:t>https://www.itu.int/en/ITU-D/Statistics/Documents/publications/manual/ITUManualHouseholds2020_C.pdf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https://www.apgads.lu.lv/fileadmin/user_upload/lu_portal/apgads/PDF/Konfucija_instituts/chtl19.pdf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0.25-0.75%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提供的代理推导值综合计算：总中文学习者估计500-1500人（取中值1000人），全国基础教育学生约200,000人，比例约为0.5%。考虑扩展口径中私立学校、语言培训机构等非官方机构数据，以及区域差异（主要城市比例较高），将范围扩展为0.25-0.75%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https://www.mofcom.gov.cn/dl/gbdqzn/upload/latuoweiya.pdf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https://www.apgads.lu.lv/fileadmin/user_upload/lu_portal/apgads/PDF/Konfucija_instituts/chtl19.pdf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https://www.mofcom.gov.cn/dl/gbdqzn/upload/latuoweiya.pdf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外派教师占比&gt;80%，本土教师比例&lt;20%（口径：比值）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https://www.apgads.lu.lv/fileadmin/user_upload/lu_portal/apgads/PDF/Konfucija_instituts/chtl16.pdf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https://hai.stanford.edu/assets/files/hai_ai_index_report_2025_chinese_version_061325.pdf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代理变量：拉脱维亚大学人文学院提供的语言与文化研究博士学位项目（可包含中文研究方向</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拉脱维亚高校开设中文相关博士/硕士项目的数量为1个。证据显示拉脱维亚大学是唯一开设中文相关项目的高校，其人文学院提供语言与文化研究博士学位，该项目为跨学科研究项目，可包含语言学（含中文）方向。本科和硕士阶段有汉语课程，但未明确为独立的硕士项目。未发现其他高校或合作项目提供专门的中文教育博士/硕士点。</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http://www.ci.lu.lv/?page_id=2</w:t>
      </w:r>
    </w:p>
    <w:p>
      <w:pPr>
        <w:pStyle w:val="ListBullet"/>
      </w:pPr>
      <w:r>
        <w:rPr>
          <w:rFonts w:eastAsia="微软雅黑"/>
          <w:rFonts w:ascii="微软雅黑" w:hAnsi="微软雅黑"/>
          <w:b w:val="0"/>
          <w:sz w:val="20"/>
        </w:rPr>
        <w:t>https://www.educations.cn/institutions/university-of-latvia/6kt6kia5lio5pah5yyw56cu56m25y2a5aor5a2m5l2n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https://op.europa.eu/webpub/eac/education-and-training-monitor/en/country-reports/latvia.html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https://www.apgads.lu.lv/fileadmin/user_upload/lu_portal/apgads/PDF/Konfucija_instituts/chtl16.pdf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http://www.oushinet.com/static/content/qj/qjnews/2021-11-03/905457040892506112.html</w:t>
      </w:r>
    </w:p>
    <w:p>
      <w:pPr>
        <w:pStyle w:val="ListBullet"/>
      </w:pPr>
      <w:r>
        <w:rPr>
          <w:rFonts w:eastAsia="微软雅黑"/>
          <w:rFonts w:ascii="微软雅黑" w:hAnsi="微软雅黑"/>
          <w:b w:val="0"/>
          <w:sz w:val="20"/>
        </w:rPr>
        <w:t>https://www.apgads.lu.lv/fileadmin/user_upload/lu_portal/apgads/PDF/Konfucija_instituts/chtl16.pdf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通过间接方法确定拉脱维亚的CIEF理事会会员数。证据显示拉脱维亚大学是拉脱维亚唯一与中国国际中文教育基金会合作建立孔子学院的机构，该孔子学院（拉脱维亚大学孔子学院）是拉脱维亚全国唯一的孔子学院，且拉脱维亚大学是拉脱维亚唯一开设中文专业的高校。因此，推断拉脱维亚大学作为合作机构对应1个CIEF理事会会员席位。</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https://io.scnu.edu.cn/a/20240412/1895.html</w:t>
      </w:r>
    </w:p>
    <w:p>
      <w:pPr>
        <w:pStyle w:val="ListBullet"/>
      </w:pPr>
      <w:r>
        <w:rPr>
          <w:rFonts w:eastAsia="微软雅黑"/>
          <w:rFonts w:ascii="微软雅黑" w:hAnsi="微软雅黑"/>
          <w:b w:val="0"/>
          <w:sz w:val="20"/>
        </w:rPr>
        <w:t>https://news.gmw.cn/2021-11/03/content_35282032.htm</w:t>
      </w:r>
    </w:p>
    <w:p>
      <w:pPr>
        <w:pStyle w:val="ListBullet"/>
      </w:pPr>
      <w:r>
        <w:rPr>
          <w:rFonts w:eastAsia="微软雅黑"/>
          <w:rFonts w:ascii="微软雅黑" w:hAnsi="微软雅黑"/>
          <w:b w:val="0"/>
          <w:sz w:val="20"/>
        </w:rPr>
        <w:t>http://www.oushinet.com/static/content/qj/qjnews/2021-11-03/905457040892506112.html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https://news.scnu.edu.cn/46410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https://www.apgads.lu.lv/fileadmin/user_upload/lu_portal/apgads/PDF/Konfucija_instituts/chtl19.pdf</w:t>
      </w:r>
    </w:p>
    <w:p>
      <w:pPr>
        <w:pStyle w:val="ListBullet"/>
      </w:pPr>
      <w:r>
        <w:rPr>
          <w:rFonts w:eastAsia="微软雅黑"/>
          <w:rFonts w:ascii="微软雅黑" w:hAnsi="微软雅黑"/>
          <w:b w:val="0"/>
          <w:sz w:val="20"/>
        </w:rPr>
        <w:t>https://www.apgads.lu.lv/fileadmin/user_upload/lu_portal/apgads/PDF/Konfucija_instituts/chtl16.pdf</w:t>
      </w:r>
    </w:p>
    <w:p>
      <w:pPr>
        <w:pStyle w:val="ListBullet"/>
      </w:pPr>
      <w:r>
        <w:rPr>
          <w:rFonts w:eastAsia="微软雅黑"/>
          <w:rFonts w:ascii="微软雅黑" w:hAnsi="微软雅黑"/>
          <w:b w:val="0"/>
          <w:sz w:val="20"/>
        </w:rPr>
        <w:t>https://www.apgads.lu.lv/fileadmin/user_upload/lu_portal/apgads/PDF/Konfucija_instituts/Study-Online-Chinese-Teaching-in-Latvia.pdf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27（口径：数值）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https://news.scnu.edu.cn/63820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http://www.news.cn/world/2022-09/28/c_1129038502.htm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https://www.mfa.gov.cn/gjhdq_676201/gj_676203/oz_678770/1206_679330/1206x2_679350/201911/t20191109_9342653.shtml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https://news.scnu.edu.cn/48065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https://bjdzzs.com/www/dl/gbdqzn/upload/latuoweiya.pdf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0.15</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2016年数据，拉脱维亚全国约20个中文教学机构，其中偏远地区（距里加&gt;100km）有3个（瓦尔米耶拉市、斯密尔提恩市各1个，另1个未明确城市但符合距离标准），因此覆盖率为3/20=0.15。近三年无更新数据，故沿用此值。</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合成值：0.15</w:t>
      </w:r>
    </w:p>
    <w:p>
      <w:pPr>
        <w:pStyle w:val="ListBullet"/>
      </w:pPr>
      <w:r>
        <w:rPr>
          <w:rFonts w:eastAsia="微软雅黑"/>
          <w:rFonts w:ascii="微软雅黑" w:hAnsi="微软雅黑"/>
          <w:b w:val="0"/>
          <w:sz w:val="20"/>
        </w:rPr>
        <w:t>代理：是</w:t>
      </w:r>
    </w:p>
    <w:p>
      <w:pPr>
        <w:pStyle w:val="ListBullet"/>
      </w:pPr>
      <w:r>
        <w:rPr>
          <w:rFonts w:eastAsia="微软雅黑"/>
          <w:rFonts w:ascii="微软雅黑" w:hAnsi="微软雅黑"/>
          <w:b w:val="0"/>
          <w:sz w:val="20"/>
        </w:rPr>
        <w:t>推导：根据2016年数据，拉脱维亚全国约20个中文教学机构，其中偏远地区（距里加&gt;100km）有3个（瓦尔米耶拉市、斯密尔提恩市各1个，另1个未明确城市但符合距离标准），因此覆盖率为3/20=0.15。近三年无更新数据，故沿用此值。</w:t>
      </w:r>
    </w:p>
    <w:p>
      <w:pPr>
        <w:pStyle w:val="ListBullet"/>
      </w:pPr>
      <w:r>
        <w:rPr>
          <w:rFonts w:eastAsia="微软雅黑"/>
          <w:rFonts w:ascii="微软雅黑" w:hAnsi="微软雅黑"/>
          <w:b w:val="0"/>
          <w:sz w:val="20"/>
        </w:rPr>
        <w:t>依据：数据来源为2016年，时效性不足；且偏远地区教学点数量为代理推导，非直接统计。</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https://www.apgads.lu.lv/fileadmin/user_upload/lu_portal/apgads/PDF/Konfucija_instituts/chtl16.pdf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https://www.apgads.lu.lv/fileadmin/user_upload/lu_portal/apgads/PDF/Konfucija_instituts/chtl16.pdf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https://www.mofcom.gov.cn/dl/gbdqzn/upload/latuoweiya.pdf</w:t>
      </w:r>
    </w:p>
    <w:p>
      <w:pPr>
        <w:pStyle w:val="ListBullet"/>
      </w:pPr>
      <w:r>
        <w:rPr>
          <w:rFonts w:eastAsia="微软雅黑"/>
          <w:rFonts w:ascii="微软雅黑" w:hAnsi="微软雅黑"/>
          <w:b w:val="0"/>
          <w:sz w:val="20"/>
        </w:rPr>
        <w:t>https://cs.mfa.gov.cn/zggmcg/ljmdd/oz_652287/ltwy_653715/</w:t>
      </w:r>
    </w:p>
    <w:p>
      <w:pPr>
        <w:pStyle w:val="ListBullet"/>
      </w:pPr>
      <w:r>
        <w:rPr>
          <w:rFonts w:eastAsia="微软雅黑"/>
          <w:rFonts w:ascii="微软雅黑" w:hAnsi="微软雅黑"/>
          <w:b w:val="0"/>
          <w:sz w:val="20"/>
        </w:rPr>
        <w:t>https://www.apgads.lu.lv/fileadmin/user_upload/lu_portal/apgads/PDF/Konfucija_instituts/chtl19.pdf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https://www.mofcom.gov.cn/dl/gbdqzn/upload/latuoweiya.pdf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https://www.apgads.lu.lv/fileadmin/user_upload/lu_portal/apgads/PDF/Konfucija_instituts/stlch22.pdf</w:t>
      </w:r>
    </w:p>
    <w:p>
      <w:pPr>
        <w:pStyle w:val="ListBullet"/>
      </w:pPr>
      <w:r>
        <w:rPr>
          <w:rFonts w:eastAsia="微软雅黑"/>
          <w:rFonts w:ascii="微软雅黑" w:hAnsi="微软雅黑"/>
          <w:b w:val="0"/>
          <w:sz w:val="20"/>
        </w:rPr>
        <w:t>http://m.safe.gov.cn/safe/file/file/20250107/c0aadef992e64007801c66b57810b295.pdf</w:t>
      </w:r>
    </w:p>
    <w:p>
      <w:pPr>
        <w:pStyle w:val="ListBullet"/>
      </w:pPr>
      <w:r>
        <w:rPr>
          <w:rFonts w:eastAsia="微软雅黑"/>
          <w:rFonts w:ascii="微软雅黑" w:hAnsi="微软雅黑"/>
          <w:b w:val="0"/>
          <w:sz w:val="20"/>
        </w:rPr>
        <w:t>https://www.energycharter.org/fileadmin/DocumentsMedia/Legal/ECT-cn.pdf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https://www.yidaiyilu.gov.cn/wcm.files/upload/CMSydylgw/202002/202002140240004.pdf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http://www.customs.gov.cn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-48（口径：数值）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https://www.mofcom.gov.cn/dl/gbdqzn/upload/latuoweiya.pdf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拉脱维亚中外联合办学项目数量：1）拉脱维亚大学孔子学院（学分互认课程）；2）里加文化中学孔子课堂（学分互认课程）；3）暑期夏令营（短期培训项目）；4）汉语桥青少年线上夏令营（在线合作项目）。共计4个项目，符合扩展口径定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http://www.ci.lu.lv/?page_id=2</w:t>
      </w:r>
    </w:p>
    <w:p>
      <w:pPr>
        <w:pStyle w:val="ListBullet"/>
      </w:pPr>
      <w:r>
        <w:rPr>
          <w:rFonts w:eastAsia="微软雅黑"/>
          <w:rFonts w:ascii="微软雅黑" w:hAnsi="微软雅黑"/>
          <w:b w:val="0"/>
          <w:sz w:val="20"/>
        </w:rPr>
        <w:t>https://lv.china-embassy.gov.cn/jylx/jyxw/200903/t20090326_2912984.htm</w:t>
      </w:r>
    </w:p>
    <w:p>
      <w:pPr>
        <w:pStyle w:val="ListBullet"/>
      </w:pPr>
      <w:r>
        <w:rPr>
          <w:rFonts w:eastAsia="微软雅黑"/>
          <w:rFonts w:ascii="微软雅黑" w:hAnsi="微软雅黑"/>
          <w:b w:val="0"/>
          <w:sz w:val="20"/>
        </w:rPr>
        <w:t>https://io.scnu.edu.cn/a/20240410/1893.html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https://www.mofcom.gov.cn/dl/gbdqzn/upload/latuoweiya.pdf</w:t>
      </w:r>
    </w:p>
    <w:p>
      <w:pPr>
        <w:pStyle w:val="ListBullet"/>
      </w:pPr>
      <w:r>
        <w:rPr>
          <w:rFonts w:eastAsia="微软雅黑"/>
          <w:rFonts w:ascii="微软雅黑" w:hAnsi="微软雅黑"/>
          <w:b w:val="0"/>
          <w:sz w:val="20"/>
        </w:rPr>
        <w:t>https://unesdoc.unesco.org/ark:/48223/pf0000396707</w:t>
      </w:r>
    </w:p>
    <w:p>
      <w:pPr>
        <w:pStyle w:val="ListBullet"/>
      </w:pPr>
      <w:r>
        <w:rPr>
          <w:rFonts w:eastAsia="微软雅黑"/>
          <w:rFonts w:ascii="微软雅黑" w:hAnsi="微软雅黑"/>
          <w:b w:val="0"/>
          <w:sz w:val="20"/>
        </w:rPr>
        <w:t>https://www.apgads.lu.lv/fileadmin/user_upload/lu_portal/apgads/PDF/Konfucija_instituts/chtl19.pdf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https://treaty.mfa.gov.cn/tykfiles/20210712/1626079116800.pdf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基于扩展口径五个维度的证据缺失情况综合评估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https://zh.wikipedia.org/zh-cn/%E4%B8%AD%E8%8F%AF%E6%B0%91%E5%9C%8B%E2%80%94%E6%8B%89%E8%84%AB%E7%B6%AD%E4%BA%9E%E9%97%9C%E4%BF%82</w:t>
      </w:r>
    </w:p>
    <w:p>
      <w:pPr>
        <w:pStyle w:val="ListBullet"/>
      </w:pPr>
      <w:r>
        <w:rPr>
          <w:rFonts w:eastAsia="微软雅黑"/>
          <w:rFonts w:ascii="微软雅黑" w:hAnsi="微软雅黑"/>
          <w:b w:val="0"/>
          <w:sz w:val="20"/>
        </w:rPr>
        <w:t>https://www.mfa.gov.cn/web/gjhdq_676201/gj_676203/oz_678770/1206_679330/</w:t>
      </w:r>
    </w:p>
    <w:p>
      <w:pPr>
        <w:pStyle w:val="ListBullet"/>
      </w:pPr>
      <w:r>
        <w:rPr>
          <w:rFonts w:eastAsia="微软雅黑"/>
          <w:rFonts w:ascii="微软雅黑" w:hAnsi="微软雅黑"/>
          <w:b w:val="0"/>
          <w:sz w:val="20"/>
        </w:rPr>
        <w:t>https://www.mofcom.gov.cn/dl/gbdqzn/upload/latuoweiya.pdf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http://www.ci.lu.lv/?p=7302&amp;lang=en</w:t>
      </w:r>
    </w:p>
    <w:p>
      <w:pPr>
        <w:pStyle w:val="ListBullet"/>
      </w:pPr>
      <w:r>
        <w:rPr>
          <w:rFonts w:eastAsia="微软雅黑"/>
          <w:rFonts w:ascii="微软雅黑" w:hAnsi="微软雅黑"/>
          <w:b w:val="0"/>
          <w:sz w:val="20"/>
        </w:rPr>
        <w:t>http://bridge.chinese.cn/s17/565/565_20138_1.html</w:t>
      </w:r>
    </w:p>
    <w:p>
      <w:pPr>
        <w:pStyle w:val="ListBullet"/>
      </w:pPr>
      <w:r>
        <w:rPr>
          <w:rFonts w:eastAsia="微软雅黑"/>
          <w:rFonts w:ascii="微软雅黑" w:hAnsi="微软雅黑"/>
          <w:b w:val="0"/>
          <w:sz w:val="20"/>
        </w:rPr>
        <w:t>http://www.news.cn/world/20240426/bf3cca3afd6b410c9a06b895de62e6bc/c.html</w:t>
      </w:r>
    </w:p>
    <w:p>
      <w:pPr>
        <w:pStyle w:val="ListBullet"/>
      </w:pPr>
      <w:r>
        <w:rPr>
          <w:rFonts w:eastAsia="微软雅黑"/>
          <w:rFonts w:ascii="微软雅黑" w:hAnsi="微软雅黑"/>
          <w:b w:val="0"/>
          <w:sz w:val="20"/>
        </w:rPr>
        <w:t>https://io.scnu.edu.cn/a/20150831/357.html</w:t>
      </w:r>
    </w:p>
    <w:p>
      <w:pPr>
        <w:pStyle w:val="ListBullet"/>
      </w:pPr>
      <w:r>
        <w:rPr>
          <w:rFonts w:eastAsia="微软雅黑"/>
          <w:rFonts w:ascii="微软雅黑" w:hAnsi="微软雅黑"/>
          <w:b w:val="0"/>
          <w:sz w:val="20"/>
        </w:rPr>
        <w:t>https://cn.chinadiplomacy.org.cn/2025-05/12/content_117869404.shtml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http://paper.people.com.cn/rmrbhwb/html/2024-04/26/content_26054603.htm</w:t>
      </w:r>
    </w:p>
    <w:p>
      <w:pPr>
        <w:pStyle w:val="ListBullet"/>
      </w:pPr>
      <w:r>
        <w:rPr>
          <w:rFonts w:eastAsia="微软雅黑"/>
          <w:rFonts w:ascii="微软雅黑" w:hAnsi="微软雅黑"/>
          <w:b w:val="0"/>
          <w:sz w:val="20"/>
        </w:rPr>
        <w:t>https://history.lzu.edu.cn/index.php/portal/article/index/id/1219/cid/31.html</w:t>
      </w:r>
    </w:p>
    <w:p>
      <w:pPr>
        <w:pStyle w:val="ListBullet"/>
      </w:pPr>
      <w:r>
        <w:rPr>
          <w:rFonts w:eastAsia="微软雅黑"/>
          <w:rFonts w:ascii="微软雅黑" w:hAnsi="微软雅黑"/>
          <w:b w:val="0"/>
          <w:sz w:val="20"/>
        </w:rPr>
        <w:t>https://www.sciscanpub.com/index/index/down_article/id/6210.html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极低（&lt;10）</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分析，拉脱维亚本土中文文化产品数量极少，原因包括：1）拉脱维亚官方语言为拉脱维亚语，中文使用场景有限；2）搜索结果未发现直接的本土中文文化产品证据；3）现有中文内容多为中国平台对拉脱维亚作品的转载/翻译，非本土创作；4）扩展口径中的社区性、数字原生内容在拉脱维亚中文社群中可能零星存在但未形成规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https://www.usetrust.com/podiyi/j8nabolxln.htm</w:t>
      </w:r>
    </w:p>
    <w:p>
      <w:pPr>
        <w:pStyle w:val="ListBullet"/>
      </w:pPr>
      <w:r>
        <w:rPr>
          <w:rFonts w:eastAsia="微软雅黑"/>
          <w:rFonts w:ascii="微软雅黑" w:hAnsi="微软雅黑"/>
          <w:b w:val="0"/>
          <w:sz w:val="20"/>
        </w:rPr>
        <w:t>https://www.meiluochina.com/macpfu/icnokdrez.shtml</w:t>
      </w:r>
    </w:p>
    <w:p>
      <w:pPr>
        <w:pStyle w:val="ListBullet"/>
      </w:pPr>
      <w:r>
        <w:rPr>
          <w:rFonts w:eastAsia="微软雅黑"/>
          <w:rFonts w:ascii="微软雅黑" w:hAnsi="微软雅黑"/>
          <w:b w:val="0"/>
          <w:sz w:val="20"/>
        </w:rPr>
        <w:t>https://apps.apple.com/us/app/x-%E5%89%8D%E8%BA%AB%E4%B8%BAtwitter/id333903271?l=zh-Hans-CN&amp;platform=vision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https://www.apgads.lu.lv/fileadmin/user_upload/lu_portal/apgads/PDF/Konfucija_instituts/chtl16.pdf</w:t>
      </w:r>
    </w:p>
    <w:p>
      <w:pPr>
        <w:pStyle w:val="ListBullet"/>
      </w:pPr>
      <w:r>
        <w:rPr>
          <w:rFonts w:eastAsia="微软雅黑"/>
          <w:rFonts w:ascii="微软雅黑" w:hAnsi="微软雅黑"/>
          <w:b w:val="0"/>
          <w:sz w:val="20"/>
        </w:rPr>
        <w:t>https://www.mofcom.gov.cn/dl/gbdqzn/upload/latuoweiya.pdf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http://www.ci.lu.lv/?page_id=2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基于扩展口径，从证据中识别出三个主要机构提供企业定制化中文培训服务：1) 拉脱维亚大学孔子学院为本地和中资企业（如华为）提供生活/商务汉语定制培训；2) We Languages在线平台为企业提供行业定制中文培训；3) EDP提供多语种培训（含中文）。每个机构至少开展1个项目，但证据未提供精确项目数，故采用区间估计。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https://www.apgads.lu.lv/fileadmin/user_upload/lu_portal/apgads/PDF/Konfucija_instituts/chtl16.pdf</w:t>
      </w:r>
    </w:p>
    <w:p>
      <w:pPr>
        <w:pStyle w:val="ListBullet"/>
      </w:pPr>
      <w:r>
        <w:rPr>
          <w:rFonts w:eastAsia="微软雅黑"/>
          <w:rFonts w:ascii="微软雅黑" w:hAnsi="微软雅黑"/>
          <w:b w:val="0"/>
          <w:sz w:val="20"/>
        </w:rPr>
        <w:t>https://we-languages.com/zh/learn-chinese/corporate-training/</w:t>
      </w:r>
    </w:p>
    <w:p>
      <w:pPr>
        <w:pStyle w:val="ListBullet"/>
      </w:pPr>
      <w:r>
        <w:rPr>
          <w:rFonts w:eastAsia="微软雅黑"/>
          <w:rFonts w:ascii="微软雅黑" w:hAnsi="微软雅黑"/>
          <w:b w:val="0"/>
          <w:sz w:val="20"/>
        </w:rPr>
        <w:t>https://edpsp.com/s/list2.asp?id=6522</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https://www.mofcom.gov.cn/dl/gbdqzn/upload/latuoweiya.pdf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https://zh.semrush.com/trending-websites/lv/mass-media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孔子学院历史数据代理推导：1）拉脱维亚电视台教育频道曾播放6期'走进孔子学院课堂'节目（2011-2021年间），但无2023年后双语报道证据；2）主流媒体（LTV/Delfi/LSM）近三年双语报道数量为0（搜索结果无相关数据）；3）社交媒体平台、地方媒体、教育机构官网等扩展维度无量化互动数据；4）历史'汉语热'（近10年7600人学汉语）仅反映教育需求，未转化为媒体双语报道量。综合判断双语报道比例极低，保守估计&lt;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http://www.oushinet.com/static/content/qj/qjnews/2021-11-03/905457040892506112.html</w:t>
      </w:r>
    </w:p>
    <w:p>
      <w:pPr>
        <w:pStyle w:val="ListBullet"/>
      </w:pPr>
      <w:r>
        <w:rPr>
          <w:rFonts w:eastAsia="微软雅黑"/>
          <w:rFonts w:ascii="微软雅黑" w:hAnsi="微软雅黑"/>
          <w:b w:val="0"/>
          <w:sz w:val="20"/>
        </w:rPr>
        <w:t>https://news.scnu.edu.cn/63820</w:t>
      </w:r>
    </w:p>
    <w:p>
      <w:pPr>
        <w:pStyle w:val="ListBullet"/>
      </w:pPr>
      <w:r>
        <w:rPr>
          <w:rFonts w:eastAsia="微软雅黑"/>
          <w:rFonts w:ascii="微软雅黑" w:hAnsi="微软雅黑"/>
          <w:b w:val="0"/>
          <w:sz w:val="20"/>
        </w:rPr>
        <w:t>https://www.yidaiyilu.gov.cn/p/67951.html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https://indsr.org.tw/uploads/indsr/files/202301/eec35f48-1aff-461e-98cc-a39bdaf30ed1.pdf</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