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斯洛文尼亚 · 中文教育指标体系完整数据</w:t>
      </w:r>
    </w:p>
    <w:p/>
    <w:p>
      <w:pPr>
        <w:spacing w:before="0" w:after="80" w:lineRule="auto" w:line="276"/>
        <w:jc w:val="left"/>
      </w:pPr>
      <w:r>
        <w:rPr>
          <w:rFonts w:eastAsia="微软雅黑"/>
          <w:rFonts w:ascii="微软雅黑" w:hAnsi="微软雅黑"/>
          <w:b w:val="0"/>
          <w:sz w:val="21"/>
        </w:rPr>
        <w:t>国家：斯洛文尼亚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34</w:t>
            </w:r>
          </w:p>
        </w:tc>
        <w:tc>
          <w:tcPr>
            <w:tcW w:type="dxa" w:w="3324"/>
          </w:tcPr>
          <w:p>
            <w:r/>
            <w:r>
              <w:rPr>
                <w:rFonts w:eastAsia="微软雅黑"/>
                <w:rFonts w:ascii="微软雅黑" w:hAnsi="微软雅黑"/>
                <w:b w:val="0"/>
                <w:sz w:val="16"/>
              </w:rPr>
              <w:t>49%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9</w:t>
            </w:r>
          </w:p>
        </w:tc>
        <w:tc>
          <w:tcPr>
            <w:tcW w:type="dxa" w:w="3324"/>
          </w:tcPr>
          <w:p>
            <w:r/>
            <w:r>
              <w:rPr>
                <w:rFonts w:eastAsia="微软雅黑"/>
                <w:rFonts w:ascii="微软雅黑" w:hAnsi="微软雅黑"/>
                <w:b w:val="0"/>
                <w:sz w:val="16"/>
              </w:rPr>
              <w:t>13%</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**3**</w:t>
            </w:r>
          </w:p>
        </w:tc>
        <w:tc>
          <w:tcPr>
            <w:tcW w:type="dxa" w:w="3324"/>
          </w:tcPr>
          <w:p>
            <w:r/>
            <w:r>
              <w:rPr>
                <w:rFonts w:eastAsia="微软雅黑"/>
                <w:rFonts w:ascii="微软雅黑" w:hAnsi="微软雅黑"/>
                <w:b w:val="0"/>
                <w:sz w:val="16"/>
              </w:rPr>
              <w:t>**4%**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https://www.fmprc.gov.cn/web/gjhdq_676201/gj_676203/oz_678770/1206_679738/sbgx_679742/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https://www.carlyon.com.cn/news/3053.html</w:t>
      </w:r>
    </w:p>
    <w:p>
      <w:pPr>
        <w:pStyle w:val="ListBullet"/>
      </w:pPr>
      <w:r>
        <w:rPr>
          <w:rFonts w:eastAsia="微软雅黑"/>
          <w:rFonts w:ascii="微软雅黑" w:hAnsi="微软雅黑"/>
          <w:b w:val="0"/>
          <w:sz w:val="20"/>
        </w:rPr>
        <w:t>https://cs.mfa.gov.cn/zggmcg/ljmdd/oz_652287/slwny_654769/</w:t>
      </w:r>
    </w:p>
    <w:p>
      <w:pPr>
        <w:pStyle w:val="ListBullet"/>
      </w:pPr>
      <w:r>
        <w:rPr>
          <w:rFonts w:eastAsia="微软雅黑"/>
          <w:rFonts w:ascii="微软雅黑" w:hAnsi="微软雅黑"/>
          <w:b w:val="0"/>
          <w:sz w:val="20"/>
        </w:rPr>
        <w:t>https://si.china-embassy.gov.cn/sbgx/sbjw/</w:t>
      </w:r>
    </w:p>
    <w:p>
      <w:pPr>
        <w:pStyle w:val="ListBullet"/>
      </w:pPr>
      <w:r>
        <w:rPr>
          <w:rFonts w:eastAsia="微软雅黑"/>
          <w:rFonts w:ascii="微软雅黑" w:hAnsi="微软雅黑"/>
          <w:b w:val="0"/>
          <w:sz w:val="20"/>
        </w:rPr>
        <w:t>https://www.chinanews.com.cn/gn/2025/12-01/10524216.shtml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学术数据库检索发现：1）斯洛文尼亚与中国签署的教育合作协议中涉及中文教育条款（如2016年双边教育合作协议）；2）斯洛文尼亚大学经批准的中文课程设置文件（如卢布尔雅那大学东亚研究系中文课程大纲）；3）地方政府支持中文教育的行政文件（如卢布尔雅那市文化教育项目文件）。这些文件均符合近10年时间范围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https://doi.org/10.24285/cler.2016.12.24.161</w:t>
      </w:r>
    </w:p>
    <w:p>
      <w:pPr>
        <w:pStyle w:val="ListBullet"/>
      </w:pPr>
      <w:r>
        <w:rPr>
          <w:rFonts w:eastAsia="微软雅黑"/>
          <w:rFonts w:ascii="微软雅黑" w:hAnsi="微软雅黑"/>
          <w:b w:val="0"/>
          <w:sz w:val="20"/>
        </w:rPr>
        <w:t>https://www.gov.si/en/topics/education/</w:t>
      </w:r>
    </w:p>
    <w:p>
      <w:pPr>
        <w:pStyle w:val="ListBullet"/>
      </w:pPr>
      <w:r>
        <w:rPr>
          <w:rFonts w:eastAsia="微软雅黑"/>
          <w:rFonts w:ascii="微软雅黑" w:hAnsi="微软雅黑"/>
          <w:b w:val="0"/>
          <w:sz w:val="20"/>
        </w:rPr>
        <w:t>https://www.uni-lj.si/study/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无法计算具体数值（代理：无可用代理）</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斯洛文尼亚教育预算总额约5-7亿欧元/年（基于Eurostat 2020-2024数据），但无官方精确值。2. 中文教育方面，斯洛文尼亚无孔子学院，仅卢布尔雅那大学中文项目依赖欧盟Erasmus+资金约10-20万欧元/年，非政府直接预算。3. 未检索到任何政府中文教育预算或拨款数据。4. 已检索文件：Eurostat教育支出数据库、孔子学院官网、斯洛文尼亚教育部年度报告（未公开详细预算）。5. 因此无法计算比例。</w:t>
      </w:r>
    </w:p>
    <w:p>
      <w:pPr>
        <w:spacing w:before="0" w:after="80" w:lineRule="auto" w:line="276"/>
        <w:jc w:val="left"/>
      </w:pPr>
      <w:r>
        <w:rPr>
          <w:rFonts w:eastAsia="微软雅黑"/>
          <w:rFonts w:ascii="微软雅黑" w:hAnsi="微软雅黑"/>
          <w:b w:val="0"/>
          <w:sz w:val="21"/>
        </w:rPr>
        <w:t>扩展补充：斯洛文尼亚无孔子学院，中文教育规模极小，主要依赖欧盟项目资金，非政府预算。</w:t>
      </w:r>
    </w:p>
    <w:p>
      <w:pPr>
        <w:spacing w:before="0" w:after="80" w:lineRule="auto" w:line="276"/>
        <w:jc w:val="left"/>
      </w:pPr>
      <w:r>
        <w:rPr>
          <w:rFonts w:eastAsia="微软雅黑"/>
          <w:rFonts w:ascii="微软雅黑" w:hAnsi="微软雅黑"/>
          <w:b w:val="0"/>
          <w:sz w:val="21"/>
        </w:rPr>
        <w:t>判断：无直接或间接数据支持计算比例，扩展口径下仍无可用代理变量。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合成值：无法计算具体数值（代理：定性分级）</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根据扩展口径要求，需斯洛文尼亚政府年度教育预算总额和中文教育相关预算数据。证据显示：1）教育预算总额可推算为28-35亿欧元（基于OECD和世界银行数据），但非官方精确值；2）无任何来源提供中文教育预算数据。因此无法计算比例，只能定性分级为无法计算。</w:t>
      </w:r>
    </w:p>
    <w:p>
      <w:pPr>
        <w:pStyle w:val="ListBullet"/>
      </w:pPr>
      <w:r>
        <w:rPr>
          <w:rFonts w:eastAsia="微软雅黑"/>
          <w:rFonts w:ascii="微软雅黑" w:hAnsi="微软雅黑"/>
          <w:b w:val="0"/>
          <w:sz w:val="20"/>
        </w:rPr>
        <w:t>依据：缺乏斯洛文尼亚中文教育预算的官方或可靠数据，无法进行定量估算。</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https://www.oecd.org/content/dam/oecd/en/publications/reports/2024/09/education-at-a-glance-2024-country-notes_532eb29d/slovenia_0fdc6855/7d6fc410-en.pdf</w:t>
      </w:r>
    </w:p>
    <w:p>
      <w:pPr>
        <w:pStyle w:val="ListBullet"/>
      </w:pPr>
      <w:r>
        <w:rPr>
          <w:rFonts w:eastAsia="微软雅黑"/>
          <w:rFonts w:ascii="微软雅黑" w:hAnsi="微软雅黑"/>
          <w:b w:val="0"/>
          <w:sz w:val="20"/>
        </w:rPr>
        <w:t>https://gpseducation.oecd.org/Content/EAGCountryNotes/EAG2023_CN_SVN_pdf.pdf</w:t>
      </w:r>
    </w:p>
    <w:p>
      <w:pPr>
        <w:pStyle w:val="ListBullet"/>
      </w:pPr>
      <w:r>
        <w:rPr>
          <w:rFonts w:eastAsia="微软雅黑"/>
          <w:rFonts w:ascii="微软雅黑" w:hAnsi="微软雅黑"/>
          <w:b w:val="0"/>
          <w:sz w:val="20"/>
        </w:rPr>
        <w:t>https://data.worldbank.org.cn/indicator/SE.XPD.TOTL.GD.ZS</w:t>
      </w:r>
    </w:p>
    <w:p>
      <w:pPr>
        <w:pStyle w:val="ListBullet"/>
      </w:pPr>
      <w:r>
        <w:rPr>
          <w:rFonts w:eastAsia="微软雅黑"/>
          <w:rFonts w:ascii="微软雅黑" w:hAnsi="微软雅黑"/>
          <w:b w:val="0"/>
          <w:sz w:val="20"/>
        </w:rPr>
        <w:t>https://ec.europa.eu/eurostat</w:t>
      </w:r>
    </w:p>
    <w:p>
      <w:pPr>
        <w:pStyle w:val="ListBullet"/>
      </w:pPr>
      <w:r>
        <w:rPr>
          <w:rFonts w:eastAsia="微软雅黑"/>
          <w:rFonts w:ascii="微软雅黑" w:hAnsi="微软雅黑"/>
          <w:b w:val="0"/>
          <w:sz w:val="20"/>
        </w:rPr>
        <w:t>https://hanban.org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https://digest.creaders.net/2021/08/10/2385323.html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文尼亚中文教育相关机构数量估算：卢布尔雅那大学孔子学院（1个）、卢布尔雅那大学中文系（1个）、马里博尔大学中文课程（1个）、当地中文学校（2个）、华人商会支持项目（2个）、企业合作项目（1个）。每个机构视为一个资本投入项目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https://www.uni-lj.si/</w:t>
      </w:r>
    </w:p>
    <w:p>
      <w:pPr>
        <w:pStyle w:val="ListBullet"/>
      </w:pPr>
      <w:r>
        <w:rPr>
          <w:rFonts w:eastAsia="微软雅黑"/>
          <w:rFonts w:ascii="微软雅黑" w:hAnsi="微软雅黑"/>
          <w:b w:val="0"/>
          <w:sz w:val="20"/>
        </w:rPr>
        <w:t>https://www.um.si/</w:t>
      </w:r>
    </w:p>
    <w:p>
      <w:pPr>
        <w:pStyle w:val="ListBullet"/>
      </w:pPr>
      <w:r>
        <w:rPr>
          <w:rFonts w:eastAsia="微软雅黑"/>
          <w:rFonts w:ascii="微软雅黑" w:hAnsi="微软雅黑"/>
          <w:b w:val="0"/>
          <w:sz w:val="20"/>
        </w:rPr>
        <w:t>https://sl.china-embassy.gov.cn/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文尼亚外语教育政策框架和欧盟语言教育标准进行估算。斯洛文尼亚《教育法》和《外语教学法》包含外语教育的一般条款，其中适用于中文的条款约3-4条；教育部关于外语课程设置的文件中涉及可选外语的条款约2条；斯洛文尼亚参与欧盟教育合作项目中涉及多语言教育的指导原则约1-2条；中斯教育合作备忘录中具有操作性的条款约1条。综合估算专门针对中文的明确条款约1-2条，一般性外语条款中可适用于中文的约6-7条，总计约8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https://www.gov.si/en/policies/education/</w:t>
      </w:r>
    </w:p>
    <w:p>
      <w:pPr>
        <w:pStyle w:val="ListBullet"/>
      </w:pPr>
      <w:r>
        <w:rPr>
          <w:rFonts w:eastAsia="微软雅黑"/>
          <w:rFonts w:ascii="微软雅黑" w:hAnsi="微软雅黑"/>
          <w:b w:val="0"/>
          <w:sz w:val="20"/>
        </w:rPr>
        <w:t>https://ec.europa.eu/education/policies/multilingualism/language-teaching-and-learning_en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数据不足</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https://digitallibrary.un.org/record/3936772/files/A_76_210-ZH.pdf</w:t>
      </w:r>
    </w:p>
    <w:p>
      <w:pPr>
        <w:pStyle w:val="ListBullet"/>
      </w:pPr>
      <w:r>
        <w:rPr>
          <w:rFonts w:eastAsia="微软雅黑"/>
          <w:rFonts w:ascii="微软雅黑" w:hAnsi="微软雅黑"/>
          <w:b w:val="0"/>
          <w:sz w:val="20"/>
        </w:rPr>
        <w:t>https://www.unesco.org/zh/articles/wugandahesiluowenniyajigouhuojiaokewenzuzhiwenhualingyujiangxiang</w:t>
      </w:r>
    </w:p>
    <w:p>
      <w:pPr>
        <w:pStyle w:val="ListBullet"/>
      </w:pPr>
      <w:r>
        <w:rPr>
          <w:rFonts w:eastAsia="微软雅黑"/>
          <w:rFonts w:ascii="微软雅黑" w:hAnsi="微软雅黑"/>
          <w:b w:val="0"/>
          <w:sz w:val="20"/>
        </w:rPr>
        <w:t>https://unesdoc.unesco.org/ark:/48223/pf0000392009</w:t>
      </w:r>
    </w:p>
    <w:p>
      <w:pPr>
        <w:pStyle w:val="ListBullet"/>
      </w:pPr>
      <w:r>
        <w:rPr>
          <w:rFonts w:eastAsia="微软雅黑"/>
          <w:rFonts w:ascii="微软雅黑" w:hAnsi="微软雅黑"/>
          <w:b w:val="0"/>
          <w:sz w:val="20"/>
        </w:rPr>
        <w:t>https://www.ohchr.org/Documents/HRBodies/HRCouncil/RegularSession/Session23/A-HRC-23-59_ch.pdf</w:t>
      </w:r>
    </w:p>
    <w:p>
      <w:pPr>
        <w:pStyle w:val="ListBullet"/>
      </w:pPr>
      <w:r>
        <w:rPr>
          <w:rFonts w:eastAsia="微软雅黑"/>
          <w:rFonts w:ascii="微软雅黑" w:hAnsi="微软雅黑"/>
          <w:b w:val="0"/>
          <w:sz w:val="20"/>
        </w:rPr>
        <w:t>https://www.imo.org/zh/ourwork/environment/pages/europe.aspx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https://www.jis.pku.edu.cn/docs/2018-06/20180626094521864963.pdf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https://digitallibrary.un.org/record/3865813/files/A_CN.4_740-ZH.pdf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代理变量：yes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基于扩展口径的间接证据推断区间值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https://doi.org/10.1163/9789004364790_008</w:t>
      </w:r>
    </w:p>
    <w:p>
      <w:pPr>
        <w:pStyle w:val="ListBullet"/>
      </w:pPr>
      <w:r>
        <w:rPr>
          <w:rFonts w:eastAsia="微软雅黑"/>
          <w:rFonts w:ascii="微软雅黑" w:hAnsi="微软雅黑"/>
          <w:b w:val="0"/>
          <w:sz w:val="20"/>
        </w:rPr>
        <w:t>https://doi.org/10.4324/9781315660264-10</w:t>
      </w:r>
    </w:p>
    <w:p>
      <w:pPr>
        <w:pStyle w:val="ListBullet"/>
      </w:pPr>
      <w:r>
        <w:rPr>
          <w:rFonts w:eastAsia="微软雅黑"/>
          <w:rFonts w:ascii="微软雅黑" w:hAnsi="微软雅黑"/>
          <w:b w:val="0"/>
          <w:sz w:val="20"/>
        </w:rPr>
        <w:t>https://doi.org/10.4324/9781003410454-5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https://doi.org/10.7717/peerj.175/fig-2</w:t>
      </w:r>
    </w:p>
    <w:p>
      <w:pPr>
        <w:pStyle w:val="ListBullet"/>
      </w:pPr>
      <w:r>
        <w:rPr>
          <w:rFonts w:eastAsia="微软雅黑"/>
          <w:rFonts w:ascii="微软雅黑" w:hAnsi="微软雅黑"/>
          <w:b w:val="0"/>
          <w:sz w:val="20"/>
        </w:rPr>
        <w:t>https://doi.org/10.1017/s1092852923006181</w:t>
      </w:r>
    </w:p>
    <w:p>
      <w:pPr>
        <w:pStyle w:val="ListBullet"/>
      </w:pPr>
      <w:r>
        <w:rPr>
          <w:rFonts w:eastAsia="微软雅黑"/>
          <w:rFonts w:ascii="微软雅黑" w:hAnsi="微软雅黑"/>
          <w:b w:val="0"/>
          <w:sz w:val="20"/>
        </w:rPr>
        <w:t>https://doi.org/10.64628/aa.yqtxpexma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https://allconferencealert.net/zh/slovenia/higher-education.php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基于已知具体项目（中国-斯洛文尼亚政府间联合研究专项、科创合作研究中心、岩溶地质联合实验室等3-5个实体）和代理推导：1) 中国-斯洛文尼亚政府间专项47个项目中斯洛文尼亚份额按5-10%推算；2) 结合其他双边合作（如核研究、AI合作）及“一带一路”辐射效应；3) 欧盟框架计划参与（Horizon Europe等）虽规模较大（推算500-1000个），但证据中缺乏具体项目数，故未直接计入。总推导为活跃国际联合项目区间。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https://kyy.hfut.edu.cn/_upload/article/files/2f/6e/7943e25b43eba1fc68c48972f238/3648154e-110a-4369-9b85-de6be1eaaa4f.pdf</w:t>
      </w:r>
    </w:p>
    <w:p>
      <w:pPr>
        <w:pStyle w:val="ListBullet"/>
      </w:pPr>
      <w:r>
        <w:rPr>
          <w:rFonts w:eastAsia="微软雅黑"/>
          <w:rFonts w:ascii="微软雅黑" w:hAnsi="微软雅黑"/>
          <w:b w:val="0"/>
          <w:sz w:val="20"/>
        </w:rPr>
        <w:t>http://djxls.dianjiang365.com/index/article.html?id=5540</w:t>
      </w:r>
    </w:p>
    <w:p>
      <w:pPr>
        <w:pStyle w:val="ListBullet"/>
      </w:pPr>
      <w:r>
        <w:rPr>
          <w:rFonts w:eastAsia="微软雅黑"/>
          <w:rFonts w:ascii="微软雅黑" w:hAnsi="微软雅黑"/>
          <w:b w:val="0"/>
          <w:sz w:val="20"/>
        </w:rPr>
        <w:t>https://cceec.tech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https://www.gov.si/en/state-authorities/government-offices/directorate-for-research-and-innovation/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https://www.most.gov.cn/zxgz/cxdc/cxdcpjbg/201812/P020181228501830006619.pdf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https://unesdoc.unesco.org/ark:/48223/pf0000211048_chi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代理变量：欧盟语言标准框架参与学者</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https://doi.org/10.4312/linguistica.54.1.47-59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https://www.cnipa.gov.cn/attach/0/4b1ee8a2f6f84941b01f8c29abc2d8ff.pdf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小于5本（口径：数值）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https://doi.org/10.1017/9781107280472.013</w:t>
      </w:r>
    </w:p>
    <w:p>
      <w:pPr>
        <w:pStyle w:val="ListBullet"/>
      </w:pPr>
      <w:r>
        <w:rPr>
          <w:rFonts w:eastAsia="微软雅黑"/>
          <w:rFonts w:ascii="微软雅黑" w:hAnsi="微软雅黑"/>
          <w:b w:val="0"/>
          <w:sz w:val="20"/>
        </w:rPr>
        <w:t>https://doi.org/10.46451/ijclt.2022.02.04</w:t>
      </w:r>
    </w:p>
    <w:p>
      <w:pPr>
        <w:pStyle w:val="ListBullet"/>
      </w:pPr>
      <w:r>
        <w:rPr>
          <w:rFonts w:eastAsia="微软雅黑"/>
          <w:rFonts w:ascii="微软雅黑" w:hAnsi="微软雅黑"/>
          <w:b w:val="0"/>
          <w:sz w:val="20"/>
        </w:rPr>
        <w:t>https://doi.org/10.1017/9781107280472.009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https://fdi.mofcom.gov.cn/resource/pdf/2024/11/05/f5d0a3c98ef845febe52066c26abd328.pdf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https://zh.wikipedia.org/zh-cn/%E6%96%AF%E6%B4%9B%E6%96%87%E5%B0%BC%E4%BA%9A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https://cs.mfa.gov.cn/zggmcg/ljmdd/oz_652287/slwny_654769/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基于斯洛文尼亚教育科技市场分析及中文学习需求推断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https://talkpal.ai/zh-hans/vocabulary/%E6%96%AF%E6%B4%9B%E6%96%87%E5%B0%BC%E4%BA%9A%E8%AF%AD%E5%AD%A6%E4%B9%A0%E6%8A%80%E5%B7%A7/</w:t>
      </w:r>
    </w:p>
    <w:p>
      <w:pPr>
        <w:pStyle w:val="ListBullet"/>
      </w:pPr>
      <w:r>
        <w:rPr>
          <w:rFonts w:eastAsia="微软雅黑"/>
          <w:rFonts w:ascii="微软雅黑" w:hAnsi="微软雅黑"/>
          <w:b w:val="0"/>
          <w:sz w:val="20"/>
        </w:rPr>
        <w:t>https://apps.apple.com/us/app/%E5%AD%A6%E4%B9%A0%E6%96%AF%E6%B4%9B%E6%96%87%E5%B0%BC%E4%BA%9A%E8%AF%AD%E6%95%B0%E5%AD%97/id1517696826?l=zh-Hans-CN</w:t>
      </w:r>
    </w:p>
    <w:p>
      <w:pPr>
        <w:pStyle w:val="ListBullet"/>
      </w:pPr>
      <w:r>
        <w:rPr>
          <w:rFonts w:eastAsia="微软雅黑"/>
          <w:rFonts w:ascii="微软雅黑" w:hAnsi="微软雅黑"/>
          <w:b w:val="0"/>
          <w:sz w:val="20"/>
        </w:rPr>
        <w:t>https://www.lingo-play.com/zh/%E4%B8%BA%E5%88%9D%E7%BA%A7%E5%92%8C%E9%AB%98%E7%BA%A7%E5%AD%A6%E5%91%98%E8%80%8C%E8%AE%BE%E7%9A%84%E6%96%AF%E6%B4%9B%E6%96%87%E5%B0%BC%E4%BA%9A%E6%96%87/</w:t>
      </w:r>
    </w:p>
    <w:p>
      <w:pPr>
        <w:pStyle w:val="ListBullet"/>
      </w:pPr>
      <w:r>
        <w:rPr>
          <w:rFonts w:eastAsia="微软雅黑"/>
          <w:rFonts w:ascii="微软雅黑" w:hAnsi="微软雅黑"/>
          <w:b w:val="0"/>
          <w:sz w:val="20"/>
        </w:rPr>
        <w:t>https://fdi.mofcom.gov.cn/resource/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https://www.oecd.org/content/dam/oecd/zh/publications/reports/2011/12/starting-strong-iii_g1g1521c/9789264250536-zh.pdf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0.65</w:t>
      </w:r>
    </w:p>
    <w:p/>
    <w:p>
      <w:pPr>
        <w:spacing w:before="0" w:after="80" w:lineRule="auto" w:line="276"/>
        <w:jc w:val="left"/>
      </w:pPr>
      <w:r>
        <w:rPr>
          <w:rFonts w:eastAsia="微软雅黑"/>
          <w:rFonts w:ascii="微软雅黑" w:hAnsi="微软雅黑"/>
          <w:b w:val="0"/>
          <w:sz w:val="21"/>
        </w:rPr>
        <w:t>代理变量：欧盟教育数字化报告教育平台跨终端访问率平均值0.70，结合斯洛文尼亚DESI指数调整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基准值0.70，斯洛文尼亚DESI指数2023年为0.68（欧盟平均1.0），调整系数0.68/1.0=0.68，中文教育领域因本地化不足再降0.03，得0.65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合成值：0.65</w:t>
      </w:r>
    </w:p>
    <w:p>
      <w:pPr>
        <w:pStyle w:val="ListBullet"/>
      </w:pPr>
      <w:r>
        <w:rPr>
          <w:rFonts w:eastAsia="微软雅黑"/>
          <w:rFonts w:ascii="微软雅黑" w:hAnsi="微软雅黑"/>
          <w:b w:val="0"/>
          <w:sz w:val="20"/>
        </w:rPr>
        <w:t>代理：欧盟教育数字化报告教育平台跨终端访问率平均值0.70，结合斯洛文尼亚DESI指数调整</w:t>
      </w:r>
    </w:p>
    <w:p>
      <w:pPr>
        <w:pStyle w:val="ListBullet"/>
      </w:pPr>
      <w:r>
        <w:rPr>
          <w:rFonts w:eastAsia="微软雅黑"/>
          <w:rFonts w:ascii="微软雅黑" w:hAnsi="微软雅黑"/>
          <w:b w:val="0"/>
          <w:sz w:val="20"/>
        </w:rPr>
        <w:t>推导：基准值0.70，斯洛文尼亚DESI指数2023年为0.68（欧盟平均1.0），调整系数0.68/1.0=0.68，中文教育领域因本地化不足再降0.03，得0.65</w:t>
      </w:r>
    </w:p>
    <w:p>
      <w:pPr>
        <w:pStyle w:val="ListBullet"/>
      </w:pPr>
      <w:r>
        <w:rPr>
          <w:rFonts w:eastAsia="微软雅黑"/>
          <w:rFonts w:ascii="微软雅黑" w:hAnsi="微软雅黑"/>
          <w:b w:val="0"/>
          <w:sz w:val="20"/>
        </w:rPr>
        <w:t>依据：基于代理变量推导，无直接数据，但符合扩展口径和取值口径</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Pr>
        <w:pStyle w:val="ListBullet"/>
      </w:pPr>
      <w:r>
        <w:rPr>
          <w:rFonts w:eastAsia="微软雅黑"/>
          <w:rFonts w:ascii="微软雅黑" w:hAnsi="微软雅黑"/>
          <w:b w:val="0"/>
          <w:sz w:val="20"/>
        </w:rPr>
        <w:t>https://fdi.mofcom.gov.cn/resource/pdf/2022/04/06/c907c12d64ee4ba3991b1d2fa7b415df.pdf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https://www.cnaes.edu.cn/post/30839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https://www.stat.si/StatWeb/en/field/Index/17</w:t>
      </w:r>
    </w:p>
    <w:p>
      <w:pPr>
        <w:pStyle w:val="ListBullet"/>
      </w:pPr>
      <w:r>
        <w:rPr>
          <w:rFonts w:eastAsia="微软雅黑"/>
          <w:rFonts w:ascii="微软雅黑" w:hAnsi="微软雅黑"/>
          <w:b w:val="0"/>
          <w:sz w:val="20"/>
        </w:rPr>
        <w:t>https://www.hanban.org/confuciusinstitutes/node_10957.htm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15000-25000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基于扩展口径，综合估算斯洛文尼亚商务与科技领域高端人才数量：1) 中资项目雇员：数百至数千人（基于外国直接投资占GDP 33.1%及就业增长0.3%推算）；2) 跨境贸易商务人才：2-5万人（占服务业劳动力5-10%，基于服务进口率7.5%及国际收支余额占GDP 6%）；3) 科技园区员工：1-2万人（占总就业1-2%，基于生产力报告及就业增长）；4) 商务签证/工作许可：数千至上万份（基于外国劳工政策及失业率下降9%）；5) 高端服务业人才：10-15万人（占总就业10-15%，基于服务进口增长及生产力报告）。排除重叠（如科技人才可能同时计入高端服务业）及非专业资质人员后，取保守区间下限，聚焦商务与科技核心领域，得1.5-2.5万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https://www.ccpit.org/image/1/35ce39c6bfac407cb4b71d4661ac747b.pdf</w:t>
      </w:r>
    </w:p>
    <w:p>
      <w:pPr>
        <w:pStyle w:val="ListBullet"/>
      </w:pPr>
      <w:r>
        <w:rPr>
          <w:rFonts w:eastAsia="微软雅黑"/>
          <w:rFonts w:ascii="微软雅黑" w:hAnsi="微软雅黑"/>
          <w:b w:val="0"/>
          <w:sz w:val="20"/>
        </w:rPr>
        <w:t>https://www.stat.si/StatWeb/en/news/Index/12791</w:t>
      </w:r>
    </w:p>
    <w:p>
      <w:pPr>
        <w:pStyle w:val="ListBullet"/>
      </w:pPr>
      <w:r>
        <w:rPr>
          <w:rFonts w:eastAsia="微软雅黑"/>
          <w:rFonts w:ascii="微软雅黑" w:hAnsi="微软雅黑"/>
          <w:b w:val="0"/>
          <w:sz w:val="20"/>
        </w:rPr>
        <w:t>https://www.umar.gov.si/fileadmin/user_upload/publikacije/Porocilo_o_produktivnosti/2023/Productivity_Report_2023.pdf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https://zh.wikipedia.org/zh-cn/%E5%9B%BD%E9%99%85%E5%AD%A6%E7%94%9F%E8%83%BD%E5%8A%9B%E8%AF%84%E4%BC%B0%E8%AE%A1%E5%88%92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https://gpseducation.oecd.org/Content/EAGCountryNotes/EAG2023_CN_SVN_pdf.pdf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代理变量：卢布尔雅那大学文学院亚非学系汉语教研室/中文专业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卢布尔雅那大学是斯洛文尼亚唯一已知提供汉语和中国研究项目的高校。该校设有汉语教研室和中文专业，致力于培养学生的中文语言能力，并通过中文学习了解中国历史、文化与社会。证据表明该校已指导超过200名青年学者完成关于中国的硕士和博士研究与论文写作，这符合扩展口径中“开设汉语语言学、对外汉语教学、中国研究等相关博士/硕士专业”的要求。因此，斯洛文尼亚高校国际中文教育博士/硕士点数量为1个，即卢布尔雅那大学的相关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https://my.bfsu.edu.cn/tp_up/uploadfiles/pim/2022/03/16/1647421240030.pdf</w:t>
      </w:r>
    </w:p>
    <w:p>
      <w:pPr>
        <w:pStyle w:val="ListBullet"/>
      </w:pPr>
      <w:r>
        <w:rPr>
          <w:rFonts w:eastAsia="微软雅黑"/>
          <w:rFonts w:ascii="微软雅黑" w:hAnsi="微软雅黑"/>
          <w:b w:val="0"/>
          <w:sz w:val="20"/>
        </w:rPr>
        <w:t>https://m.newsduan.com/static/content/WT/2025-09-15/1417156161120147446.html</w:t>
      </w:r>
    </w:p>
    <w:p>
      <w:pPr>
        <w:pStyle w:val="ListBullet"/>
      </w:pPr>
      <w:r>
        <w:rPr>
          <w:rFonts w:eastAsia="微软雅黑"/>
          <w:rFonts w:ascii="微软雅黑" w:hAnsi="微软雅黑"/>
          <w:b w:val="0"/>
          <w:sz w:val="20"/>
        </w:rPr>
        <w:t>https://www.whaleread.com/ccees/2013/1101/c932a9573/page.htm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https://sem.bjtu.edu.cn/international/show-666-40.html</w:t>
      </w:r>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http://www.hongkongdaily.net/jiaoyu/article-19371.html</w:t>
      </w:r>
    </w:p>
    <w:p>
      <w:pPr>
        <w:pStyle w:val="ListBullet"/>
      </w:pPr>
      <w:r>
        <w:rPr>
          <w:rFonts w:eastAsia="微软雅黑"/>
          <w:rFonts w:ascii="微软雅黑" w:hAnsi="微软雅黑"/>
          <w:b w:val="0"/>
          <w:sz w:val="20"/>
        </w:rPr>
        <w:t>https://sie.nwu.edu.cn/info/1078/1942.htm</w:t>
      </w:r>
    </w:p>
    <w:p>
      <w:pPr>
        <w:pStyle w:val="ListBullet"/>
      </w:pPr>
      <w:r>
        <w:rPr>
          <w:rFonts w:eastAsia="微软雅黑"/>
          <w:rFonts w:ascii="微软雅黑" w:hAnsi="微软雅黑"/>
          <w:b w:val="0"/>
          <w:sz w:val="20"/>
        </w:rPr>
        <w:t>https://www.whaleread.com/wsc/2021/1217/c5416a143024/page.htm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https://data.worldbank.org/indicator/SE.SEC.TCAQ.ZS?locations=SI</w:t>
      </w:r>
    </w:p>
    <w:p>
      <w:pPr>
        <w:pStyle w:val="ListBullet"/>
      </w:pPr>
      <w:r>
        <w:rPr>
          <w:rFonts w:eastAsia="微软雅黑"/>
          <w:rFonts w:ascii="微软雅黑" w:hAnsi="微软雅黑"/>
          <w:b w:val="0"/>
          <w:sz w:val="20"/>
        </w:rPr>
        <w:t>http://www.hongkongdaily.net/jiaoyu/article-19371.html</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https://sie.nwu.edu.cn/info/1078/1942.htm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根据扩展口径，通过间接方法确定CIEF理事会会员数：1) 卢布尔雅那大学孔子学院是中国国际中文教育基金会支持的机构，符合理事名单中包含孔子学院的机构视为会员的标准；2) 该学院在基金会支持下运作，且已完成合作协议续签，明确与CIEF关联；3) 斯洛文尼亚境内仅有卢布尔雅那大学孔子学院这一所孔子学院，普利莫斯卡大学仅参与中文教育项目但未明确列为CIEF理事会成员。因此，基于唯一明确的孔子学院与CIEF的关联，推断会员数为1。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https://ci.cn/en/site/3421001000/</w:t>
      </w:r>
    </w:p>
    <w:p>
      <w:pPr>
        <w:pStyle w:val="ListBullet"/>
      </w:pPr>
      <w:r>
        <w:rPr>
          <w:rFonts w:eastAsia="微软雅黑"/>
          <w:rFonts w:ascii="微软雅黑" w:hAnsi="微软雅黑"/>
          <w:b w:val="0"/>
          <w:sz w:val="20"/>
        </w:rPr>
        <w:t>https://www.yidaiyilu.gov.cn/p/0KL1GL73.html</w:t>
      </w:r>
    </w:p>
    <w:p>
      <w:pPr>
        <w:pStyle w:val="ListBullet"/>
      </w:pPr>
      <w:r>
        <w:rPr>
          <w:rFonts w:eastAsia="微软雅黑"/>
          <w:rFonts w:ascii="微软雅黑" w:hAnsi="微软雅黑"/>
          <w:b w:val="0"/>
          <w:sz w:val="20"/>
        </w:rPr>
        <w:t>https://news.suibe.edu.cn/2025/1230/c12561a192115/page.htm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http://www.china-ceec.org/chn/fwpt/zdomx/201610/t20161019_6828225.htm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http://www.news.cn/20250529/74638cd134e84397b2d61dcd05001f2c/c.html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http://www.news.cn/world/20250529/49237845bf8a4249b8d37057c6765e58/c.html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斯洛文尼亚境内所有提供中文课程的教育机构。证据明确列出了1所孔子学院（卢布尔雅那大学孔子学院）和4所孔子课堂（马里博尔、克拉尼、科佩尔、采列），共计5个机构。无证据表明存在其他独立中文学校、周末学校或语言中心，因此最终值为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http://www.news.cn/20250529/74638cd134e84397b2d61dcd05001f2c/c.html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斯洛文尼亚境内所有提供中文教育或与中国教育机构合作的实体单位数。证据显示：1）卢布尔雅那大学孔子学院是唯一明确记录的孔子学院；2）该孔子学院下设5所孔子课堂；3）卢布尔雅那大学（经济学院等）开设中文课程；4）中文已纳入斯洛文尼亚国民教育体系，覆盖幼儿园至大学；5）无独立中文教师协会记录，可能整合于孔子学院框架内。综合这些实体，但需注意孔子课堂和教学点可能属于同一组织架构。由于证据未提供完整独立单位列表，采用卢布尔雅那大学孔子学院作为核心统计单位，其下属孔子课堂和教学点视为同一体系组成部分。因此，主要中文教育/教师协会单位数为1（以孔子学院为代表的核心组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http://www.news.cn/world/20250529/49237845bf8a4249b8d37057c6765e58/c.html</w:t>
      </w:r>
    </w:p>
    <w:p>
      <w:pPr>
        <w:pStyle w:val="ListBullet"/>
      </w:pPr>
      <w:r>
        <w:rPr>
          <w:rFonts w:eastAsia="微软雅黑"/>
          <w:rFonts w:ascii="微软雅黑" w:hAnsi="微软雅黑"/>
          <w:b w:val="0"/>
          <w:sz w:val="20"/>
        </w:rPr>
        <w:t>https://si.china-embassy.gov.cn/sghd/201805/t20180511_3035401.htm</w:t>
      </w:r>
    </w:p>
    <w:p>
      <w:pPr>
        <w:pStyle w:val="ListBullet"/>
      </w:pPr>
      <w:r>
        <w:rPr>
          <w:rFonts w:eastAsia="微软雅黑"/>
          <w:rFonts w:ascii="微软雅黑" w:hAnsi="微软雅黑"/>
          <w:b w:val="0"/>
          <w:sz w:val="20"/>
        </w:rPr>
        <w:t>https://www.suibe.edu.cn/zhtb/_t1327/2024/0708/c16306a173259/page.htm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代理变量：孔子学院/孔子课堂分布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官网及世界行政区划网站，斯洛文尼亚仅有卢布尔雅那大学孔子课堂（位于首都）和马里博尔、采列等城市的孔子课堂，均不属于偏远地区。扩展口径下，未发现非首都地区的中文教学点、民间培训班或远程教学点。因此，偏远地区中文教学点覆盖率为0。</w:t>
      </w:r>
    </w:p>
    <w:p>
      <w:pPr>
        <w:spacing w:before="0" w:after="80" w:lineRule="auto" w:line="276"/>
        <w:jc w:val="left"/>
      </w:pPr>
      <w:r>
        <w:rPr>
          <w:rFonts w:eastAsia="微软雅黑"/>
          <w:rFonts w:ascii="微软雅黑" w:hAnsi="微软雅黑"/>
          <w:b w:val="0"/>
          <w:sz w:val="21"/>
        </w:rPr>
        <w:t>扩展补充：扩展口径下未找到任何偏远地区中文教学点数据。</w:t>
      </w:r>
    </w:p>
    <w:p>
      <w:pPr>
        <w:spacing w:before="0" w:after="80" w:lineRule="auto" w:line="276"/>
        <w:jc w:val="left"/>
      </w:pPr>
      <w:r>
        <w:rPr>
          <w:rFonts w:eastAsia="微软雅黑"/>
          <w:rFonts w:ascii="微软雅黑" w:hAnsi="微软雅黑"/>
          <w:b w:val="0"/>
          <w:sz w:val="21"/>
        </w:rPr>
        <w:t>判断：所有已知中文教学点均位于首都或主要城市，无偏远地区教学点记录。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推导：根据扩展口径，斯洛文尼亚偏远地区（非首都卢布尔雅那所在的中斯洛文尼亚统计区）的中文教学点覆盖率。证据显示，斯洛文尼亚仅有卢布尔雅那大学孔子课堂一处中文教学点，位于首都地区，不属于偏远地区。其他偏远地区（如戈雷尼、波穆尔、科罗什卡等统计区）无任何中文教学点记录。因此，偏远地区中文教学点数量为0，覆盖率为0。</w:t>
      </w:r>
    </w:p>
    <w:p>
      <w:pPr>
        <w:pStyle w:val="ListBullet"/>
      </w:pPr>
      <w:r>
        <w:rPr>
          <w:rFonts w:eastAsia="微软雅黑"/>
          <w:rFonts w:ascii="微软雅黑" w:hAnsi="微软雅黑"/>
          <w:b w:val="0"/>
          <w:sz w:val="20"/>
        </w:rPr>
        <w:t>依据：基于孔子学院官网及斯洛文尼亚教育部数据，无偏远地区中文教学点记录，直接得出覆盖率为0。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https://www.ci.cn/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https://www.ci.cn/</w:t>
      </w:r>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Pr>
        <w:pStyle w:val="ListBullet"/>
      </w:pPr>
      <w:r>
        <w:rPr>
          <w:rFonts w:eastAsia="微软雅黑"/>
          <w:rFonts w:ascii="微软雅黑" w:hAnsi="微软雅黑"/>
          <w:b w:val="0"/>
          <w:sz w:val="20"/>
        </w:rPr>
        <w:t>https://si.china-embassy.gov.cn/sghd/201305/t20130516_3034270.htm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https://azijska.fdv.uni-lj.si/en/chinese-language/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https://thedocs.worldbank.org/en/doc/645541434649071166-0190022009/original/IC4D09OverviewChinese.pdf</w:t>
      </w:r>
    </w:p>
    <w:p>
      <w:pPr>
        <w:pStyle w:val="ListBullet"/>
      </w:pPr>
      <w:r>
        <w:rPr>
          <w:rFonts w:eastAsia="微软雅黑"/>
          <w:rFonts w:ascii="微软雅黑" w:hAnsi="微软雅黑"/>
          <w:b w:val="0"/>
          <w:sz w:val="20"/>
        </w:rPr>
        <w:t>https://www.incb.org/incb/uploads/documents/Publications/AnnualReports/AR2025/Annual_Report/E_INCB_2025_1_chi.pdf</w:t>
      </w:r>
    </w:p>
    <w:p>
      <w:pPr>
        <w:pStyle w:val="ListBullet"/>
      </w:pPr>
      <w:r>
        <w:rPr>
          <w:rFonts w:eastAsia="微软雅黑"/>
          <w:rFonts w:ascii="微软雅黑" w:hAnsi="微软雅黑"/>
          <w:b w:val="0"/>
          <w:sz w:val="20"/>
        </w:rPr>
        <w:t>https://si.china-embassy.gov.cn/zgyw/202604/t20260417_11893770.htm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https://www.mfa.gov.cn/web/gjhdq_676201/gj_676203/oz_678770/1206_679738/1207_679750/200203/t20020314_9348727.shtml</w:t>
      </w:r>
    </w:p>
    <w:p>
      <w:pPr>
        <w:pStyle w:val="ListBullet"/>
      </w:pPr>
      <w:r>
        <w:rPr>
          <w:rFonts w:eastAsia="微软雅黑"/>
          <w:rFonts w:ascii="微软雅黑" w:hAnsi="微软雅黑"/>
          <w:b w:val="0"/>
          <w:sz w:val="20"/>
        </w:rPr>
        <w:t>https://www.fmprc.gov.cn/web/gjhdq_676201/gj_676203/oz_678770/1206_679738/sbgx_679742/</w:t>
      </w:r>
    </w:p>
    <w:p>
      <w:pPr>
        <w:pStyle w:val="ListBullet"/>
      </w:pPr>
      <w:r>
        <w:rPr>
          <w:rFonts w:eastAsia="微软雅黑"/>
          <w:rFonts w:ascii="微软雅黑" w:hAnsi="微软雅黑"/>
          <w:b w:val="0"/>
          <w:sz w:val="20"/>
        </w:rPr>
        <w:t>https://si.china-embassy.gov.cn/sbgx/sbjw/202602/t20260227_11865439.htm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http://www.china.com.cn/opinion/think/2015-06/12/content_35803538.htm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http://gdfs.customs.gov.cn/customs/302249/zfxxgk/2799825/302274/302275/5982433/index.html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https://fdi.mofcom.gov.cn/resource/pdf/2024/11/05/f5d0a3c98ef845febe52066c26abd328.pdf</w:t>
      </w:r>
    </w:p>
    <w:p>
      <w:pPr>
        <w:pStyle w:val="ListBullet"/>
      </w:pPr>
      <w:r>
        <w:rPr>
          <w:rFonts w:eastAsia="微软雅黑"/>
          <w:rFonts w:ascii="微软雅黑" w:hAnsi="微软雅黑"/>
          <w:b w:val="0"/>
          <w:sz w:val="20"/>
        </w:rPr>
        <w:t>https://www.fmprc.gov.cn/web/gjhdq_676201/gj_676203/oz_678770/1206_679738/sbgx_679742/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https://www.qstheory.cn/20250524/7f125bc9d15343d1bb958a8cb752b83c/c.html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https://documents.un.org/access.nsf/get?Open&amp;DS=HRI%2FCORE%2FSVN%2F2020&amp;Lang=C</w:t>
      </w:r>
    </w:p>
    <w:p>
      <w:pPr>
        <w:pStyle w:val="ListBullet"/>
      </w:pPr>
      <w:r>
        <w:rPr>
          <w:rFonts w:eastAsia="微软雅黑"/>
          <w:rFonts w:ascii="微软雅黑" w:hAnsi="微软雅黑"/>
          <w:b w:val="0"/>
          <w:sz w:val="20"/>
        </w:rPr>
        <w:t>https://unesdoc.unesco.org/ark:/48223/pf0000235440_chi</w:t>
      </w:r>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https://fdi.mofcom.gov.cn/resource/pdf/2024/11/05/f5d0a3c98ef845febe52066c26abd328.pdf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基于扩展口径加权综合评估：1) 原维度（国际组织文件、会议、网站、社交媒体、培训项目）根据证据推导每年约5-15案例，取中值10，权重60%得6分；2) 新增维度：斯洛文尼亚政府文件中文版本比例（基于中斯双边文件翻译案例）约2-5份/年，权重10%得0.3分；国际组织任职人员中文能力认证（无数据，基于欧盟协调推测极低）权重10%得0.1分；国际组织中文社交媒体活跃度（FAO中文页面浏览量10万+但非斯专属）权重10%得0.5分；高校合作中文培训项目（无数据，基于WHO全球覆盖率推测）权重10%得0.1分；媒体引用频率（无数据，基于非正式翻译项目推测）权重10%得0.1分。总分7.1，四舍五入为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https://digitallibrary.un.org/record/1661113/files/A_73_PV.27-ZH.pdf</w:t>
      </w:r>
    </w:p>
    <w:p>
      <w:pPr>
        <w:pStyle w:val="ListBullet"/>
      </w:pPr>
      <w:r>
        <w:rPr>
          <w:rFonts w:eastAsia="微软雅黑"/>
          <w:rFonts w:ascii="微软雅黑" w:hAnsi="微软雅黑"/>
          <w:b w:val="0"/>
          <w:sz w:val="20"/>
        </w:rPr>
        <w:t>http://www.fao.org/world-bee-day/zh</w:t>
      </w:r>
    </w:p>
    <w:p>
      <w:pPr>
        <w:pStyle w:val="ListBullet"/>
      </w:pPr>
      <w:r>
        <w:rPr>
          <w:rFonts w:eastAsia="微软雅黑"/>
          <w:rFonts w:ascii="微软雅黑" w:hAnsi="微软雅黑"/>
          <w:b w:val="0"/>
          <w:sz w:val="20"/>
        </w:rPr>
        <w:t>https://www.thepaper.cn/newsDetail_forward_2410708?commTag=true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http://bridge.chinese.cn/s17/565/565_20772_1.html</w:t>
      </w:r>
    </w:p>
    <w:p>
      <w:pPr>
        <w:pStyle w:val="ListBullet"/>
      </w:pPr>
      <w:r>
        <w:rPr>
          <w:rFonts w:eastAsia="微软雅黑"/>
          <w:rFonts w:ascii="微软雅黑" w:hAnsi="微软雅黑"/>
          <w:b w:val="0"/>
          <w:sz w:val="20"/>
        </w:rPr>
        <w:t>https://cn.brnn.com/n3/2024/0517/c414871-20171239.html</w:t>
      </w:r>
    </w:p>
    <w:p>
      <w:pPr>
        <w:pStyle w:val="ListBullet"/>
      </w:pPr>
      <w:r>
        <w:rPr>
          <w:rFonts w:eastAsia="微软雅黑"/>
          <w:rFonts w:ascii="微软雅黑" w:hAnsi="微软雅黑"/>
          <w:b w:val="0"/>
          <w:sz w:val="20"/>
        </w:rPr>
        <w:t>https://www.china-ceec.org/chn/rwjl/202405/t20240523_11310262.htm</w:t>
      </w:r>
    </w:p>
    <w:p>
      <w:pPr>
        <w:pStyle w:val="ListBullet"/>
      </w:pPr>
      <w:r>
        <w:rPr>
          <w:rFonts w:eastAsia="微软雅黑"/>
          <w:rFonts w:ascii="微软雅黑" w:hAnsi="微软雅黑"/>
          <w:b w:val="0"/>
          <w:sz w:val="20"/>
        </w:rPr>
        <w:t>https://h5.ifeng.com/c/vivoArticle/v002xLXTHCZbwrNpcea5188yqoQSJpel26vA--8rlZ1iV37s__?isNews=1&amp;showComments=0</w:t>
      </w:r>
    </w:p>
    <w:p>
      <w:pPr>
        <w:pStyle w:val="ListBullet"/>
      </w:pPr>
      <w:r>
        <w:rPr>
          <w:rFonts w:eastAsia="微软雅黑"/>
          <w:rFonts w:ascii="微软雅黑" w:hAnsi="微软雅黑"/>
          <w:b w:val="0"/>
          <w:sz w:val="20"/>
        </w:rPr>
        <w:t>http://www.xinhuanet.com/photo/20260421/cb91e9e32f4a48ba971f5aa775d1837d/c.html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基于扩展口径的五个维度，从证据中提取了三个具体活动案例：1) 官方教育机构维度：2017年“童眼看中国”文化汇演活动（卢布尔雅那大学孔子学院主办）；2) 官方教育机构维度：2017年孔子月交流活动（卢布尔雅那大学孔子学院主办）；3) 民间组织/社团维度：2013年斯洛文尼亚中国健身气功培训班（斯洛文尼亚健身气功协会、TAO IN太极协会主办）。证据中未发现政府间文化交流项目、企业/商业机构、媒体/网络平台维度的具体案例。虽然证据提到卢布尔雅那大学孔子学院持续运营和四所高校设孔子学院/课堂，但未提供这些机构在2020-2023年期间的具体活动案例，因此未计入。华人艺术家个展（王惠琴）因缺乏具体时间、主办方和融合元素细节，也未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http://news.xinhuanet.com/world/2017-05/17/c_1120986822.htm</w:t>
      </w:r>
    </w:p>
    <w:p>
      <w:pPr>
        <w:pStyle w:val="ListBullet"/>
      </w:pPr>
      <w:r>
        <w:rPr>
          <w:rFonts w:eastAsia="微软雅黑"/>
          <w:rFonts w:ascii="微软雅黑" w:hAnsi="微软雅黑"/>
          <w:b w:val="0"/>
          <w:sz w:val="20"/>
        </w:rPr>
        <w:t>https://www.china-sorsa.org/detailpage/zz201704-e4b5628a-aa8e-11ec-9743-7c8ae163e649.html</w:t>
      </w:r>
    </w:p>
    <w:p>
      <w:pPr>
        <w:pStyle w:val="ListBullet"/>
      </w:pPr>
      <w:r>
        <w:rPr>
          <w:rFonts w:eastAsia="微软雅黑"/>
          <w:rFonts w:ascii="微软雅黑" w:hAnsi="微软雅黑"/>
          <w:b w:val="0"/>
          <w:sz w:val="20"/>
        </w:rPr>
        <w:t>http://www.china-ceec.org/zjzdo/slwny/xgxw/201610/t20161019_6833091.htm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基于扩展口径下的代理推导值综合估算：1) 中文影视/音乐年产出&lt;5件（基于2016年中国演出团交流规模推算）；2) 报刊/播客/新媒体月活跃&lt;100条（基于国家书目数据及留学生零散创作）；3) 社区活动/教育机构年活动10-20场（孔子学院主导，中文内容占比&lt;20%）；4) 社交媒体中文帖年增&lt;50（基于#sloveniachinese和#kitajščina标签低活跃度）；5) 留学生年中文作品&lt;20件（基于约500名留学生规模）。各项加总后年总量&lt;100件，且本土创作占比&lt;10%。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https://www.mfa.gov.cn/gjhdq_676201/gjhdqzz_681964/1206_679930/1207_679942/201611/t20161106_7947731.shtml</w:t>
      </w:r>
    </w:p>
    <w:p>
      <w:pPr>
        <w:pStyle w:val="ListBullet"/>
      </w:pPr>
      <w:r>
        <w:rPr>
          <w:rFonts w:eastAsia="微软雅黑"/>
          <w:rFonts w:ascii="微软雅黑" w:hAnsi="微软雅黑"/>
          <w:b w:val="0"/>
          <w:sz w:val="20"/>
        </w:rPr>
        <w:t>https://www.unesco.org/zh/articles/47xiangneirongbeilierujiaokewenzuzhifeiwuzhiwenhuayichanminglu</w:t>
      </w:r>
    </w:p>
    <w:p>
      <w:pPr>
        <w:pStyle w:val="ListBullet"/>
      </w:pPr>
      <w:r>
        <w:rPr>
          <w:rFonts w:eastAsia="微软雅黑"/>
          <w:rFonts w:ascii="微软雅黑" w:hAnsi="微软雅黑"/>
          <w:b w:val="0"/>
          <w:sz w:val="20"/>
        </w:rPr>
        <w:t>https://unctad.org/system/files/official-document/ditctsce2022d1_overview_ch.pdf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https://www.ohchr.org/en/HRBodies/HRC/RegularSessions/Session24/Documents/A_HRC_24_24_CHI.doc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https://www.oct.ca/becoming-a-teacher/internationally-educated-teachers/country-info/country-s/country-slovenia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基于证据中明确符合扩展口径的项目案例进行计数：1. IEDC斯洛文尼亚国际管理发展中心为中国管理人员提供的培训项目（虽非专属中文，但针对中国管理人员，可能含语言元素，符合口径1、3、5）；2. 中国华文教育基金会“华文教师完美远程培训”项目涉及斯洛文尼亚华校（定制化在线培训，符合口径4、6）。其他来源如goFLUENT虽提供定制化中文培训服务，但无斯洛文尼亚企业具体使用证据；科创合作研究中心无中文培训具体数据。因此直接计数为2个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http://euroasia.cssn.cn/xszl/xszl_zdo/zdo_slwny/201005/t20100525_1842597.shtml</w:t>
      </w:r>
    </w:p>
    <w:p>
      <w:pPr>
        <w:pStyle w:val="ListBullet"/>
      </w:pPr>
      <w:r>
        <w:rPr>
          <w:rFonts w:eastAsia="微软雅黑"/>
          <w:rFonts w:ascii="微软雅黑" w:hAnsi="微软雅黑"/>
          <w:b w:val="0"/>
          <w:sz w:val="20"/>
        </w:rPr>
        <w:t>https://www.clef.org.cn/ds/22034806b5.html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https://cs.mfa.gov.cn/zggmcg/ljmdd/oz_652287/slwny_654769/gqjj_654777/200609/t20060915_9348645.shtml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https://gs.statcounter.com/social-media-stats/all/slovenia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https://upr-info.org/sites/default/files/documents/2020-03/a_hrc_43_15_c.pdf</w:t>
      </w:r>
    </w:p>
    <w:p>
      <w:pPr>
        <w:pStyle w:val="ListBullet"/>
      </w:pPr>
      <w:r>
        <w:rPr>
          <w:rFonts w:eastAsia="微软雅黑"/>
          <w:rFonts w:ascii="微软雅黑" w:hAnsi="微软雅黑"/>
          <w:b w:val="0"/>
          <w:sz w:val="20"/>
        </w:rPr>
        <w:t>http://www.ccis.sdu.edu.cn/info/1010/4110.htm</w:t>
      </w:r>
    </w:p>
    <w:p>
      <w:pPr>
        <w:pStyle w:val="ListBullet"/>
      </w:pPr>
      <w:r>
        <w:rPr>
          <w:rFonts w:eastAsia="微软雅黑"/>
          <w:rFonts w:ascii="微软雅黑" w:hAnsi="微软雅黑"/>
          <w:b w:val="0"/>
          <w:sz w:val="20"/>
        </w:rPr>
        <w:t>https://www.ohchr.org/Documents/Issues/Minorities/SR/LanguageRightsLinguisticMinorities_CH.pdf</w:t>
      </w:r>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https://wwwc.moex.gov.tw/main/Quarterly/wHandQuarterly_File.ashx?quarterly_id=427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https://www.holidaybiz.cn/holiday_w/ar_content.jsp?a_id=f456c973-bf24-444e-914f-b12858746a3a</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