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保加利亚 · 中文教育指标体系完整数据</w:t>
      </w:r>
    </w:p>
    <w:p/>
    <w:p>
      <w:pPr>
        <w:spacing w:before="0" w:after="80" w:lineRule="auto" w:line="276"/>
        <w:jc w:val="left"/>
      </w:pPr>
      <w:r>
        <w:rPr>
          <w:rFonts w:eastAsia="微软雅黑"/>
          <w:rFonts w:ascii="微软雅黑" w:hAnsi="微软雅黑"/>
          <w:b w:val="0"/>
          <w:sz w:val="21"/>
        </w:rPr>
        <w:t>国家：保加利亚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39</w:t>
            </w:r>
          </w:p>
        </w:tc>
        <w:tc>
          <w:tcPr>
            <w:tcW w:type="dxa" w:w="3324"/>
          </w:tcPr>
          <w:p>
            <w:r/>
            <w:r>
              <w:rPr>
                <w:rFonts w:eastAsia="微软雅黑"/>
                <w:rFonts w:ascii="微软雅黑" w:hAnsi="微软雅黑"/>
                <w:b w:val="0"/>
                <w:sz w:val="16"/>
              </w:rPr>
              <w:t>56%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23</w:t>
            </w:r>
          </w:p>
        </w:tc>
        <w:tc>
          <w:tcPr>
            <w:tcW w:type="dxa" w:w="3324"/>
          </w:tcPr>
          <w:p>
            <w:r/>
            <w:r>
              <w:rPr>
                <w:rFonts w:eastAsia="微软雅黑"/>
                <w:rFonts w:ascii="微软雅黑" w:hAnsi="微软雅黑"/>
                <w:b w:val="0"/>
                <w:sz w:val="16"/>
              </w:rPr>
              <w:t>33%</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https://bg.china-embassy.gov.cn/zbgxs/sgbx/200607/t20060725_2386266.htm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https://www.chinanews.com.cn/dxw/2024/02-02/10157812.shtml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其他语言（口径：high）</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2-50</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保加利亚教育部自2022年起将中文纳入高考，支持50多所中小学开设中文必修课，但未列出具体项目名称；已知两个地方学校项目（瓦希尔·列夫斯基学校、索非亚第18中学）由学校主办，视为地方政府教育体系下运行。因此，政府主导的中文教育项目数量估计在2到50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https://www.sdwxedu.com/index/article/page/a/106.html</w:t>
      </w:r>
    </w:p>
    <w:p>
      <w:pPr>
        <w:pStyle w:val="ListBullet"/>
      </w:pPr>
      <w:r>
        <w:rPr>
          <w:rFonts w:eastAsia="微软雅黑"/>
          <w:rFonts w:ascii="微软雅黑" w:hAnsi="微软雅黑"/>
          <w:b w:val="0"/>
          <w:sz w:val="20"/>
        </w:rPr>
        <w:t>https://www.chinanews.com.cn/dxw/2024/02-02/10157812.shtml</w:t>
      </w:r>
    </w:p>
    <w:p>
      <w:pPr>
        <w:pStyle w:val="ListBullet"/>
      </w:pPr>
      <w:r>
        <w:rPr>
          <w:rFonts w:eastAsia="微软雅黑"/>
          <w:rFonts w:ascii="微软雅黑" w:hAnsi="微软雅黑"/>
          <w:b w:val="0"/>
          <w:sz w:val="20"/>
        </w:rPr>
        <w:t>https://www.tjfsu.edu.cn/2024/0126/c16a3052/page.htm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结果，保加利亚政府专门针对中文教育的政策文件数量有限。找到两份可能相关的文件：1）《中华人民共和国教育部和保加利亚共和国教育和科学部2000—2003年教育合作协议》，为中保教育合作框架文件，可能涵盖语言教育；2）《关于发展保加利亚教育事业提纲（1979年）》，为整体教育改革文件，可能间接影响外语课程包括中文。此外，保加利亚教科部确认20余所中小学开设汉语课程，但未提供具体政策文件。因此，直接相关的政策文件数量估计为2份。</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https://www.fmprc.gov.cn/ziliao_674904/tytj_674911/tyfg_674913/200203/t20020314_7949392.shtml</w:t>
      </w:r>
    </w:p>
    <w:p>
      <w:pPr>
        <w:pStyle w:val="ListBullet"/>
      </w:pPr>
      <w:r>
        <w:rPr>
          <w:rFonts w:eastAsia="微软雅黑"/>
          <w:rFonts w:ascii="微软雅黑" w:hAnsi="微软雅黑"/>
          <w:b w:val="0"/>
          <w:sz w:val="20"/>
        </w:rPr>
        <w:t>http://euroasia.cssn.cn/cbw/cbw_elsdozyyj/200910/t20091009_1850603.shtml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&lt;0.004%，外语教育占教育预算5-10%（OECD），中文在外语教育中占比&lt;1%（保加利亚教育部课程数据））</w:t>
      </w:r>
    </w:p>
    <w:p/>
    <w:p>
      <w:pPr>
        <w:spacing w:before="0" w:after="80" w:lineRule="auto" w:line="276"/>
        <w:jc w:val="left"/>
      </w:pPr>
      <w:r>
        <w:rPr>
          <w:rFonts w:eastAsia="微软雅黑"/>
          <w:rFonts w:ascii="微软雅黑" w:hAnsi="微软雅黑"/>
          <w:b w:val="0"/>
          <w:sz w:val="21"/>
        </w:rPr>
        <w:t>代理变量：基于保加利亚教育总预算占GDP 3.8%（Eurostat</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教育预算占GDP 3.8% → 外语教育占比5-10% → 中文占比&lt;1% → 中文教育预算占比&lt;0.004%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https://ec.europa.eu/eurostat/databrowser/view/teina225/default/table?lang=en</w:t>
      </w:r>
    </w:p>
    <w:p>
      <w:pPr>
        <w:pStyle w:val="ListBullet"/>
      </w:pPr>
      <w:r>
        <w:rPr>
          <w:rFonts w:eastAsia="微软雅黑"/>
          <w:rFonts w:ascii="微软雅黑" w:hAnsi="微软雅黑"/>
          <w:b w:val="0"/>
          <w:sz w:val="20"/>
        </w:rPr>
        <w:t>https://www.oecd.org/en/publications/pisa-2022-results-volume-i_53f23881-en.html</w:t>
      </w:r>
    </w:p>
    <w:p>
      <w:pPr>
        <w:pStyle w:val="ListBullet"/>
      </w:pPr>
      <w:r>
        <w:rPr>
          <w:rFonts w:eastAsia="微软雅黑"/>
          <w:rFonts w:ascii="微软雅黑" w:hAnsi="微软雅黑"/>
          <w:b w:val="0"/>
          <w:sz w:val="20"/>
        </w:rPr>
        <w:t>https://www.mon.bg/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https://www.yidaiyilu.gov.cn/wcm.files/upload/CMSydylgw/201902/201902010428009.pdf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https://www.yidaiyilu.gov.cn/wcm.files/upload/CMSydylgw/201902/201902010428009.pdf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现有搜索结果，保加利亚没有专门针对中文教育的法律、法规或政令条款。中文教育主要基于教育部行政令和学校自主选择，如2022年将中文纳入高考语言科目考试体系。通过关键词检索保加利亚官方法律数据库（lex.bg）和教育部官网，未发现明确提及中文教育的条款。因此，条款数量估计为0-2条，可能存在于教育部关于高考科目或课程设置的行政令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https://www.sdwxedu.com/index/article/page/a/106.html</w:t>
      </w:r>
    </w:p>
    <w:p>
      <w:pPr>
        <w:pStyle w:val="ListBullet"/>
      </w:pPr>
      <w:r>
        <w:rPr>
          <w:rFonts w:eastAsia="微软雅黑"/>
          <w:rFonts w:ascii="微软雅黑" w:hAnsi="微软雅黑"/>
          <w:b w:val="0"/>
          <w:sz w:val="20"/>
        </w:rPr>
        <w:t>https://www.chinanews.com.cn/dxw/2024/02-02/10157812.shtml</w:t>
      </w:r>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根据公开报道和政策文件，保加利亚近3年不存在排斥中文教育的政策或事件，中文教育持续扩张，2022年汉语被纳入高考科目，中小学中文课程需求旺盛，无孔子学院关停或歧视性对待案例。</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推导：根据公开报道和政策文件，保加利亚近3年不存在排斥中文教育的政策或事件，中文教育持续扩张，2022年汉语被纳入高考科目，中小学中文课程需求旺盛，无孔子学院关停或歧视性对待案例。</w:t>
      </w:r>
    </w:p>
    <w:p>
      <w:pPr>
        <w:pStyle w:val="ListBullet"/>
      </w:pPr>
      <w:r>
        <w:rPr>
          <w:rFonts w:eastAsia="微软雅黑"/>
          <w:rFonts w:ascii="微软雅黑" w:hAnsi="微软雅黑"/>
          <w:b w:val="0"/>
          <w:sz w:val="20"/>
        </w:rPr>
        <w:t>依据：证据充分，来源权威，覆盖近3年，无相反证据。</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https://www.chinanews.com.cn/dxw/2024/02-02/10157812.shtml</w:t>
      </w:r>
    </w:p>
    <w:p>
      <w:pPr>
        <w:pStyle w:val="ListBullet"/>
      </w:pPr>
      <w:r>
        <w:rPr>
          <w:rFonts w:eastAsia="微软雅黑"/>
          <w:rFonts w:ascii="微软雅黑" w:hAnsi="微软雅黑"/>
          <w:b w:val="0"/>
          <w:sz w:val="20"/>
        </w:rPr>
        <w:t>https://news.sina.cn/gn/2017-07-13/detail-ifyiaewh8935388.d.html?vt=4</w:t>
      </w:r>
    </w:p>
    <w:p>
      <w:pPr>
        <w:pStyle w:val="ListBullet"/>
      </w:pPr>
      <w:r>
        <w:rPr>
          <w:rFonts w:eastAsia="微软雅黑"/>
          <w:rFonts w:ascii="微软雅黑" w:hAnsi="微软雅黑"/>
          <w:b w:val="0"/>
          <w:sz w:val="20"/>
        </w:rPr>
        <w:t>http://www.cctss.org/article/headlines/7251</w:t>
      </w:r>
    </w:p>
    <w:p>
      <w:pPr>
        <w:pStyle w:val="ListBullet"/>
      </w:pPr>
      <w:r>
        <w:rPr>
          <w:rFonts w:eastAsia="微软雅黑"/>
          <w:rFonts w:ascii="微软雅黑" w:hAnsi="微软雅黑"/>
          <w:b w:val="0"/>
          <w:sz w:val="20"/>
        </w:rPr>
        <w:t>https://www.yidaiyilu.gov.cn/p/43924.html</w:t>
      </w:r>
    </w:p>
    <w:p>
      <w:pPr>
        <w:pStyle w:val="ListBullet"/>
      </w:pPr>
      <w:r>
        <w:rPr>
          <w:rFonts w:eastAsia="微软雅黑"/>
          <w:rFonts w:ascii="微软雅黑" w:hAnsi="微软雅黑"/>
          <w:b w:val="0"/>
          <w:sz w:val="20"/>
        </w:rPr>
        <w:t>http://paper.people.com.cn/rmrbhwb/html/2022-03/23/content_25908778.htm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https://www.chinanews.com.cn/dxw/2024/02-02/10157812.shtml</w:t>
      </w:r>
    </w:p>
    <w:p>
      <w:pPr>
        <w:pStyle w:val="ListBullet"/>
      </w:pPr>
      <w:r>
        <w:rPr>
          <w:rFonts w:eastAsia="微软雅黑"/>
          <w:rFonts w:ascii="微软雅黑" w:hAnsi="微软雅黑"/>
          <w:b w:val="0"/>
          <w:sz w:val="20"/>
        </w:rPr>
        <w:t>https://news.sina.cn/gn/2017-07-13/detail-ifyiaewh8935388.d.html?vt=4</w:t>
      </w:r>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http://euroasia.cssn.cn/xsyj/xsyj_zdo/201706/t20170612_3547435.shtml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筛选出以保加利亚中文教育为主题的正式出版专著。证据中明确列出《保加利亚汉语教学五十年》（董淑慧，2005年）和《当代中国社会语言环境的基本问题》（戈戈娃，出版年份未明确，但被描述为保加利亚汉学家首部中国语言学研究专著，且涉及中文教育相关主题）。排除教材、论文等非专著后，共2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https://www.fmprc.gov.cn/web/gjhdq_676201/gj_676203/oz_678770/1206_678916/1206x2_678936/200507/t20050704_9331025.shtml</w:t>
      </w:r>
    </w:p>
    <w:p>
      <w:pPr>
        <w:pStyle w:val="ListBullet"/>
      </w:pPr>
      <w:r>
        <w:rPr>
          <w:rFonts w:eastAsia="微软雅黑"/>
          <w:rFonts w:ascii="微软雅黑" w:hAnsi="微软雅黑"/>
          <w:b w:val="0"/>
          <w:sz w:val="20"/>
        </w:rPr>
        <w:t>https://ccs.ncl.edu.tw/newsletter_103/42.pdf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CNKI数据库直接检索到1篇核心论文，其他数据库无直接匹配数据，基于CNKI唯一性及全球稀缺性估计总论文数≤5，但取直接证据值1。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https://journals.bilpub.com/index.php/xdjysj/article/view/11539</w:t>
      </w:r>
    </w:p>
    <w:p>
      <w:pPr>
        <w:pStyle w:val="ListBullet"/>
      </w:pPr>
      <w:r>
        <w:rPr>
          <w:rFonts w:eastAsia="微软雅黑"/>
          <w:rFonts w:ascii="微软雅黑" w:hAnsi="微软雅黑"/>
          <w:b w:val="0"/>
          <w:sz w:val="20"/>
        </w:rPr>
        <w:t>https://www.2winpub.com/static/uploads/journalArticle/xdjyysj0409076.pdf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0.15</w:t>
      </w:r>
    </w:p>
    <w:p/>
    <w:p>
      <w:pPr>
        <w:spacing w:before="0" w:after="80" w:lineRule="auto" w:line="276"/>
        <w:jc w:val="left"/>
      </w:pPr>
      <w:r>
        <w:rPr>
          <w:rFonts w:eastAsia="微软雅黑"/>
          <w:rFonts w:ascii="微软雅黑" w:hAnsi="微软雅黑"/>
          <w:b w:val="0"/>
          <w:sz w:val="21"/>
        </w:rPr>
        <w:t>代理变量：拟合值基于保加利亚学者在中文教育领域发表论文的篇均被引次数、H指数及期刊影响因子均值，结合汉字文化期刊影响因子约0.15，篇均被引5-20次，综合推断为0.15。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根据扩展口径，拟合值基于保加利亚学者在中文教育领域发表论文的篇均被引次数、H指数及期刊影响因子均值，结合汉字文化期刊影响因子约0.15，篇均被引5-20次，综合推断为0.15。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合成值：0.15</w:t>
      </w:r>
    </w:p>
    <w:p>
      <w:pPr>
        <w:pStyle w:val="ListBullet"/>
      </w:pPr>
      <w:r>
        <w:rPr>
          <w:rFonts w:eastAsia="微软雅黑"/>
          <w:rFonts w:ascii="微软雅黑" w:hAnsi="微软雅黑"/>
          <w:b w:val="0"/>
          <w:sz w:val="20"/>
        </w:rPr>
        <w:t>代理：拟合值基于保加利亚学者在中文教育领域发表论文的篇均被引次数、H指数及期刊影响因子均值，结合汉字文化期刊影响因子约0.15，篇均被引5-20次，综合推断为0.15。</w:t>
      </w:r>
    </w:p>
    <w:p>
      <w:pPr>
        <w:pStyle w:val="ListBullet"/>
      </w:pPr>
      <w:r>
        <w:rPr>
          <w:rFonts w:eastAsia="微软雅黑"/>
          <w:rFonts w:ascii="微软雅黑" w:hAnsi="微软雅黑"/>
          <w:b w:val="0"/>
          <w:sz w:val="20"/>
        </w:rPr>
        <w:t>推导：根据扩展口径，拟合值基于保加利亚学者在中文教育领域发表论文的篇均被引次数、H指数及期刊影响因子均值，结合汉字文化期刊影响因子约0.15，篇均被引5-20次，综合推断为0.15。</w:t>
      </w:r>
    </w:p>
    <w:p>
      <w:pPr>
        <w:pStyle w:val="ListBullet"/>
      </w:pPr>
      <w:r>
        <w:rPr>
          <w:rFonts w:eastAsia="微软雅黑"/>
          <w:rFonts w:ascii="微软雅黑" w:hAnsi="微软雅黑"/>
          <w:b w:val="0"/>
          <w:sz w:val="20"/>
        </w:rPr>
        <w:t>依据：由于缺乏保加利亚学者在中文教育领域论文质量的具体数据，采用代理变量（汉字文化期刊影响因子约0.15，篇均被引5-20次）进行综合推断，得出拟合值0.15。</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1（口径：事实）</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https://bg.china-embassy.gov.cn/sgxxs/dtxws/202001/t20200120_2385792.htm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https://www.yidaiyilu.gov.cn/wcm.files/upload/CMSydylgw/201902/201902010428009.pdf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http://ies.cass.cn/cn/exchange/202109/t20210915_5360142.shtml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基于公开搜索，未发现保加利亚学者担任中文核心期刊或中文教育类国际期刊编委的直接证据。考虑到全球中文期刊编委中外籍比例极低（&lt;5%），且保加利亚学者数量稀少，合理估计为0-1人。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https://www.iaea.org/sites/default/files/vol43_no.3_chinese_zt.pdf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https://bclts.org.uk/onewebmedia/Applied%20Chinese%20Language%20Studies%20X%20(Revised%20edition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https://www.tsinghua.edu.cn/info/1661/56052.htm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3750（口径：数值）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https://www.scimagojr.com/countryrank.php?year=2023</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https://bg.china-embassy.gov.cn/zzgjs/gjgk/202110/t20211030_10404445.htm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基于证据中提到的三个本土化教学法创新案例：1) 鲁塞市瓦希尔·列夫斯基学校全学段必修中文课程（本土化创新：从选修转向全体系必修）；2) 索非亚第18中学中文热门选拔课程（本土化创新：提高选拔门槛适应本地需求）；3) 保加利亚孔子学院课堂管理实践案例（本土化创新：针对保加利亚语境的教师实践适应）。每个案例均满足本土性、创新性、可操作性标准。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http://www.cctss.org/article/headlines/7251</w:t>
      </w:r>
    </w:p>
    <w:p>
      <w:pPr>
        <w:pStyle w:val="ListBullet"/>
      </w:pPr>
      <w:r>
        <w:rPr>
          <w:rFonts w:eastAsia="微软雅黑"/>
          <w:rFonts w:ascii="微软雅黑" w:hAnsi="微软雅黑"/>
          <w:b w:val="0"/>
          <w:sz w:val="20"/>
        </w:rPr>
        <w:t>https://pdf.hanspub.org/AE20220900000_50214020.pdf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https://www.mofcom.gov.cn/dl/gbdqzn/upload/baojialiya.pdf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保加利亚针对当地学习者的中文学习网站/平台仅找到索非亚孔子学院官网（www.confuciusinstitute.bg），该网站提供中文课程信息，适合当地学习者。其他搜索结果均为保加利亚语学习工具或翻译器，非中文学习平台。因此，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https://ci.cn/en/site/3061001000/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代理变量：搜索支持中文界面的保加利亚语学习APP，并筛选出可能由保加利亚开发者或针对保加利亚市场开发的中文学习APP</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根据Perplexity搜索结果，明确由保加利亚本土人士开发的APP只有Ling app，其他APP虽支持中文界面但非明确本土化，因此最终值为1。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https://play.google.com/store/apps/details?id=com.simyasolutions.ling.bg&amp;hl=zh_TW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https://www.chea.org/sites/default/files/pdf/principles-ciqg-chinese.pdf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https://www.caict.ac.cn/kxyj/qwfb/bps/202108/P020210913403798893557.pdf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0.0001-0.0005</w:t>
      </w:r>
    </w:p>
    <w:p/>
    <w:p>
      <w:pPr>
        <w:spacing w:before="0" w:after="80" w:lineRule="auto" w:line="276"/>
        <w:jc w:val="left"/>
      </w:pPr>
      <w:r>
        <w:rPr>
          <w:rFonts w:eastAsia="微软雅黑"/>
          <w:rFonts w:ascii="微软雅黑" w:hAnsi="微软雅黑"/>
          <w:b w:val="0"/>
          <w:sz w:val="21"/>
        </w:rPr>
        <w:t>代理变量：估算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基于保加利亚总人口约650万（世界银行2023年），假设中文学习者数量在500-3000人之间（参考东欧国家中文学习者规模及保加利亚孔子学院数量），计算比例约为0.0001-0.0005。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400-1000</w:t>
      </w:r>
    </w:p>
    <w:p/>
    <w:p>
      <w:pPr>
        <w:spacing w:before="0" w:after="80" w:lineRule="auto" w:line="276"/>
        <w:jc w:val="left"/>
      </w:pPr>
      <w:r>
        <w:rPr>
          <w:rFonts w:eastAsia="微软雅黑"/>
          <w:rFonts w:ascii="微软雅黑" w:hAnsi="微软雅黑"/>
          <w:b w:val="0"/>
          <w:sz w:val="21"/>
        </w:rPr>
        <w:t>代理变量：中资企业数量与平均雇员规模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基于保加利亚20多家中资企业，每家企业平均雇员20-50人，推导出雇员总数400-1000人。其中商务科技背景占比20-30%，即80-300人。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https://www.mofcom.gov.cn/dl/gbdqzn/upload/baojialiya.pdf</w:t>
      </w:r>
    </w:p>
    <w:p>
      <w:pPr>
        <w:pStyle w:val="ListBullet"/>
      </w:pPr>
      <w:r>
        <w:rPr>
          <w:rFonts w:eastAsia="微软雅黑"/>
          <w:rFonts w:ascii="微软雅黑" w:hAnsi="微软雅黑"/>
          <w:b w:val="0"/>
          <w:sz w:val="20"/>
        </w:rPr>
        <w:t>https://www.yidaiyilu.gov.cn/wcm.files/upload/CMSydylgw/201902/201902010428009.pdf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2280</w:t>
      </w:r>
    </w:p>
    <w:p/>
    <w:p>
      <w:pPr>
        <w:spacing w:before="0" w:after="80" w:lineRule="auto" w:line="276"/>
        <w:jc w:val="left"/>
      </w:pPr>
      <w:r>
        <w:rPr>
          <w:rFonts w:eastAsia="微软雅黑"/>
          <w:rFonts w:ascii="微软雅黑" w:hAnsi="微软雅黑"/>
          <w:b w:val="0"/>
          <w:sz w:val="21"/>
        </w:rPr>
        <w:t>代理变量：单次考试人数乘以12个月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根据2025年3月索非亚孔子学院HSK考试190人，假设每月一次且规模相同，年约2280人（190×12）。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https://www.dwhy.net/article-1827-1.html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https://www.yidaiyilu.gov.cn/wcm.files/upload/CMSydylgw/201902/201902010428009.pdf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None（口径：无直接数据）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根据证据，保加利亚仅索非亚大学设有国际中文教育相关的硕士和博士点（汉学专业），其他高校未确认有研究生层次项目。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http://www.cctss.org/article/headlines/7251</w:t>
      </w:r>
    </w:p>
    <w:p>
      <w:pPr>
        <w:pStyle w:val="ListBullet"/>
      </w:pPr>
      <w:r>
        <w:rPr>
          <w:rFonts w:eastAsia="微软雅黑"/>
          <w:rFonts w:ascii="微软雅黑" w:hAnsi="微软雅黑"/>
          <w:b w:val="0"/>
          <w:sz w:val="20"/>
        </w:rPr>
        <w:t>https://www.chinanews.com.cn/dxw/2024/02-02/10157812.shtml</w:t>
      </w:r>
    </w:p>
    <w:p>
      <w:pPr>
        <w:pStyle w:val="ListBullet"/>
      </w:pPr>
      <w:r>
        <w:rPr>
          <w:rFonts w:eastAsia="微软雅黑"/>
          <w:rFonts w:ascii="微软雅黑" w:hAnsi="微软雅黑"/>
          <w:b w:val="0"/>
          <w:sz w:val="20"/>
        </w:rPr>
        <w:t>http://www.confuciusinstitute-velikoturnovo.bg/cn/the-institute/about-us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本科及以上（口径：数值）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onfuciusinstitute-velikoturnovo.bg/uploads/docs/187_bg_%D0%BF%D1%80%D0%BE%D0%B3%D1%80%D0%B0%D0%BC%D0%B0%20%D1%87%D0%B5%D1%82%D0%B2%D1%8A%D1%80%D1%82%D0%B0%20%D0%BF%D0%BE%D1%80%D0%B5%D0%B4%D0%B8%D1%86%D0%B0%20%D0%BF%D1%80%D0%BE%D0%B3%D1%80%D0%B0%D0%BC%D0%B0%20%D0%B7%D0%B0%20%D0%BE%D0%B1%D1%83%D1%87%D0%B5%D0%BD%D0%B8%D0%B5%20%D0%BD%D0%B0%20%D0%B1%D1%8A%D0%BB%D0%B3%D0%B0%D1%80%D1%81%D0%BA%D0%B8%20%D1%83%D1%87%D0%B8%D1%82%D0%B5%D0%BB%D0%B8%20%D0%BF%D0%BE%20%D0%BA%D0%B8%D1%82%D0%B0%D0%B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https://voice.cug.edu.cn/info/1002/24517.htm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https://www.cepmg.com.cn/jtgk/shzr/202009/t20200901_1957534.html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9.8%（口径：比值）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https://m.newsduan.com/static/content/WT/2024-02-02/1203080879921454406.html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50（口径：所）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https://kzxy.bfsu.edu.cn/info/1088/1256.htm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http://www.confuciusinstitute-velikoturnovo.bg/cn/the-institute/about-us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20余所（口径：设有汉语教学点的中小学数量）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https://www.imsilkroad.com/news/p/79470.html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w:t>
      </w:r>
    </w:p>
    <w:p/>
    <w:p>
      <w:pPr>
        <w:spacing w:before="0" w:after="80" w:lineRule="auto" w:line="276"/>
        <w:jc w:val="left"/>
      </w:pPr>
      <w:r>
        <w:rPr>
          <w:rFonts w:eastAsia="微软雅黑"/>
          <w:rFonts w:ascii="微软雅黑" w:hAnsi="微软雅黑"/>
          <w:b w:val="0"/>
          <w:sz w:val="21"/>
        </w:rPr>
        <w:t>代理变量：孔子学院和孔子课堂数量作为教师协会单位的近似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根据搜索结果，保加利亚有2所孔子学院和2个孔子课堂，共4个机构，但未明确统计专门的教师协会单位。考虑到教师协会可能包含在这些机构内或独立存在，且缺乏直接数据，因此给出区间2-4。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Pr>
        <w:pStyle w:val="ListBullet"/>
      </w:pPr>
      <w:r>
        <w:rPr>
          <w:rFonts w:eastAsia="微软雅黑"/>
          <w:rFonts w:ascii="微软雅黑" w:hAnsi="微软雅黑"/>
          <w:b w:val="0"/>
          <w:sz w:val="20"/>
        </w:rPr>
        <w:t>https://zh.wikipedia.org/zh-cn/%E4%B8%AD%E5%9C%8B%E2%80%94%E4%BF%9D%E5%8A%A0%E5%88%A9%E4%BA%9A%E9%97%9C%E4%BF%82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0.75</w:t>
      </w:r>
    </w:p>
    <w:p/>
    <w:p>
      <w:pPr>
        <w:spacing w:before="0" w:after="80" w:lineRule="auto" w:line="276"/>
        <w:jc w:val="left"/>
      </w:pPr>
      <w:r>
        <w:rPr>
          <w:rFonts w:eastAsia="微软雅黑"/>
          <w:rFonts w:ascii="微软雅黑" w:hAnsi="微软雅黑"/>
          <w:b w:val="0"/>
          <w:sz w:val="21"/>
        </w:rPr>
        <w:t>代理变量：偏远地区教学点数量占比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保加利亚共有2所孔子学院（索菲亚孔子学院和大特尔诺沃大学孔子学院）。索菲亚孔子学院位于首都索菲亚（非偏远），其下设教学点包括普罗夫迪夫（约145km，非偏远）、鲁塞（约300km，偏远）、瓦尔纳（约450km，偏远）、布尔加斯（约400km，偏远）、旧扎戈拉（约230km，偏远）、布拉戈耶夫格勒（约100km，非偏远）等。大特尔诺沃大学孔子学院位于大特尔诺沃（约220km，偏远），其下设</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合成值：0.75</w:t>
      </w:r>
    </w:p>
    <w:p>
      <w:pPr>
        <w:pStyle w:val="ListBullet"/>
      </w:pPr>
      <w:r>
        <w:rPr>
          <w:rFonts w:eastAsia="微软雅黑"/>
          <w:rFonts w:ascii="微软雅黑" w:hAnsi="微软雅黑"/>
          <w:b w:val="0"/>
          <w:sz w:val="20"/>
        </w:rPr>
        <w:t>代理：偏远地区教学点数量占比</w:t>
      </w:r>
    </w:p>
    <w:p>
      <w:pPr>
        <w:pStyle w:val="ListBullet"/>
      </w:pPr>
      <w:r>
        <w:rPr>
          <w:rFonts w:eastAsia="微软雅黑"/>
          <w:rFonts w:ascii="微软雅黑" w:hAnsi="微软雅黑"/>
          <w:b w:val="0"/>
          <w:sz w:val="20"/>
        </w:rPr>
        <w:t>推导：根据证据，保加利亚共有2所孔子学院（索菲亚孔子学院和大特尔诺沃大学孔子学院）。索菲亚孔子学院位于首都索菲亚（非偏远），其下设教学点包括普罗夫迪夫（约145km，非偏远）、鲁塞（约300km，偏远）、瓦尔纳（约450km，偏远）、布尔加斯（约400km，偏远）、旧扎戈拉（约230km，偏远）、布拉戈耶夫格勒（约100km，非偏远）等。大特尔诺沃大学孔子学院位于大特尔诺沃（约220km，偏远），其下设教学点包括大特尔诺沃大学（偏远）、加布罗沃（约250km，偏远）等。全国教学点总数约12个，其中偏远地区教学点约9个，占比9/12=0.75。</w:t>
      </w:r>
    </w:p>
    <w:p>
      <w:pPr>
        <w:pStyle w:val="ListBullet"/>
      </w:pPr>
      <w:r>
        <w:rPr>
          <w:rFonts w:eastAsia="微软雅黑"/>
          <w:rFonts w:ascii="微软雅黑" w:hAnsi="微软雅黑"/>
          <w:b w:val="0"/>
          <w:sz w:val="20"/>
        </w:rPr>
        <w:t>依据：基于公开可查的孔子学院及教学点分布信息，但部分教学点距离需估算，且未包含非孔子学院体系的中文教学中心，因此为估计值。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https://www.sofia-ci.com/</w:t>
      </w:r>
    </w:p>
    <w:p>
      <w:pPr>
        <w:pStyle w:val="ListBullet"/>
      </w:pPr>
      <w:r>
        <w:rPr>
          <w:rFonts w:eastAsia="微软雅黑"/>
          <w:rFonts w:ascii="微软雅黑" w:hAnsi="微软雅黑"/>
          <w:b w:val="0"/>
          <w:sz w:val="20"/>
        </w:rPr>
        <w:t>https://www.uni-vt.bg/</w:t>
      </w:r>
    </w:p>
    <w:p>
      <w:pPr>
        <w:pStyle w:val="ListBullet"/>
      </w:pPr>
      <w:r>
        <w:rPr>
          <w:rFonts w:eastAsia="微软雅黑"/>
          <w:rFonts w:ascii="微软雅黑" w:hAnsi="微软雅黑"/>
          <w:b w:val="0"/>
          <w:sz w:val="20"/>
        </w:rPr>
        <w:t>https://www.chinese.cn/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https://www.sofia-ci.com/</w:t>
      </w:r>
    </w:p>
    <w:p>
      <w:pPr>
        <w:pStyle w:val="ListBullet"/>
      </w:pPr>
      <w:r>
        <w:rPr>
          <w:rFonts w:eastAsia="微软雅黑"/>
          <w:rFonts w:ascii="微软雅黑" w:hAnsi="微软雅黑"/>
          <w:b w:val="0"/>
          <w:sz w:val="20"/>
        </w:rPr>
        <w:t>https://www.uni-vt.bg/</w:t>
      </w:r>
    </w:p>
    <w:p>
      <w:pPr>
        <w:pStyle w:val="ListBullet"/>
      </w:pPr>
      <w:r>
        <w:rPr>
          <w:rFonts w:eastAsia="微软雅黑"/>
          <w:rFonts w:ascii="微软雅黑" w:hAnsi="微软雅黑"/>
          <w:b w:val="0"/>
          <w:sz w:val="20"/>
        </w:rPr>
        <w:t>https://www.chinese.cn/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https://pdf.dfcfw.com/pdf/H3_AP202512031792972662_1.pdf?1764753835000.pdf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http://www.news.cn/world/20231231/3d17faf7a22e473d919718ff1c529398/c.html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https://www.ccpit.org/image/1473840398441926657/cca2e19ec7044cce98437d7d41129fbf.pdf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https://m.huaon.com/channel/tradedata/1053778.html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969（口径：万美元）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https://www.mofcom.gov.cn/dl/gbdqzn/upload/baojialiya.pdf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https://news.qq.com/rain/a/20260107A01H0700</w:t>
      </w:r>
    </w:p>
    <w:p>
      <w:pPr>
        <w:pStyle w:val="ListBullet"/>
      </w:pPr>
      <w:r>
        <w:rPr>
          <w:rFonts w:eastAsia="微软雅黑"/>
          <w:rFonts w:ascii="微软雅黑" w:hAnsi="微软雅黑"/>
          <w:b w:val="0"/>
          <w:sz w:val="20"/>
        </w:rPr>
        <w:t>https://gaokao.eol.cn/news/202003/t20200316_1716822.shtml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https://fdi.mofcom.gov.cn/resource/pdf/2024/11/05/c7ea43aff22f4dc1aa357abf42cf9833.pdf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https://news.eol.cn/yaowen/202006/t20200623_1734697.shtml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保加利亚在联合国、欧盟等主要国际组织中不使用中文作为官方语言，无中文同传、文件或议题讨论记录。基于成员国语言规则，保加利亚代表默认使用保加利亚语或英语，中文使用频率极低，代理值设为0.05。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合成值：0.05</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保加利亚在联合国、欧盟等主要国际组织中不使用中文作为官方语言，无中文同传、文件或议题讨论记录。基于成员国语言规则，保加利亚代表默认使用保加利亚语或英语，中文使用频率极低，代理值设为0.05。</w:t>
      </w:r>
    </w:p>
    <w:p>
      <w:pPr>
        <w:pStyle w:val="ListBullet"/>
      </w:pPr>
      <w:r>
        <w:rPr>
          <w:rFonts w:eastAsia="微软雅黑"/>
          <w:rFonts w:ascii="微软雅黑" w:hAnsi="微软雅黑"/>
          <w:b w:val="0"/>
          <w:sz w:val="20"/>
        </w:rPr>
        <w:t>依据：直接数据缺失，基于语言规则和代理变量推导，数值极低但非零。</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https://zh.wikipedia.org/zh-hans/%E6%AD%90%E6%B4%B2%E8%81%AF%E7%9B%9F%E8%AA%9E%E8%A8%80</w:t>
      </w:r>
    </w:p>
    <w:p>
      <w:pPr>
        <w:pStyle w:val="ListBullet"/>
      </w:pPr>
      <w:r>
        <w:rPr>
          <w:rFonts w:eastAsia="微软雅黑"/>
          <w:rFonts w:ascii="微软雅黑" w:hAnsi="微软雅黑"/>
          <w:b w:val="0"/>
          <w:sz w:val="20"/>
        </w:rPr>
        <w:t>https://www.firstonline.info/zh-CN/ue-%E5%9C%A8%E8%AF%AD%E8%A8%80%E9%80%9A%E5%A4%A9%E5%A1%94%E4%B8%AD%E6%9C%89-24-%E7%A7%8D%E5%AE%98%E6%96%B9%E8%AF%AD%E8%A8%80%E5%92%8C-5-%E7%A7%8D%E5%8D%8A%E5%AE%98%E6%96%B9%E8%AF%AD%E8%A8%80%EF%BC%8C%E4%BD%86%E8%8B%B1%E8%AF%AD%E6%98%AF%E4%B8%BB%E8%A6%81%E8%AF%AD%E8%A8%80/</w:t>
      </w:r>
    </w:p>
    <w:p>
      <w:pPr>
        <w:pStyle w:val="ListBullet"/>
      </w:pPr>
      <w:r>
        <w:rPr>
          <w:rFonts w:eastAsia="微软雅黑"/>
          <w:rFonts w:ascii="微软雅黑" w:hAnsi="微软雅黑"/>
          <w:b w:val="0"/>
          <w:sz w:val="20"/>
        </w:rPr>
        <w:t>http://cs.mfa.gov.cn/zggmcg/ljmdd/oz_652287/bjly_652661/</w:t>
      </w:r>
    </w:p>
    <w:p>
      <w:pPr>
        <w:pStyle w:val="ListBullet"/>
      </w:pPr>
      <w:r>
        <w:rPr>
          <w:rFonts w:eastAsia="微软雅黑"/>
          <w:rFonts w:ascii="微软雅黑" w:hAnsi="微软雅黑"/>
          <w:b w:val="0"/>
          <w:sz w:val="20"/>
        </w:rPr>
        <w:t>https://www.fmprc.gov.cn/web/gjhdq_676201/gj_676203/oz_678770/1206_678916/1206x0_678918/</w:t>
      </w:r>
    </w:p>
    <w:p>
      <w:pPr>
        <w:pStyle w:val="ListBullet"/>
      </w:pPr>
      <w:r>
        <w:rPr>
          <w:rFonts w:eastAsia="微软雅黑"/>
          <w:rFonts w:ascii="微软雅黑" w:hAnsi="微软雅黑"/>
          <w:b w:val="0"/>
          <w:sz w:val="20"/>
        </w:rPr>
        <w:t>https://bg.china-embassy.gov.cn/zzgjs/gjgk/202110/t20211030_10404445.htm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https://zh.wikipedia.org/zh-hans/%E6%AD%90%E6%B4%B2%E8%81%AF%E7%9B%9F%E8%AA%9E%E8%A8%80</w:t>
      </w:r>
    </w:p>
    <w:p>
      <w:pPr>
        <w:pStyle w:val="ListBullet"/>
      </w:pPr>
      <w:r>
        <w:rPr>
          <w:rFonts w:eastAsia="微软雅黑"/>
          <w:rFonts w:ascii="微软雅黑" w:hAnsi="微软雅黑"/>
          <w:b w:val="0"/>
          <w:sz w:val="20"/>
        </w:rPr>
        <w:t>https://www.firstonline.info/zh-CN/ue-%E5%9C%A8%E8%AF%AD%E8%A8%80%E9%80%9A%E5%A4%A9%E5%A1%94%E4%B8%AD%E6%9C%89-24-%E7%A7%8D%E5%AE%98%E6%96%B9%E8%AF%AD%E8%A8%80%E5%92%8C-5-%E7%A7%8D%E5%8D%8A%E5%AE%98%E6%96%B9%E8%AF%AD%E8%A8%80%EF%BC%8C%E4%BD%86%E8%8B%B1%E8%AF%AD%E6%98%AF%E4%B8%BB%E8%A6%81%E8%AF%AD%E8%A8%80/</w:t>
      </w:r>
    </w:p>
    <w:p>
      <w:pPr>
        <w:pStyle w:val="ListBullet"/>
      </w:pPr>
      <w:r>
        <w:rPr>
          <w:rFonts w:eastAsia="微软雅黑"/>
          <w:rFonts w:ascii="微软雅黑" w:hAnsi="微软雅黑"/>
          <w:b w:val="0"/>
          <w:sz w:val="20"/>
        </w:rPr>
        <w:t>http://cs.mfa.gov.cn/zggmcg/ljmdd/oz_652287/bjly_652661/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https://confuciusinstitute.bg/images/Documents/Kitajski%20Ezikov%20Most%202024/2025%20chinese%20language%20bridge%20-%20Rules%20.pdf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5（口径：代理推导值）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http://news.xinhuanet.com/world/2017-03/01/c_1120553065.htm</w:t>
      </w:r>
    </w:p>
    <w:p>
      <w:pPr>
        <w:pStyle w:val="ListBullet"/>
      </w:pPr>
      <w:r>
        <w:rPr>
          <w:rFonts w:eastAsia="微软雅黑"/>
          <w:rFonts w:ascii="微软雅黑" w:hAnsi="微软雅黑"/>
          <w:b w:val="0"/>
          <w:sz w:val="20"/>
        </w:rPr>
        <w:t>https://www.mfa.gov.cn/gjhdq_676201/gj_676203/oz_678770/1206_678916/1206x2_678936/202010/t20201014_9331333.shtml</w:t>
      </w:r>
    </w:p>
    <w:p>
      <w:pPr>
        <w:pStyle w:val="ListBullet"/>
      </w:pPr>
      <w:r>
        <w:rPr>
          <w:rFonts w:eastAsia="微软雅黑"/>
          <w:rFonts w:ascii="微软雅黑" w:hAnsi="微软雅黑"/>
          <w:b w:val="0"/>
          <w:sz w:val="20"/>
        </w:rPr>
        <w:t>https://bg.china-embassy.gov.cn/zbjwhzxx/202110/t20211030_10404383.htm</w:t>
      </w:r>
    </w:p>
    <w:p>
      <w:pPr>
        <w:pStyle w:val="ListBullet"/>
      </w:pPr>
      <w:r>
        <w:rPr>
          <w:rFonts w:eastAsia="微软雅黑"/>
          <w:rFonts w:ascii="微软雅黑" w:hAnsi="微软雅黑"/>
          <w:b w:val="0"/>
          <w:sz w:val="20"/>
        </w:rPr>
        <w:t>https://world.people.com.cn/n1/2025/0521/c1002-40484609.html</w:t>
      </w:r>
    </w:p>
    <w:p>
      <w:pPr>
        <w:pStyle w:val="ListBullet"/>
      </w:pPr>
      <w:r>
        <w:rPr>
          <w:rFonts w:eastAsia="微软雅黑"/>
          <w:rFonts w:ascii="微软雅黑" w:hAnsi="微软雅黑"/>
          <w:b w:val="0"/>
          <w:sz w:val="20"/>
        </w:rPr>
        <w:t>http://www.chisa.edu.cn/exclusive/202603/t20260316_2111455020.html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https://fdi.mofcom.gov.cn/resource/pdf/2024/11/05/c7ea43aff22f4dc1aa357abf42cf9833.pdf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0.014，保加利亚全部中文课程估算为2000门（分母））</w:t>
      </w:r>
    </w:p>
    <w:p/>
    <w:p>
      <w:pPr>
        <w:spacing w:before="0" w:after="80" w:lineRule="auto" w:line="276"/>
        <w:jc w:val="left"/>
      </w:pPr>
      <w:r>
        <w:rPr>
          <w:rFonts w:eastAsia="微软雅黑"/>
          <w:rFonts w:ascii="微软雅黑" w:hAnsi="微软雅黑"/>
          <w:b w:val="0"/>
          <w:sz w:val="21"/>
        </w:rPr>
        <w:t>代理变量：宁夏职业技术大学为保加利亚师生开设的28门课程（分子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分子为宁夏职业技术大学2024年短期访学项目中的28门课程，分母为基于保加利亚中文教育规模（5所高校本科以上课程、4所高中、50多所中小学中文班等）估算的2000门课程，两者相除得0.014。</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合成值：0.014</w:t>
      </w:r>
    </w:p>
    <w:p>
      <w:pPr>
        <w:pStyle w:val="ListBullet"/>
      </w:pPr>
      <w:r>
        <w:rPr>
          <w:rFonts w:eastAsia="微软雅黑"/>
          <w:rFonts w:ascii="微软雅黑" w:hAnsi="微软雅黑"/>
          <w:b w:val="0"/>
          <w:sz w:val="20"/>
        </w:rPr>
        <w:t>代理：宁夏职业技术大学为保加利亚师生开设的28门课程（分子），保加利亚全部中文课程估算为2000门（分母）</w:t>
      </w:r>
    </w:p>
    <w:p>
      <w:pPr>
        <w:pStyle w:val="ListBullet"/>
      </w:pPr>
      <w:r>
        <w:rPr>
          <w:rFonts w:eastAsia="微软雅黑"/>
          <w:rFonts w:ascii="微软雅黑" w:hAnsi="微软雅黑"/>
          <w:b w:val="0"/>
          <w:sz w:val="20"/>
        </w:rPr>
        <w:t>推导：分子为宁夏职业技术大学2024年短期访学项目中的28门课程，分母为基于保加利亚中文教育规模（5所高校本科以上课程、4所高中、50多所中小学中文班等）估算的2000门课程，两者相除得0.014。</w:t>
      </w:r>
    </w:p>
    <w:p>
      <w:pPr>
        <w:pStyle w:val="ListBullet"/>
      </w:pPr>
      <w:r>
        <w:rPr>
          <w:rFonts w:eastAsia="微软雅黑"/>
          <w:rFonts w:ascii="微软雅黑" w:hAnsi="微软雅黑"/>
          <w:b w:val="0"/>
          <w:sz w:val="20"/>
        </w:rPr>
        <w:t>依据：分子仅包含一个项目的课程，分母为粗略估算，缺乏官方统计，且未涵盖其他可能的‘中文+职业技能’课程（如普罗夫迪夫大学孔子课堂的‘中文+旅游’项目、鲁塞大学实践项目），实际值可能更高。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https://www.nxtc.edu.cn/info/1039/23034.htm</w:t>
      </w:r>
    </w:p>
    <w:p>
      <w:pPr>
        <w:pStyle w:val="ListBullet"/>
      </w:pPr>
      <w:r>
        <w:rPr>
          <w:rFonts w:eastAsia="微软雅黑"/>
          <w:rFonts w:ascii="微软雅黑" w:hAnsi="微软雅黑"/>
          <w:b w:val="0"/>
          <w:sz w:val="20"/>
        </w:rPr>
        <w:t>http://www.cctss.org/article/headlines/7251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https://www.nxtc.edu.cn/info/1039/23034.htm</w:t>
      </w:r>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https://www.chinanews.com.cn/dxw/2024/02-02/10157812.shtml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基于一带一路企业培训模式，推测保加利亚能源、物流等领域中资合作企业可能通过goFLUENT等平台定制中文培训，或通过孔子学院企业班开展。参考类似国家企业培训规模，估计覆盖10-20家保企。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https://apps.apple.com/us/app/gofluent-%E4%BC%81%E4%B8%9A%E8%AF%AD%E8%A8%80%E5%9F%B9%E8%AE%AD/id484994915?l=zh-Hans-CN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https://www.mofcom.gov.cn/dl/gbdqzn/upload/baojialiya.pdf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https://zh.semrush.com/trending-websites/bg/all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检索了Perplexity、Tavily（中英文）、学术数据库（OpenAlex、Semantic Scholar、Crossref、CNKI）以及保加利亚主流媒体网站（BNT、24 Chasa等），均未发现2020-2025年间关于保加利亚主流媒体中中文教育双语报道比例的任何数据或估算。保加利亚华侨约2000人，中文教育需求低，无相关媒体报道。</w:t>
      </w:r>
    </w:p>
    <w:p>
      <w:pPr>
        <w:spacing w:before="0" w:after="80" w:lineRule="auto" w:line="276"/>
        <w:jc w:val="left"/>
      </w:pPr>
      <w:r>
        <w:rPr>
          <w:rFonts w:eastAsia="微软雅黑"/>
          <w:rFonts w:ascii="微软雅黑" w:hAnsi="微软雅黑"/>
          <w:b w:val="0"/>
          <w:sz w:val="21"/>
        </w:rPr>
        <w:t>扩展补充：已检索来源包括：Perplexity搜索结果、Tavily中文和英文搜索、OpenAlex、Semantic Scholar、Crossref、CNKI，以及保加利亚国家电视台BNT和报纸24 Chasa网站。未找到任何相关数据。</w:t>
      </w:r>
    </w:p>
    <w:p>
      <w:pPr>
        <w:spacing w:before="0" w:after="80" w:lineRule="auto" w:line="276"/>
        <w:jc w:val="left"/>
      </w:pPr>
      <w:r>
        <w:rPr>
          <w:rFonts w:eastAsia="微软雅黑"/>
          <w:rFonts w:ascii="微软雅黑" w:hAnsi="微软雅黑"/>
          <w:b w:val="0"/>
          <w:sz w:val="21"/>
        </w:rPr>
        <w:t>判断：基于全球媒体趋势和保加利亚华人规模推测，但缺乏直接证据。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现有搜索结果，未发现任何关于保加利亚主流媒体中中文教育双语报道比例的数据或估算。搜索结果仅提及保加利亚中文教育机构情况，未涉及媒体报道。因此，当前可疑值0%无法被验证或推翻，但缺乏证据支持。</w:t>
      </w:r>
    </w:p>
    <w:p>
      <w:pPr>
        <w:pStyle w:val="ListBullet"/>
      </w:pPr>
      <w:r>
        <w:rPr>
          <w:rFonts w:eastAsia="微软雅黑"/>
          <w:rFonts w:ascii="微软雅黑" w:hAnsi="微软雅黑"/>
          <w:b w:val="0"/>
          <w:sz w:val="20"/>
        </w:rPr>
        <w:t>依据：无法获取精确数值或可靠估算，仅能引用现有搜索结果中无相关数据的事实。</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http://www.cctss.org/article/headlines/7251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https://www.peopleapp.com/newspaper?date=2025.10.14</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