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BRI 64 国 · 可疑格详细清单</w:t>
      </w:r>
    </w:p>
    <w:p/>
    <w:p>
      <w:pPr>
        <w:spacing w:before="0" w:after="80" w:lineRule="auto" w:line="276"/>
        <w:jc w:val="left"/>
      </w:pPr>
      <w:r>
        <w:rPr>
          <w:rFonts w:eastAsia="微软雅黑"/>
          <w:rFonts w:ascii="微软雅黑" w:hAnsi="微软雅黑"/>
          <w:b w:val="0"/>
          <w:sz w:val="21"/>
        </w:rPr>
        <w:t>生成时间：2026-04-24 09:31</w:t>
      </w:r>
    </w:p>
    <w:p>
      <w:pPr>
        <w:spacing w:before="0" w:after="80" w:lineRule="auto" w:line="276"/>
        <w:jc w:val="left"/>
      </w:pPr>
      <w:r>
        <w:rPr>
          <w:rFonts w:eastAsia="微软雅黑"/>
          <w:rFonts w:ascii="微软雅黑" w:hAnsi="微软雅黑"/>
          <w:b w:val="0"/>
          <w:sz w:val="21"/>
        </w:rPr>
        <w:t>数据来源：13 份 v_final xlsx</w:t>
      </w:r>
    </w:p>
    <w:p>
      <w:pPr>
        <w:spacing w:before="0" w:after="80" w:lineRule="auto" w:line="276"/>
        <w:jc w:val="left"/>
      </w:pPr>
      <w:r>
        <w:rPr>
          <w:rFonts w:eastAsia="微软雅黑"/>
          <w:rFonts w:ascii="微软雅黑" w:hAnsi="微软雅黑"/>
          <w:b w:val="0"/>
          <w:sz w:val="21"/>
        </w:rPr>
        <w:t>总可疑格：447</w:t>
      </w:r>
    </w:p>
    <w:p/>
    <w:p>
      <w:pPr>
        <w:spacing w:before="240" w:after="120" w:lineRule="auto" w:line="276"/>
        <w:jc w:val="left"/>
      </w:pPr>
      <w:r>
        <w:rPr>
          <w:rFonts w:eastAsia="微软雅黑"/>
          <w:rFonts w:ascii="微软雅黑" w:hAnsi="微软雅黑"/>
          <w:b/>
          <w:color w:val="2E5C8A"/>
          <w:sz w:val="30"/>
        </w:rPr>
        <w:t>按类型分布</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说明</w:t>
            </w:r>
          </w:p>
        </w:tc>
      </w:tr>
      <w:tr>
        <w:tc>
          <w:tcPr>
            <w:tcW w:type="dxa" w:w="3324"/>
          </w:tcPr>
          <w:p>
            <w:r/>
            <w:r>
              <w:rPr>
                <w:rFonts w:eastAsia="微软雅黑"/>
                <w:rFonts w:ascii="微软雅黑" w:hAnsi="微软雅黑"/>
                <w:b w:val="0"/>
                <w:sz w:val="16"/>
              </w:rPr>
              <w:t>empty</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单元格为空</w:t>
            </w:r>
          </w:p>
        </w:tc>
      </w:tr>
      <w:tr>
        <w:tc>
          <w:tcPr>
            <w:tcW w:type="dxa" w:w="3324"/>
          </w:tcPr>
          <w:p>
            <w:r/>
            <w:r>
              <w:rPr>
                <w:rFonts w:eastAsia="微软雅黑"/>
                <w:rFonts w:ascii="微软雅黑" w:hAnsi="微软雅黑"/>
                <w:b w:val="0"/>
                <w:sz w:val="16"/>
              </w:rPr>
              <w:t>zero</w:t>
            </w:r>
          </w:p>
        </w:tc>
        <w:tc>
          <w:tcPr>
            <w:tcW w:type="dxa" w:w="3324"/>
          </w:tcPr>
          <w:p>
            <w:r/>
            <w:r>
              <w:rPr>
                <w:rFonts w:eastAsia="微软雅黑"/>
                <w:rFonts w:ascii="微软雅黑" w:hAnsi="微软雅黑"/>
                <w:b w:val="0"/>
                <w:sz w:val="16"/>
              </w:rPr>
              <w:t>245</w:t>
            </w:r>
          </w:p>
        </w:tc>
        <w:tc>
          <w:tcPr>
            <w:tcW w:type="dxa" w:w="3324"/>
          </w:tcPr>
          <w:p>
            <w:r/>
            <w:r>
              <w:rPr>
                <w:rFonts w:eastAsia="微软雅黑"/>
                <w:rFonts w:ascii="微软雅黑" w:hAnsi="微软雅黑"/>
                <w:b w:val="0"/>
                <w:sz w:val="16"/>
              </w:rPr>
              <w:t>值为 0（非分类字段）</w:t>
            </w:r>
          </w:p>
        </w:tc>
      </w:tr>
      <w:tr>
        <w:tc>
          <w:tcPr>
            <w:tcW w:type="dxa" w:w="3324"/>
          </w:tcPr>
          <w:p>
            <w:r/>
            <w:r>
              <w:rPr>
                <w:rFonts w:eastAsia="微软雅黑"/>
                <w:rFonts w:ascii="微软雅黑" w:hAnsi="微软雅黑"/>
                <w:b w:val="0"/>
                <w:sz w:val="16"/>
              </w:rPr>
              <w:t>wu</w:t>
            </w:r>
          </w:p>
        </w:tc>
        <w:tc>
          <w:tcPr>
            <w:tcW w:type="dxa" w:w="3324"/>
          </w:tcPr>
          <w:p>
            <w:r/>
            <w:r>
              <w:rPr>
                <w:rFonts w:eastAsia="微软雅黑"/>
                <w:rFonts w:ascii="微软雅黑" w:hAnsi="微软雅黑"/>
                <w:b w:val="0"/>
                <w:sz w:val="16"/>
              </w:rPr>
              <w:t>35</w:t>
            </w:r>
          </w:p>
        </w:tc>
        <w:tc>
          <w:tcPr>
            <w:tcW w:type="dxa" w:w="3324"/>
          </w:tcPr>
          <w:p>
            <w:r/>
            <w:r>
              <w:rPr>
                <w:rFonts w:eastAsia="微软雅黑"/>
                <w:rFonts w:ascii="微软雅黑" w:hAnsi="微软雅黑"/>
                <w:b w:val="0"/>
                <w:sz w:val="16"/>
              </w:rPr>
              <w:t>值为 无/没有</w:t>
            </w:r>
          </w:p>
        </w:tc>
      </w:tr>
      <w:tr>
        <w:tc>
          <w:tcPr>
            <w:tcW w:type="dxa" w:w="3324"/>
          </w:tcPr>
          <w:p>
            <w:r/>
            <w:r>
              <w:rPr>
                <w:rFonts w:eastAsia="微软雅黑"/>
                <w:rFonts w:ascii="微软雅黑" w:hAnsi="微软雅黑"/>
                <w:b w:val="0"/>
                <w:sz w:val="16"/>
              </w:rPr>
              <w:t>bad</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含『无可核验/未发布/N/A』等失败标记</w:t>
            </w:r>
          </w:p>
        </w:tc>
      </w:tr>
      <w:tr>
        <w:tc>
          <w:tcPr>
            <w:tcW w:type="dxa" w:w="3324"/>
          </w:tcPr>
          <w:p>
            <w:r/>
            <w:r>
              <w:rPr>
                <w:rFonts w:eastAsia="微软雅黑"/>
                <w:rFonts w:ascii="微软雅黑" w:hAnsi="微软雅黑"/>
                <w:b w:val="0"/>
                <w:sz w:val="16"/>
              </w:rPr>
              <w:t>soft</w:t>
            </w:r>
          </w:p>
        </w:tc>
        <w:tc>
          <w:tcPr>
            <w:tcW w:type="dxa" w:w="3324"/>
          </w:tcPr>
          <w:p>
            <w:r/>
            <w:r>
              <w:rPr>
                <w:rFonts w:eastAsia="微软雅黑"/>
                <w:rFonts w:ascii="微软雅黑" w:hAnsi="微软雅黑"/>
                <w:b w:val="0"/>
                <w:sz w:val="16"/>
              </w:rPr>
              <w:t>140</w:t>
            </w:r>
          </w:p>
        </w:tc>
        <w:tc>
          <w:tcPr>
            <w:tcW w:type="dxa" w:w="3324"/>
          </w:tcPr>
          <w:p>
            <w:r/>
            <w:r>
              <w:rPr>
                <w:rFonts w:eastAsia="微软雅黑"/>
                <w:rFonts w:ascii="微软雅黑" w:hAnsi="微软雅黑"/>
                <w:b w:val="0"/>
                <w:sz w:val="16"/>
              </w:rPr>
              <w:t>以『少量/若干/有限』开头的软定性</w:t>
            </w:r>
          </w:p>
        </w:tc>
      </w:tr>
    </w:tbl>
    <w:p/>
    <w:p/>
    <w:p>
      <w:pPr>
        <w:spacing w:before="240" w:after="120" w:lineRule="auto" w:line="276"/>
        <w:jc w:val="left"/>
      </w:pPr>
      <w:r>
        <w:rPr>
          <w:rFonts w:eastAsia="微软雅黑"/>
          <w:rFonts w:ascii="微软雅黑" w:hAnsi="微软雅黑"/>
          <w:b/>
          <w:color w:val="2E5C8A"/>
          <w:sz w:val="30"/>
        </w:rPr>
        <w:t>按批次分布</w:t>
      </w:r>
    </w:p>
    <w:tbl>
      <w:tblPr>
        <w:tblStyle w:val="LightGrid-Accent1"/>
        <w:tblW w:type="auto" w:w="0"/>
        <w:jc w:val="left"/>
        <w:tblLook w:firstColumn="1" w:firstRow="1" w:lastColumn="0" w:lastRow="0" w:noHBand="0" w:noVBand="1" w:val="04A0"/>
      </w:tblPr>
      <w:tblGrid>
        <w:gridCol w:w="4986"/>
        <w:gridCol w:w="4986"/>
      </w:tblGrid>
      <w:tr>
        <w:tc>
          <w:tcPr>
            <w:tcW w:type="dxa" w:w="4986"/>
          </w:tcPr>
          <w:p>
            <w:r/>
            <w:r>
              <w:rPr>
                <w:rFonts w:eastAsia="微软雅黑"/>
                <w:rFonts w:ascii="微软雅黑" w:hAnsi="微软雅黑"/>
                <w:b/>
                <w:sz w:val="16"/>
              </w:rPr>
              <w:t>批次</w:t>
            </w:r>
          </w:p>
        </w:tc>
        <w:tc>
          <w:tcPr>
            <w:tcW w:type="dxa" w:w="4986"/>
          </w:tcPr>
          <w:p>
            <w:r/>
            <w:r>
              <w:rPr>
                <w:rFonts w:eastAsia="微软雅黑"/>
                <w:rFonts w:ascii="微软雅黑" w:hAnsi="微软雅黑"/>
                <w:b/>
                <w:sz w:val="16"/>
              </w:rPr>
              <w:t>可疑数</w:t>
            </w:r>
          </w:p>
        </w:tc>
      </w:tr>
      <w:tr>
        <w:tc>
          <w:tcPr>
            <w:tcW w:type="dxa" w:w="4986"/>
          </w:tcPr>
          <w:p>
            <w:r/>
            <w:r>
              <w:rPr>
                <w:rFonts w:eastAsia="微软雅黑"/>
                <w:rFonts w:ascii="微软雅黑" w:hAnsi="微软雅黑"/>
                <w:b w:val="0"/>
                <w:sz w:val="16"/>
              </w:rPr>
              <w:t>1</w:t>
            </w:r>
          </w:p>
        </w:tc>
        <w:tc>
          <w:tcPr>
            <w:tcW w:type="dxa" w:w="4986"/>
          </w:tcPr>
          <w:p>
            <w:r/>
            <w:r>
              <w:rPr>
                <w:rFonts w:eastAsia="微软雅黑"/>
                <w:rFonts w:ascii="微软雅黑" w:hAnsi="微软雅黑"/>
                <w:b w:val="0"/>
                <w:sz w:val="16"/>
              </w:rPr>
              <w:t>75</w:t>
            </w:r>
          </w:p>
        </w:tc>
      </w:tr>
      <w:tr>
        <w:tc>
          <w:tcPr>
            <w:tcW w:type="dxa" w:w="4986"/>
          </w:tcPr>
          <w:p>
            <w:r/>
            <w:r>
              <w:rPr>
                <w:rFonts w:eastAsia="微软雅黑"/>
                <w:rFonts w:ascii="微软雅黑" w:hAnsi="微软雅黑"/>
                <w:b w:val="0"/>
                <w:sz w:val="16"/>
              </w:rPr>
              <w:t>2</w:t>
            </w:r>
          </w:p>
        </w:tc>
        <w:tc>
          <w:tcPr>
            <w:tcW w:type="dxa" w:w="4986"/>
          </w:tcPr>
          <w:p>
            <w:r/>
            <w:r>
              <w:rPr>
                <w:rFonts w:eastAsia="微软雅黑"/>
                <w:rFonts w:ascii="微软雅黑" w:hAnsi="微软雅黑"/>
                <w:b w:val="0"/>
                <w:sz w:val="16"/>
              </w:rPr>
              <w:t>71</w:t>
            </w:r>
          </w:p>
        </w:tc>
      </w:tr>
      <w:tr>
        <w:tc>
          <w:tcPr>
            <w:tcW w:type="dxa" w:w="4986"/>
          </w:tcPr>
          <w:p>
            <w:r/>
            <w:r>
              <w:rPr>
                <w:rFonts w:eastAsia="微软雅黑"/>
                <w:rFonts w:ascii="微软雅黑" w:hAnsi="微软雅黑"/>
                <w:b w:val="0"/>
                <w:sz w:val="16"/>
              </w:rPr>
              <w:t>3</w:t>
            </w:r>
          </w:p>
        </w:tc>
        <w:tc>
          <w:tcPr>
            <w:tcW w:type="dxa" w:w="4986"/>
          </w:tcPr>
          <w:p>
            <w:r/>
            <w:r>
              <w:rPr>
                <w:rFonts w:eastAsia="微软雅黑"/>
                <w:rFonts w:ascii="微软雅黑" w:hAnsi="微软雅黑"/>
                <w:b w:val="0"/>
                <w:sz w:val="16"/>
              </w:rPr>
              <w:t>42</w:t>
            </w:r>
          </w:p>
        </w:tc>
      </w:tr>
      <w:tr>
        <w:tc>
          <w:tcPr>
            <w:tcW w:type="dxa" w:w="4986"/>
          </w:tcPr>
          <w:p>
            <w:r/>
            <w:r>
              <w:rPr>
                <w:rFonts w:eastAsia="微软雅黑"/>
                <w:rFonts w:ascii="微软雅黑" w:hAnsi="微软雅黑"/>
                <w:b w:val="0"/>
                <w:sz w:val="16"/>
              </w:rPr>
              <w:t>4</w:t>
            </w:r>
          </w:p>
        </w:tc>
        <w:tc>
          <w:tcPr>
            <w:tcW w:type="dxa" w:w="4986"/>
          </w:tcPr>
          <w:p>
            <w:r/>
            <w:r>
              <w:rPr>
                <w:rFonts w:eastAsia="微软雅黑"/>
                <w:rFonts w:ascii="微软雅黑" w:hAnsi="微软雅黑"/>
                <w:b w:val="0"/>
                <w:sz w:val="16"/>
              </w:rPr>
              <w:t>21</w:t>
            </w:r>
          </w:p>
        </w:tc>
      </w:tr>
      <w:tr>
        <w:tc>
          <w:tcPr>
            <w:tcW w:type="dxa" w:w="4986"/>
          </w:tcPr>
          <w:p>
            <w:r/>
            <w:r>
              <w:rPr>
                <w:rFonts w:eastAsia="微软雅黑"/>
                <w:rFonts w:ascii="微软雅黑" w:hAnsi="微软雅黑"/>
                <w:b w:val="0"/>
                <w:sz w:val="16"/>
              </w:rPr>
              <w:t>5</w:t>
            </w:r>
          </w:p>
        </w:tc>
        <w:tc>
          <w:tcPr>
            <w:tcW w:type="dxa" w:w="4986"/>
          </w:tcPr>
          <w:p>
            <w:r/>
            <w:r>
              <w:rPr>
                <w:rFonts w:eastAsia="微软雅黑"/>
                <w:rFonts w:ascii="微软雅黑" w:hAnsi="微软雅黑"/>
                <w:b w:val="0"/>
                <w:sz w:val="16"/>
              </w:rPr>
              <w:t>7</w:t>
            </w:r>
          </w:p>
        </w:tc>
      </w:tr>
      <w:tr>
        <w:tc>
          <w:tcPr>
            <w:tcW w:type="dxa" w:w="4986"/>
          </w:tcPr>
          <w:p>
            <w:r/>
            <w:r>
              <w:rPr>
                <w:rFonts w:eastAsia="微软雅黑"/>
                <w:rFonts w:ascii="微软雅黑" w:hAnsi="微软雅黑"/>
                <w:b w:val="0"/>
                <w:sz w:val="16"/>
              </w:rPr>
              <w:t>6</w:t>
            </w:r>
          </w:p>
        </w:tc>
        <w:tc>
          <w:tcPr>
            <w:tcW w:type="dxa" w:w="4986"/>
          </w:tcPr>
          <w:p>
            <w:r/>
            <w:r>
              <w:rPr>
                <w:rFonts w:eastAsia="微软雅黑"/>
                <w:rFonts w:ascii="微软雅黑" w:hAnsi="微软雅黑"/>
                <w:b w:val="0"/>
                <w:sz w:val="16"/>
              </w:rPr>
              <w:t>30</w:t>
            </w:r>
          </w:p>
        </w:tc>
      </w:tr>
      <w:tr>
        <w:tc>
          <w:tcPr>
            <w:tcW w:type="dxa" w:w="4986"/>
          </w:tcPr>
          <w:p>
            <w:r/>
            <w:r>
              <w:rPr>
                <w:rFonts w:eastAsia="微软雅黑"/>
                <w:rFonts w:ascii="微软雅黑" w:hAnsi="微软雅黑"/>
                <w:b w:val="0"/>
                <w:sz w:val="16"/>
              </w:rPr>
              <w:t>7</w:t>
            </w:r>
          </w:p>
        </w:tc>
        <w:tc>
          <w:tcPr>
            <w:tcW w:type="dxa" w:w="4986"/>
          </w:tcPr>
          <w:p>
            <w:r/>
            <w:r>
              <w:rPr>
                <w:rFonts w:eastAsia="微软雅黑"/>
                <w:rFonts w:ascii="微软雅黑" w:hAnsi="微软雅黑"/>
                <w:b w:val="0"/>
                <w:sz w:val="16"/>
              </w:rPr>
              <w:t>31</w:t>
            </w:r>
          </w:p>
        </w:tc>
      </w:tr>
      <w:tr>
        <w:tc>
          <w:tcPr>
            <w:tcW w:type="dxa" w:w="4986"/>
          </w:tcPr>
          <w:p>
            <w:r/>
            <w:r>
              <w:rPr>
                <w:rFonts w:eastAsia="微软雅黑"/>
                <w:rFonts w:ascii="微软雅黑" w:hAnsi="微软雅黑"/>
                <w:b w:val="0"/>
                <w:sz w:val="16"/>
              </w:rPr>
              <w:t>8</w:t>
            </w:r>
          </w:p>
        </w:tc>
        <w:tc>
          <w:tcPr>
            <w:tcW w:type="dxa" w:w="4986"/>
          </w:tcPr>
          <w:p>
            <w:r/>
            <w:r>
              <w:rPr>
                <w:rFonts w:eastAsia="微软雅黑"/>
                <w:rFonts w:ascii="微软雅黑" w:hAnsi="微软雅黑"/>
                <w:b w:val="0"/>
                <w:sz w:val="16"/>
              </w:rPr>
              <w:t>28</w:t>
            </w:r>
          </w:p>
        </w:tc>
      </w:tr>
      <w:tr>
        <w:tc>
          <w:tcPr>
            <w:tcW w:type="dxa" w:w="4986"/>
          </w:tcPr>
          <w:p>
            <w:r/>
            <w:r>
              <w:rPr>
                <w:rFonts w:eastAsia="微软雅黑"/>
                <w:rFonts w:ascii="微软雅黑" w:hAnsi="微软雅黑"/>
                <w:b w:val="0"/>
                <w:sz w:val="16"/>
              </w:rPr>
              <w:t>9</w:t>
            </w:r>
          </w:p>
        </w:tc>
        <w:tc>
          <w:tcPr>
            <w:tcW w:type="dxa" w:w="4986"/>
          </w:tcPr>
          <w:p>
            <w:r/>
            <w:r>
              <w:rPr>
                <w:rFonts w:eastAsia="微软雅黑"/>
                <w:rFonts w:ascii="微软雅黑" w:hAnsi="微软雅黑"/>
                <w:b w:val="0"/>
                <w:sz w:val="16"/>
              </w:rPr>
              <w:t>24</w:t>
            </w:r>
          </w:p>
        </w:tc>
      </w:tr>
      <w:tr>
        <w:tc>
          <w:tcPr>
            <w:tcW w:type="dxa" w:w="4986"/>
          </w:tcPr>
          <w:p>
            <w:r/>
            <w:r>
              <w:rPr>
                <w:rFonts w:eastAsia="微软雅黑"/>
                <w:rFonts w:ascii="微软雅黑" w:hAnsi="微软雅黑"/>
                <w:b w:val="0"/>
                <w:sz w:val="16"/>
              </w:rPr>
              <w:t>10</w:t>
            </w:r>
          </w:p>
        </w:tc>
        <w:tc>
          <w:tcPr>
            <w:tcW w:type="dxa" w:w="4986"/>
          </w:tcPr>
          <w:p>
            <w:r/>
            <w:r>
              <w:rPr>
                <w:rFonts w:eastAsia="微软雅黑"/>
                <w:rFonts w:ascii="微软雅黑" w:hAnsi="微软雅黑"/>
                <w:b w:val="0"/>
                <w:sz w:val="16"/>
              </w:rPr>
              <w:t>19</w:t>
            </w:r>
          </w:p>
        </w:tc>
      </w:tr>
      <w:tr>
        <w:tc>
          <w:tcPr>
            <w:tcW w:type="dxa" w:w="4986"/>
          </w:tcPr>
          <w:p>
            <w:r/>
            <w:r>
              <w:rPr>
                <w:rFonts w:eastAsia="微软雅黑"/>
                <w:rFonts w:ascii="微软雅黑" w:hAnsi="微软雅黑"/>
                <w:b w:val="0"/>
                <w:sz w:val="16"/>
              </w:rPr>
              <w:t>11</w:t>
            </w:r>
          </w:p>
        </w:tc>
        <w:tc>
          <w:tcPr>
            <w:tcW w:type="dxa" w:w="4986"/>
          </w:tcPr>
          <w:p>
            <w:r/>
            <w:r>
              <w:rPr>
                <w:rFonts w:eastAsia="微软雅黑"/>
                <w:rFonts w:ascii="微软雅黑" w:hAnsi="微软雅黑"/>
                <w:b w:val="0"/>
                <w:sz w:val="16"/>
              </w:rPr>
              <w:t>45</w:t>
            </w:r>
          </w:p>
        </w:tc>
      </w:tr>
      <w:tr>
        <w:tc>
          <w:tcPr>
            <w:tcW w:type="dxa" w:w="4986"/>
          </w:tcPr>
          <w:p>
            <w:r/>
            <w:r>
              <w:rPr>
                <w:rFonts w:eastAsia="微软雅黑"/>
                <w:rFonts w:ascii="微软雅黑" w:hAnsi="微软雅黑"/>
                <w:b w:val="0"/>
                <w:sz w:val="16"/>
              </w:rPr>
              <w:t>12</w:t>
            </w:r>
          </w:p>
        </w:tc>
        <w:tc>
          <w:tcPr>
            <w:tcW w:type="dxa" w:w="4986"/>
          </w:tcPr>
          <w:p>
            <w:r/>
            <w:r>
              <w:rPr>
                <w:rFonts w:eastAsia="微软雅黑"/>
                <w:rFonts w:ascii="微软雅黑" w:hAnsi="微软雅黑"/>
                <w:b w:val="0"/>
                <w:sz w:val="16"/>
              </w:rPr>
              <w:t>32</w:t>
            </w:r>
          </w:p>
        </w:tc>
      </w:tr>
      <w:tr>
        <w:tc>
          <w:tcPr>
            <w:tcW w:type="dxa" w:w="4986"/>
          </w:tcPr>
          <w:p>
            <w:r/>
            <w:r>
              <w:rPr>
                <w:rFonts w:eastAsia="微软雅黑"/>
                <w:rFonts w:ascii="微软雅黑" w:hAnsi="微软雅黑"/>
                <w:b w:val="0"/>
                <w:sz w:val="16"/>
              </w:rPr>
              <w:t>13</w:t>
            </w:r>
          </w:p>
        </w:tc>
        <w:tc>
          <w:tcPr>
            <w:tcW w:type="dxa" w:w="4986"/>
          </w:tcPr>
          <w:p>
            <w:r/>
            <w:r>
              <w:rPr>
                <w:rFonts w:eastAsia="微软雅黑"/>
                <w:rFonts w:ascii="微软雅黑" w:hAnsi="微软雅黑"/>
                <w:b w:val="0"/>
                <w:sz w:val="16"/>
              </w:rPr>
              <w:t>22</w:t>
            </w:r>
          </w:p>
        </w:tc>
      </w:tr>
    </w:tbl>
    <w:p/>
    <w:p/>
    <w:p>
      <w:pPr>
        <w:spacing w:before="240" w:after="120" w:lineRule="auto" w:line="276"/>
        <w:jc w:val="left"/>
      </w:pPr>
      <w:r>
        <w:rPr>
          <w:rFonts w:eastAsia="微软雅黑"/>
          <w:rFonts w:ascii="微软雅黑" w:hAnsi="微软雅黑"/>
          <w:b/>
          <w:color w:val="2E5C8A"/>
          <w:sz w:val="30"/>
        </w:rPr>
        <w:t>按优先级分布</w:t>
      </w:r>
    </w:p>
    <w:tbl>
      <w:tblPr>
        <w:tblStyle w:val="LightGrid-Accent1"/>
        <w:tblW w:type="auto" w:w="0"/>
        <w:jc w:val="left"/>
        <w:tblLook w:firstColumn="1" w:firstRow="1" w:lastColumn="0" w:lastRow="0" w:noHBand="0" w:noVBand="1" w:val="04A0"/>
      </w:tblPr>
      <w:tblGrid>
        <w:gridCol w:w="4986"/>
        <w:gridCol w:w="4986"/>
      </w:tblGrid>
      <w:tr>
        <w:tc>
          <w:tcPr>
            <w:tcW w:type="dxa" w:w="4986"/>
          </w:tcPr>
          <w:p>
            <w:r/>
            <w:r>
              <w:rPr>
                <w:rFonts w:eastAsia="微软雅黑"/>
                <w:rFonts w:ascii="微软雅黑" w:hAnsi="微软雅黑"/>
                <w:b/>
                <w:sz w:val="16"/>
              </w:rPr>
              <w:t>优先级</w:t>
            </w:r>
          </w:p>
        </w:tc>
        <w:tc>
          <w:tcPr>
            <w:tcW w:type="dxa" w:w="4986"/>
          </w:tcPr>
          <w:p>
            <w:r/>
            <w:r>
              <w:rPr>
                <w:rFonts w:eastAsia="微软雅黑"/>
                <w:rFonts w:ascii="微软雅黑" w:hAnsi="微软雅黑"/>
                <w:b/>
                <w:sz w:val="16"/>
              </w:rPr>
              <w:t>可疑数</w:t>
            </w:r>
          </w:p>
        </w:tc>
      </w:tr>
      <w:tr>
        <w:tc>
          <w:tcPr>
            <w:tcW w:type="dxa" w:w="4986"/>
          </w:tcPr>
          <w:p>
            <w:r/>
            <w:r>
              <w:rPr>
                <w:rFonts w:eastAsia="微软雅黑"/>
                <w:rFonts w:ascii="微软雅黑" w:hAnsi="微软雅黑"/>
                <w:b w:val="0"/>
                <w:sz w:val="16"/>
              </w:rPr>
              <w:t>P1</w:t>
            </w:r>
          </w:p>
        </w:tc>
        <w:tc>
          <w:tcPr>
            <w:tcW w:type="dxa" w:w="4986"/>
          </w:tcPr>
          <w:p>
            <w:r/>
            <w:r>
              <w:rPr>
                <w:rFonts w:eastAsia="微软雅黑"/>
                <w:rFonts w:ascii="微软雅黑" w:hAnsi="微软雅黑"/>
                <w:b w:val="0"/>
                <w:sz w:val="16"/>
              </w:rPr>
              <w:t>56</w:t>
            </w:r>
          </w:p>
        </w:tc>
      </w:tr>
      <w:tr>
        <w:tc>
          <w:tcPr>
            <w:tcW w:type="dxa" w:w="4986"/>
          </w:tcPr>
          <w:p>
            <w:r/>
            <w:r>
              <w:rPr>
                <w:rFonts w:eastAsia="微软雅黑"/>
                <w:rFonts w:ascii="微软雅黑" w:hAnsi="微软雅黑"/>
                <w:b w:val="0"/>
                <w:sz w:val="16"/>
              </w:rPr>
              <w:t>P2</w:t>
            </w:r>
          </w:p>
        </w:tc>
        <w:tc>
          <w:tcPr>
            <w:tcW w:type="dxa" w:w="4986"/>
          </w:tcPr>
          <w:p>
            <w:r/>
            <w:r>
              <w:rPr>
                <w:rFonts w:eastAsia="微软雅黑"/>
                <w:rFonts w:ascii="微软雅黑" w:hAnsi="微软雅黑"/>
                <w:b w:val="0"/>
                <w:sz w:val="16"/>
              </w:rPr>
              <w:t>191</w:t>
            </w:r>
          </w:p>
        </w:tc>
      </w:tr>
      <w:tr>
        <w:tc>
          <w:tcPr>
            <w:tcW w:type="dxa" w:w="4986"/>
          </w:tcPr>
          <w:p>
            <w:r/>
            <w:r>
              <w:rPr>
                <w:rFonts w:eastAsia="微软雅黑"/>
                <w:rFonts w:ascii="微软雅黑" w:hAnsi="微软雅黑"/>
                <w:b w:val="0"/>
                <w:sz w:val="16"/>
              </w:rPr>
              <w:t>P3</w:t>
            </w:r>
          </w:p>
        </w:tc>
        <w:tc>
          <w:tcPr>
            <w:tcW w:type="dxa" w:w="4986"/>
          </w:tcPr>
          <w:p>
            <w:r/>
            <w:r>
              <w:rPr>
                <w:rFonts w:eastAsia="微软雅黑"/>
                <w:rFonts w:ascii="微软雅黑" w:hAnsi="微软雅黑"/>
                <w:b w:val="0"/>
                <w:sz w:val="16"/>
              </w:rPr>
              <w:t>200</w:t>
            </w:r>
          </w:p>
        </w:tc>
      </w:tr>
    </w:tbl>
    <w:p/>
    <w:p/>
    <w:p>
      <w:pPr>
        <w:spacing w:before="240" w:after="120" w:lineRule="auto" w:line="276"/>
        <w:jc w:val="left"/>
      </w:pPr>
      <w:r>
        <w:rPr>
          <w:rFonts w:eastAsia="微软雅黑"/>
          <w:rFonts w:ascii="微软雅黑" w:hAnsi="微软雅黑"/>
          <w:b/>
          <w:color w:val="2E5C8A"/>
          <w:sz w:val="30"/>
        </w:rPr>
        <w:t>按国家分布</w:t>
      </w:r>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国家</w:t>
            </w:r>
          </w:p>
        </w:tc>
        <w:tc>
          <w:tcPr>
            <w:tcW w:type="dxa" w:w="1425"/>
          </w:tcPr>
          <w:p>
            <w:r/>
            <w:r>
              <w:rPr>
                <w:rFonts w:eastAsia="微软雅黑"/>
                <w:rFonts w:ascii="微软雅黑" w:hAnsi="微软雅黑"/>
                <w:b/>
                <w:sz w:val="16"/>
              </w:rPr>
              <w:t>总数</w:t>
            </w:r>
          </w:p>
        </w:tc>
        <w:tc>
          <w:tcPr>
            <w:tcW w:type="dxa" w:w="1425"/>
          </w:tcPr>
          <w:p>
            <w:r/>
            <w:r>
              <w:rPr>
                <w:rFonts w:eastAsia="微软雅黑"/>
                <w:rFonts w:ascii="微软雅黑" w:hAnsi="微软雅黑"/>
                <w:b/>
                <w:sz w:val="16"/>
              </w:rPr>
              <w:t>empty</w:t>
            </w:r>
          </w:p>
        </w:tc>
        <w:tc>
          <w:tcPr>
            <w:tcW w:type="dxa" w:w="1425"/>
          </w:tcPr>
          <w:p>
            <w:r/>
            <w:r>
              <w:rPr>
                <w:rFonts w:eastAsia="微软雅黑"/>
                <w:rFonts w:ascii="微软雅黑" w:hAnsi="微软雅黑"/>
                <w:b/>
                <w:sz w:val="16"/>
              </w:rPr>
              <w:t>zero</w:t>
            </w:r>
          </w:p>
        </w:tc>
        <w:tc>
          <w:tcPr>
            <w:tcW w:type="dxa" w:w="1425"/>
          </w:tcPr>
          <w:p>
            <w:r/>
            <w:r>
              <w:rPr>
                <w:rFonts w:eastAsia="微软雅黑"/>
                <w:rFonts w:ascii="微软雅黑" w:hAnsi="微软雅黑"/>
                <w:b/>
                <w:sz w:val="16"/>
              </w:rPr>
              <w:t>wu</w:t>
            </w:r>
          </w:p>
        </w:tc>
        <w:tc>
          <w:tcPr>
            <w:tcW w:type="dxa" w:w="1425"/>
          </w:tcPr>
          <w:p>
            <w:r/>
            <w:r>
              <w:rPr>
                <w:rFonts w:eastAsia="微软雅黑"/>
                <w:rFonts w:ascii="微软雅黑" w:hAnsi="微软雅黑"/>
                <w:b/>
                <w:sz w:val="16"/>
              </w:rPr>
              <w:t>bad</w:t>
            </w:r>
          </w:p>
        </w:tc>
        <w:tc>
          <w:tcPr>
            <w:tcW w:type="dxa" w:w="1425"/>
          </w:tcPr>
          <w:p>
            <w:r/>
            <w:r>
              <w:rPr>
                <w:rFonts w:eastAsia="微软雅黑"/>
                <w:rFonts w:ascii="微软雅黑" w:hAnsi="微软雅黑"/>
                <w:b/>
                <w:sz w:val="16"/>
              </w:rPr>
              <w:t>soft</w:t>
            </w:r>
          </w:p>
        </w:tc>
      </w:tr>
      <w:tr>
        <w:tc>
          <w:tcPr>
            <w:tcW w:type="dxa" w:w="1425"/>
          </w:tcPr>
          <w:p>
            <w:r/>
            <w:r>
              <w:rPr>
                <w:rFonts w:eastAsia="微软雅黑"/>
                <w:rFonts w:ascii="微软雅黑" w:hAnsi="微软雅黑"/>
                <w:b w:val="0"/>
                <w:sz w:val="16"/>
              </w:rPr>
              <w:t>缅甸</w:t>
            </w:r>
          </w:p>
        </w:tc>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24</w:t>
            </w:r>
          </w:p>
        </w:tc>
      </w:tr>
      <w:tr>
        <w:tc>
          <w:tcPr>
            <w:tcW w:type="dxa" w:w="1425"/>
          </w:tcPr>
          <w:p>
            <w:r/>
            <w:r>
              <w:rPr>
                <w:rFonts w:eastAsia="微软雅黑"/>
                <w:rFonts w:ascii="微软雅黑" w:hAnsi="微软雅黑"/>
                <w:b w:val="0"/>
                <w:sz w:val="16"/>
              </w:rPr>
              <w:t>蒙古</w:t>
            </w:r>
          </w:p>
        </w:tc>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21</w:t>
            </w:r>
          </w:p>
        </w:tc>
      </w:tr>
      <w:tr>
        <w:tc>
          <w:tcPr>
            <w:tcW w:type="dxa" w:w="1425"/>
          </w:tcPr>
          <w:p>
            <w:r/>
            <w:r>
              <w:rPr>
                <w:rFonts w:eastAsia="微软雅黑"/>
                <w:rFonts w:ascii="微软雅黑" w:hAnsi="微软雅黑"/>
                <w:b w:val="0"/>
                <w:sz w:val="16"/>
              </w:rPr>
              <w:t>柬埔寨</w:t>
            </w:r>
          </w:p>
        </w:tc>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20</w:t>
            </w:r>
          </w:p>
        </w:tc>
      </w:tr>
      <w:tr>
        <w:tc>
          <w:tcPr>
            <w:tcW w:type="dxa" w:w="1425"/>
          </w:tcPr>
          <w:p>
            <w:r/>
            <w:r>
              <w:rPr>
                <w:rFonts w:eastAsia="微软雅黑"/>
                <w:rFonts w:ascii="微软雅黑" w:hAnsi="微软雅黑"/>
                <w:b w:val="0"/>
                <w:sz w:val="16"/>
              </w:rPr>
              <w:t>菲律宾</w:t>
            </w:r>
          </w:p>
        </w:tc>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15</w:t>
            </w:r>
          </w:p>
        </w:tc>
      </w:tr>
      <w:tr>
        <w:tc>
          <w:tcPr>
            <w:tcW w:type="dxa" w:w="1425"/>
          </w:tcPr>
          <w:p>
            <w:r/>
            <w:r>
              <w:rPr>
                <w:rFonts w:eastAsia="微软雅黑"/>
                <w:rFonts w:ascii="微软雅黑" w:hAnsi="微软雅黑"/>
                <w:b w:val="0"/>
                <w:sz w:val="16"/>
              </w:rPr>
              <w:t>老挝</w:t>
            </w:r>
          </w:p>
        </w:tc>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10</w:t>
            </w:r>
          </w:p>
        </w:tc>
      </w:tr>
      <w:tr>
        <w:tc>
          <w:tcPr>
            <w:tcW w:type="dxa" w:w="1425"/>
          </w:tcPr>
          <w:p>
            <w:r/>
            <w:r>
              <w:rPr>
                <w:rFonts w:eastAsia="微软雅黑"/>
                <w:rFonts w:ascii="微软雅黑" w:hAnsi="微软雅黑"/>
                <w:b w:val="0"/>
                <w:sz w:val="16"/>
              </w:rPr>
              <w:t>不丹</w:t>
            </w:r>
          </w:p>
        </w:tc>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印尼</w:t>
            </w:r>
          </w:p>
        </w:tc>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14</w:t>
            </w:r>
          </w:p>
        </w:tc>
      </w:tr>
      <w:tr>
        <w:tc>
          <w:tcPr>
            <w:tcW w:type="dxa" w:w="1425"/>
          </w:tcPr>
          <w:p>
            <w:r/>
            <w:r>
              <w:rPr>
                <w:rFonts w:eastAsia="微软雅黑"/>
                <w:rFonts w:ascii="微软雅黑" w:hAnsi="微软雅黑"/>
                <w:b w:val="0"/>
                <w:sz w:val="16"/>
              </w:rPr>
              <w:t>黑山</w:t>
            </w:r>
          </w:p>
        </w:tc>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越南</w:t>
            </w:r>
          </w:p>
        </w:tc>
        <w:tc>
          <w:tcPr>
            <w:tcW w:type="dxa" w:w="1425"/>
          </w:tcPr>
          <w:p>
            <w:r/>
            <w:r>
              <w:rPr>
                <w:rFonts w:eastAsia="微软雅黑"/>
                <w:rFonts w:ascii="微软雅黑" w:hAnsi="微软雅黑"/>
                <w:b w:val="0"/>
                <w:sz w:val="16"/>
              </w:rPr>
              <w:t>11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11</w:t>
            </w:r>
          </w:p>
        </w:tc>
      </w:tr>
      <w:tr>
        <w:tc>
          <w:tcPr>
            <w:tcW w:type="dxa" w:w="1425"/>
          </w:tcPr>
          <w:p>
            <w:r/>
            <w:r>
              <w:rPr>
                <w:rFonts w:eastAsia="微软雅黑"/>
                <w:rFonts w:ascii="微软雅黑" w:hAnsi="微软雅黑"/>
                <w:b w:val="0"/>
                <w:sz w:val="16"/>
              </w:rPr>
              <w:t>也门</w:t>
            </w:r>
          </w:p>
        </w:tc>
        <w:tc>
          <w:tcPr>
            <w:tcW w:type="dxa" w:w="1425"/>
          </w:tcPr>
          <w:p>
            <w:r/>
            <w:r>
              <w:rPr>
                <w:rFonts w:eastAsia="微软雅黑"/>
                <w:rFonts w:ascii="微软雅黑" w:hAnsi="微软雅黑"/>
                <w:b w:val="0"/>
                <w:sz w:val="16"/>
              </w:rPr>
              <w:t>11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克罗地亚</w:t>
            </w:r>
          </w:p>
        </w:tc>
        <w:tc>
          <w:tcPr>
            <w:tcW w:type="dxa" w:w="1425"/>
          </w:tcPr>
          <w:p>
            <w:r/>
            <w:r>
              <w:rPr>
                <w:rFonts w:eastAsia="微软雅黑"/>
                <w:rFonts w:ascii="微软雅黑" w:hAnsi="微软雅黑"/>
                <w:b w:val="0"/>
                <w:sz w:val="16"/>
              </w:rPr>
              <w:t>11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北马其顿</w:t>
            </w:r>
          </w:p>
        </w:tc>
        <w:tc>
          <w:tcPr>
            <w:tcW w:type="dxa" w:w="1425"/>
          </w:tcPr>
          <w:p>
            <w:r/>
            <w:r>
              <w:rPr>
                <w:rFonts w:eastAsia="微软雅黑"/>
                <w:rFonts w:ascii="微软雅黑" w:hAnsi="微软雅黑"/>
                <w:b w:val="0"/>
                <w:sz w:val="16"/>
              </w:rPr>
              <w:t>11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泰国</w:t>
            </w:r>
          </w:p>
        </w:tc>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10</w:t>
            </w:r>
          </w:p>
        </w:tc>
      </w:tr>
      <w:tr>
        <w:tc>
          <w:tcPr>
            <w:tcW w:type="dxa" w:w="1425"/>
          </w:tcPr>
          <w:p>
            <w:r/>
            <w:r>
              <w:rPr>
                <w:rFonts w:eastAsia="微软雅黑"/>
                <w:rFonts w:ascii="微软雅黑" w:hAnsi="微软雅黑"/>
                <w:b w:val="0"/>
                <w:sz w:val="16"/>
              </w:rPr>
              <w:t>卡塔尔</w:t>
            </w:r>
          </w:p>
        </w:tc>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爱沙尼亚</w:t>
            </w:r>
          </w:p>
        </w:tc>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叙利亚</w:t>
            </w:r>
          </w:p>
        </w:tc>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阿尔巴尼亚</w:t>
            </w:r>
          </w:p>
        </w:tc>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新加坡</w:t>
            </w:r>
          </w:p>
        </w:tc>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8</w:t>
            </w:r>
          </w:p>
        </w:tc>
      </w:tr>
      <w:tr>
        <w:tc>
          <w:tcPr>
            <w:tcW w:type="dxa" w:w="1425"/>
          </w:tcPr>
          <w:p>
            <w:r/>
            <w:r>
              <w:rPr>
                <w:rFonts w:eastAsia="微软雅黑"/>
                <w:rFonts w:ascii="微软雅黑" w:hAnsi="微软雅黑"/>
                <w:b w:val="0"/>
                <w:sz w:val="16"/>
              </w:rPr>
              <w:t>文莱</w:t>
            </w:r>
          </w:p>
        </w:tc>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摩尔多瓦</w:t>
            </w:r>
          </w:p>
        </w:tc>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尼泊尔</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阿曼</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沙特阿拉伯</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波黑</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斯洛伐克</w:t>
            </w:r>
          </w:p>
        </w:tc>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马来西亚</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6</w:t>
            </w:r>
          </w:p>
        </w:tc>
      </w:tr>
      <w:tr>
        <w:tc>
          <w:tcPr>
            <w:tcW w:type="dxa" w:w="1425"/>
          </w:tcPr>
          <w:p>
            <w:r/>
            <w:r>
              <w:rPr>
                <w:rFonts w:eastAsia="微软雅黑"/>
                <w:rFonts w:ascii="微软雅黑" w:hAnsi="微软雅黑"/>
                <w:b w:val="0"/>
                <w:sz w:val="16"/>
              </w:rPr>
              <w:t>东帝汶</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孟加拉国</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马尔代夫</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巴林</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科威特</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黎巴嫩</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阿塞拜疆</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立陶宛</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波兰</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保加利亚</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乌克兰</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阿富汗</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格鲁吉亚</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塞尔维亚</w:t>
            </w:r>
          </w:p>
        </w:tc>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印度</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1</w:t>
            </w:r>
          </w:p>
        </w:tc>
      </w:tr>
      <w:tr>
        <w:tc>
          <w:tcPr>
            <w:tcW w:type="dxa" w:w="1425"/>
          </w:tcPr>
          <w:p>
            <w:r/>
            <w:r>
              <w:rPr>
                <w:rFonts w:eastAsia="微软雅黑"/>
                <w:rFonts w:ascii="微软雅黑" w:hAnsi="微软雅黑"/>
                <w:b w:val="0"/>
                <w:sz w:val="16"/>
              </w:rPr>
              <w:t>巴基斯坦</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伊朗</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土耳其</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约旦</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以色列</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拉脱维亚</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匈牙利</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罗马尼亚</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白俄罗斯</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俄罗斯</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阿联酋</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伊拉克</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亚美尼亚</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捷克</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斯洛文尼亚</w:t>
            </w:r>
          </w:p>
        </w:tc>
        <w:tc>
          <w:tcPr>
            <w:tcW w:type="dxa" w:w="1425"/>
          </w:tcPr>
          <w:p>
            <w:r/>
            <w:r>
              <w:rPr>
                <w:rFonts w:eastAsia="微软雅黑"/>
                <w:rFonts w:ascii="微软雅黑" w:hAnsi="微软雅黑"/>
                <w:b w:val="0"/>
                <w:sz w:val="16"/>
              </w:rPr>
              <w:t>3</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斯里兰卡</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土库曼斯坦</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乌兹别克斯坦</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塔吉克斯坦</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2</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哈萨克斯坦</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埃及</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r>
        <w:tc>
          <w:tcPr>
            <w:tcW w:type="dxa" w:w="1425"/>
          </w:tcPr>
          <w:p>
            <w:r/>
            <w:r>
              <w:rPr>
                <w:rFonts w:eastAsia="微软雅黑"/>
                <w:rFonts w:ascii="微软雅黑" w:hAnsi="微软雅黑"/>
                <w:b w:val="0"/>
                <w:sz w:val="16"/>
              </w:rPr>
              <w:t>德国</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0</w:t>
            </w:r>
          </w:p>
        </w:tc>
        <w:tc>
          <w:tcPr>
            <w:tcW w:type="dxa" w:w="1425"/>
          </w:tcPr>
          <w:p>
            <w:r/>
            <w:r>
              <w:rPr>
                <w:rFonts w:eastAsia="微软雅黑"/>
                <w:rFonts w:ascii="微软雅黑" w:hAnsi="微软雅黑"/>
                <w:b w:val="0"/>
                <w:sz w:val="16"/>
              </w:rPr>
              <w:t>1</w:t>
            </w:r>
          </w:p>
        </w:tc>
        <w:tc>
          <w:tcPr>
            <w:tcW w:type="dxa" w:w="1425"/>
          </w:tcPr>
          <w:p>
            <w:r/>
            <w:r>
              <w:rPr>
                <w:rFonts w:eastAsia="微软雅黑"/>
                <w:rFonts w:ascii="微软雅黑" w:hAnsi="微软雅黑"/>
                <w:b w:val="0"/>
                <w:sz w:val="16"/>
              </w:rPr>
              <w:t>0</w:t>
            </w:r>
          </w:p>
        </w:tc>
      </w:tr>
    </w:tbl>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详细清单（按批次→国家→指标ID 排序）</w:t>
      </w:r>
    </w:p>
    <w:p/>
    <w:p>
      <w:pPr>
        <w:spacing w:before="160" w:after="80" w:lineRule="auto" w:line="276"/>
        <w:jc w:val="left"/>
      </w:pPr>
      <w:r>
        <w:rPr>
          <w:rFonts w:eastAsia="微软雅黑"/>
          <w:rFonts w:ascii="微软雅黑" w:hAnsi="微软雅黑"/>
          <w:b/>
          <w:sz w:val="26"/>
        </w:rPr>
        <w:t>批次 1</w:t>
      </w:r>
    </w:p>
    <w:p/>
    <w:p>
      <w:pPr>
        <w:spacing w:before="80" w:after="40" w:lineRule="auto" w:line="276"/>
        <w:jc w:val="left"/>
      </w:pPr>
      <w:r>
        <w:rPr>
          <w:rFonts w:eastAsia="微软雅黑"/>
          <w:rFonts w:ascii="微软雅黑" w:hAnsi="微软雅黑"/>
          <w:b/>
          <w:sz w:val="22"/>
        </w:rPr>
        <w:t>新加坡（批次 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【精修-广义】少量（扩展：政府直接或间接支持的中文教育相关支出占政府总预算的比例） 推导：扩展口径下，新加坡政府通过教育…</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中文教育领域论文数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推导：所有代理方案均无可用定量证据，无法进行数值推导</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【精修-广义】少量（扩展：扩展至国际期刊、开放获取期刊、多种编委职务及近年新增期刊） 推导：无精确数据，基于新加坡学者国…</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学科交叉研究论文发表量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【代理推导】有限（代理：新加坡高校中文系与其他院系合作论文发表量） 推导：代理值：无直接数据，基于Scopus/Web …</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29</w:t>
            </w:r>
          </w:p>
        </w:tc>
        <w:tc>
          <w:tcPr>
            <w:tcW w:type="dxa" w:w="1425"/>
          </w:tcPr>
          <w:p>
            <w:r/>
            <w:r>
              <w:rPr>
                <w:rFonts w:eastAsia="微软雅黑"/>
                <w:rFonts w:ascii="微软雅黑" w:hAnsi="微软雅黑"/>
                <w:b w:val="0"/>
                <w:sz w:val="16"/>
              </w:rPr>
              <w:t>数字资源多终端适配率</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【代理推导】有限（代理：无可用代理） 推导：所有代理均无直接数据，无法进行数值推导</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38</w:t>
            </w:r>
          </w:p>
        </w:tc>
        <w:tc>
          <w:tcPr>
            <w:tcW w:type="dxa" w:w="1425"/>
          </w:tcPr>
          <w:p>
            <w:r/>
            <w:r>
              <w:rPr>
                <w:rFonts w:eastAsia="微软雅黑"/>
                <w:rFonts w:ascii="微软雅黑" w:hAnsi="微软雅黑"/>
                <w:b w:val="0"/>
                <w:sz w:val="16"/>
              </w:rPr>
              <w:t>本土教师学历水平</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【精修-广义】少量（扩展：新加坡中小学及高等教育机构中以华语为主要教学语言的本地教师学历构成） 推导：扩展口径下搜索官方…</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57</w:t>
            </w:r>
          </w:p>
        </w:tc>
        <w:tc>
          <w:tcPr>
            <w:tcW w:type="dxa" w:w="1425"/>
          </w:tcPr>
          <w:p>
            <w:r/>
            <w:r>
              <w:rPr>
                <w:rFonts w:eastAsia="微软雅黑"/>
                <w:rFonts w:ascii="微软雅黑" w:hAnsi="微软雅黑"/>
                <w:b w:val="0"/>
                <w:sz w:val="16"/>
              </w:rPr>
              <w:t>学生/教师国际交换数量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推导：所有代理方案均未找到可直接用于推算的定量数据：1) 新加坡孔子学院年度学员数…</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推导：所有代理方案均无直接可用数据：代理1（IMDA备案数）无具体统计；代理2（文…</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柬埔寨（批次 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【精修-广义】少量（扩展：柬埔寨政府所有涉及中文教育的支出，包括孔子学院支持、中文课程开发、教师培训、教材补贴、中柬合作…</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【精修-广义】少量（扩展：扩展为2010年至今现行有效的法律、行政法规、部门规章、教育政策文件、双边教育合作协议、国家教…</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中文教育领域论文数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【精修-广义】若干（扩展：扩展为涵盖期刊、学位、会议论文、研究报告、政策文件、工作论文及预印本，多语言发表，主题包括中文…</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【代理推导】有限（代理：柬埔寨学者在中文教育核心期刊发文量） 推导：代理值：无直接定量数据，但基于证据推断发文量极低（可…</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【精修-广义】若干（扩展：扩展为柬埔寨境内或境外举办的，涉及中文教育、汉语教学、华文教育、语言政策、跨文化交际、TCFL…</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16</w:t>
            </w:r>
          </w:p>
        </w:tc>
        <w:tc>
          <w:tcPr>
            <w:tcW w:type="dxa" w:w="1425"/>
          </w:tcPr>
          <w:p>
            <w:r/>
            <w:r>
              <w:rPr>
                <w:rFonts w:eastAsia="微软雅黑"/>
                <w:rFonts w:ascii="微软雅黑" w:hAnsi="微软雅黑"/>
                <w:b w:val="0"/>
                <w:sz w:val="16"/>
              </w:rPr>
              <w:t>国际合作研究项目数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推导：所有代理均无可用数值证据 → 无法进行量化推导 → 定性判断为'有限'</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【精修-广义】少量（扩展：扩展至柬埔寨学者在中文核心期刊、国际中文教育期刊、相关领域SSCI/Scopus期刊担任编委、…</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【精修-广义】若干（扩展：扩展至柬埔寨学者参与中文教育标准、技术标准、术语规范、教材编写、认证体系等国际标准建设，涵盖联…</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学科交叉研究论文发表量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【精修-广义】若干（扩展：扩展为柬埔寨机构/学者参与的跨学科研究产出，包括中柬合作、多学科团队、交叉领域论文、会议论文、…</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24</w:t>
            </w:r>
          </w:p>
        </w:tc>
        <w:tc>
          <w:tcPr>
            <w:tcW w:type="dxa" w:w="1425"/>
          </w:tcPr>
          <w:p>
            <w:r/>
            <w:r>
              <w:rPr>
                <w:rFonts w:eastAsia="微软雅黑"/>
                <w:rFonts w:ascii="微软雅黑" w:hAnsi="微软雅黑"/>
                <w:b w:val="0"/>
                <w:sz w:val="16"/>
              </w:rPr>
              <w:t>本土化教学法创新案例数量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【精修-广义】若干（扩展：扩展为2015年至今柬埔寨本土教师开发的课堂活动、校本教材、数字资源、社区实践项目等创新形式）…</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【精修-广义】若干（扩展：扩展至通用平台本土化、社交媒体频道、移动应用、教育机构官网及本地在线平台的中文学习资源。） 推…</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推导：所有代理方案均缺乏关键数据：代理1无覆盖率数据，代理2无教材数字化比例数据，…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29</w:t>
            </w:r>
          </w:p>
        </w:tc>
        <w:tc>
          <w:tcPr>
            <w:tcW w:type="dxa" w:w="1425"/>
          </w:tcPr>
          <w:p>
            <w:r/>
            <w:r>
              <w:rPr>
                <w:rFonts w:eastAsia="微软雅黑"/>
                <w:rFonts w:ascii="微软雅黑" w:hAnsi="微软雅黑"/>
                <w:b w:val="0"/>
                <w:sz w:val="16"/>
              </w:rPr>
              <w:t>数字资源多终端适配率</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【代理推导】有限（代理：无可用代理） 推导：所有代理均无直接数值证据，无法进行量化推导。</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33</w:t>
            </w:r>
          </w:p>
        </w:tc>
        <w:tc>
          <w:tcPr>
            <w:tcW w:type="dxa" w:w="1425"/>
          </w:tcPr>
          <w:p>
            <w:r/>
            <w:r>
              <w:rPr>
                <w:rFonts w:eastAsia="微软雅黑"/>
                <w:rFonts w:ascii="微软雅黑" w:hAnsi="微软雅黑"/>
                <w:b w:val="0"/>
                <w:sz w:val="16"/>
              </w:rPr>
              <w:t>高端人才（商务/科技领域）学习者数量</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推导：所有代理方案均无直接或可推导的数值证据 → 无法进行量化映射 → 目标值无法…</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【精修-广义】少量（扩展：扩展至柬埔寨高校开设的所有中文教育相关博士/硕士项目形式，包括传统学位点、联合培养、在线项目、…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【精修-广义】少量（扩展：扩展为CIEF所有形式会员，包括孔子学院、孔子课堂、合作院校、企业理事单位及参与项目机构） 推…</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54</w:t>
            </w:r>
          </w:p>
        </w:tc>
        <w:tc>
          <w:tcPr>
            <w:tcW w:type="dxa" w:w="1425"/>
          </w:tcPr>
          <w:p>
            <w:r/>
            <w:r>
              <w:rPr>
                <w:rFonts w:eastAsia="微软雅黑"/>
                <w:rFonts w:ascii="微软雅黑" w:hAnsi="微软雅黑"/>
                <w:b w:val="0"/>
                <w:sz w:val="16"/>
              </w:rPr>
              <w:t>对所在国年文化产品出口总额</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【精修-广义】少量（扩展：2024年柬埔寨文化产品总进口额，包括数字内容、影视、音乐、出版、艺术品、设计服务等所有贸易伙…</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【精修-广义】若干（扩展：扩展至社交媒体、培训项目、文化交流活动、志愿者项目等非正式中文使用渠道） 推导：基于柬埔寨存在…</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推导：所有代理均无直接可用数据：1) 孔子学院注册人数无具体数值；2) 主流媒体平…</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65</w:t>
            </w:r>
          </w:p>
        </w:tc>
        <w:tc>
          <w:tcPr>
            <w:tcW w:type="dxa" w:w="1425"/>
          </w:tcPr>
          <w:p>
            <w:r/>
            <w:r>
              <w:rPr>
                <w:rFonts w:eastAsia="微软雅黑"/>
                <w:rFonts w:ascii="微软雅黑" w:hAnsi="微软雅黑"/>
                <w:b w:val="0"/>
                <w:sz w:val="16"/>
              </w:rPr>
              <w:t>企业定制化中文培训项目数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推导：所有代理方案均无可用数值证据，无法进行量化推导</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菲律宾（批次 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【精修-广义】若干（扩展：扩展至法律限制、课程削减、签证收紧、媒体负面报道、民间抵制、合作项目受阻、资金削减、师资流动障…</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【代理推导】有限（代理：菲律宾学者在中文教育核心期刊发文量） 推导：代理值：0-5篇/年（估计） → 映射规则：发文量与…</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16</w:t>
            </w:r>
          </w:p>
        </w:tc>
        <w:tc>
          <w:tcPr>
            <w:tcW w:type="dxa" w:w="1425"/>
          </w:tcPr>
          <w:p>
            <w:r/>
            <w:r>
              <w:rPr>
                <w:rFonts w:eastAsia="微软雅黑"/>
                <w:rFonts w:ascii="微软雅黑" w:hAnsi="微软雅黑"/>
                <w:b w:val="0"/>
                <w:sz w:val="16"/>
              </w:rPr>
              <w:t>国际合作研究项目数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推导：所有代理方案均无直接或可量化证据支持，无法进行数值推导。</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【精修-广义】少量（扩展：包括菲律宾学者在中文核心期刊、国际中文教育期刊、语言学/教育类SSCI/Scopus期刊担任编…</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【精修-广义】少量（扩展：扩展为菲律宾学者参与中文教育、教材、评估、教学法及国际组织标准建设） 推导：证据搜索无精确数据…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22</w:t>
            </w:r>
          </w:p>
        </w:tc>
        <w:tc>
          <w:tcPr>
            <w:tcW w:type="dxa" w:w="1425"/>
          </w:tcPr>
          <w:p>
            <w:r/>
            <w:r>
              <w:rPr>
                <w:rFonts w:eastAsia="微软雅黑"/>
                <w:rFonts w:ascii="微软雅黑" w:hAnsi="微软雅黑"/>
                <w:b w:val="0"/>
                <w:sz w:val="16"/>
              </w:rPr>
              <w:t>本土化教材开发数量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【精修-广义】若干（扩展：扩展至包括数字课程、校本讲义、改编教材、非营利开发及2020年后材料） 推导：证据源均无精确数…</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24</w:t>
            </w:r>
          </w:p>
        </w:tc>
        <w:tc>
          <w:tcPr>
            <w:tcW w:type="dxa" w:w="1425"/>
          </w:tcPr>
          <w:p>
            <w:r/>
            <w:r>
              <w:rPr>
                <w:rFonts w:eastAsia="微软雅黑"/>
                <w:rFonts w:ascii="微软雅黑" w:hAnsi="微软雅黑"/>
                <w:b w:val="0"/>
                <w:sz w:val="16"/>
              </w:rPr>
              <w:t>本土化教学法创新案例数量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【精修-广义】少量（扩展：扩展为包括本土自主开发、中外合作设计、教师实践反思、课程整合案例及数字化/社区项目形式，涵盖已…</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【精修-广义】若干（扩展：扩展为菲律宾本土开发的各类数字教育材料，包括电子原生教材、数字化纸质教材、开放教育资源、互动学…</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【精修-广义】少量（扩展：菲律宾非首都大区所有中文教学形式覆盖率，包括各类机构、课程及项目） 推导：扩展口径后证据不足，…</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54</w:t>
            </w:r>
          </w:p>
        </w:tc>
        <w:tc>
          <w:tcPr>
            <w:tcW w:type="dxa" w:w="1425"/>
          </w:tcPr>
          <w:p>
            <w:r/>
            <w:r>
              <w:rPr>
                <w:rFonts w:eastAsia="微软雅黑"/>
                <w:rFonts w:ascii="微软雅黑" w:hAnsi="微软雅黑"/>
                <w:b w:val="0"/>
                <w:sz w:val="16"/>
              </w:rPr>
              <w:t>对所在国年文化产品出口总额</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【精修-广义】少量（扩展：扩展为包含数字内容、创意服务、版权贸易及实物文化产品的广义文化贸易） 推导：基于扩展口径搜索联…</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【精修-广义】若干（扩展：扩展至社交媒体、网站内容、培训项目、活动报道等非正式中文使用场景） 推导：基于菲律宾与中国的教…</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【代理推导】有限（代理：菲律宾孔子学院/课堂年度文化活动数） 推导：代理值：至少2个主要年度文化活动（如春节、中秋庆典）…</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【代理推导】有限（代理：菲律宾孔子学院/课堂职业技能培训项目占比） 推导：代理值：无具体数值（证据表明菲律宾有4所孔子学…</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66</w:t>
            </w:r>
          </w:p>
        </w:tc>
        <w:tc>
          <w:tcPr>
            <w:tcW w:type="dxa" w:w="1425"/>
          </w:tcPr>
          <w:p>
            <w:r/>
            <w:r>
              <w:rPr>
                <w:rFonts w:eastAsia="微软雅黑"/>
                <w:rFonts w:ascii="微软雅黑" w:hAnsi="微软雅黑"/>
                <w:b w:val="0"/>
                <w:sz w:val="16"/>
              </w:rPr>
              <w:t>主流媒体中文内容发布数（主流媒体中文教育类内容发布数量）</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【精修-广义】少量（扩展：2020-2025年菲律宾主流媒体（电视台、新闻网站、社交媒体）中文内容发布情况，含新闻、教育…</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【精修-广义】少量（扩展：扩展至2020-2025年菲律宾主流媒体及社交媒体平台中涉及中文教育或中华文化主题的双语内容）…</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蒙古（批次 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推导：所有代理方案均未提供可量化的具体数值。代理1（孔子学院项目数量）仅提供典型范…</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【精修-广义】若干（扩展：扩展至国家及地方中文教育政策文件、中蒙合作协议、课程大纲、教师培训政策及教育部等机构指导性文件…</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【精修-广义】少量（扩展：政府直接或间接资助的所有中文教育相关支出占政府教育总预算的比例。） 推导：基于扩展口径，综合评…</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【精修-广义】若干（扩展：扩展至法律、法规、政令、国家政策文件、教育标准、课程大纲、双边/多边合作协议、部门规章等正式文…</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中文教育领域论文数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【精修-广义】少量（扩展：扩展为蒙古国涉及中文语言、教育、文化、政策、经济等领域的学术产出，包括期刊论文、学位论文、会议…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【代理推导】有限（代理：蒙古学者在中文教育核心期刊发文量） 推导：代理值：无具体发文量数据 → 映射规则：无数据无法计算…</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【精修-广义】少量（扩展：蒙古学者在全球汉语教育、语言学、跨文化研究相关期刊（含SSCI、Scopus、开放获取期刊）担…</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【精修-广义】少量（扩展：蒙古学者参与中文相关国际标准、规范、指南、白皮书、技术框架的制定或评审，涵盖语言能力、教学、课…</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学科交叉研究论文发表量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【精修-广义】少量（扩展：扩展为蒙古学者参与、涉及中文与其他学科交叉的研究成果，包括合作论文、多学科项目、会议报告、专著…</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【精修-广义】若干（扩展：扩展为通用平台本土化课程、蒙古机构运营的社交媒体账号及本地移动应用。） 推导：证据显示蒙古无专…</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【精修-广义】少量（扩展：包括通用中文APP、多语言版本、教育平台模块、本土开发工具及近年发布软件） 推导：基于学术文献…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【代理推导】有限（代理：蒙古国中小学数字化教学资源覆盖率） 推导：代理值：无直接覆盖率数据 → 映射规则：数字化基础设施…</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33</w:t>
            </w:r>
          </w:p>
        </w:tc>
        <w:tc>
          <w:tcPr>
            <w:tcW w:type="dxa" w:w="1425"/>
          </w:tcPr>
          <w:p>
            <w:r/>
            <w:r>
              <w:rPr>
                <w:rFonts w:eastAsia="微软雅黑"/>
                <w:rFonts w:ascii="微软雅黑" w:hAnsi="微软雅黑"/>
                <w:b w:val="0"/>
                <w:sz w:val="16"/>
              </w:rPr>
              <w:t>高端人才（商务/科技领域）学习者数量</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推导：所有代理方案均无直接可用数据：1) 中资项目雇员报告未提供技术/商务岗位具体…</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【精修-广义】少量（扩展：包含蒙古高校独立设立、中蒙联合培养、在线远程课程及短期研究项目的中文教育硕博点） 推导：证据显…</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38</w:t>
            </w:r>
          </w:p>
        </w:tc>
        <w:tc>
          <w:tcPr>
            <w:tcW w:type="dxa" w:w="1425"/>
          </w:tcPr>
          <w:p>
            <w:r/>
            <w:r>
              <w:rPr>
                <w:rFonts w:eastAsia="微软雅黑"/>
                <w:rFonts w:ascii="微软雅黑" w:hAnsi="微软雅黑"/>
                <w:b w:val="0"/>
                <w:sz w:val="16"/>
              </w:rPr>
              <w:t>本土教师学历水平</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推导：所有代理方案均未找到可直接量化蒙古本土教师学历水平的数值证据。代理1（高等教…</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【精修-广义】少量（扩展：蒙古偏远省份（距首都&gt;200公里）内所有提供中文课程的正规机构，包括大学、中小学、培训中心等，…</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【精修-广义】若干（扩展：包括正式备案项目、非备案短期培训、企业中文培训、孔子学院课程及中文+专业合作） 推导：证据显示…</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【精修-广义】少量（扩展：扩展至国际组织、双边合作、教育文化、社交媒体、商业旅游等非正式与正式中文使用场景） 推导：证据…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推导：所有代理均无可用数值证据：1) 孔子学院注册增长率无具体数据；2) 中文内容…</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【精修-广义】少量（扩展：2020-2025年蒙古境内所有中文教育机构中语言与职业技能结合的课程/项目，按课程门数或学时…</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67</w:t>
            </w:r>
          </w:p>
        </w:tc>
        <w:tc>
          <w:tcPr>
            <w:tcW w:type="dxa" w:w="1425"/>
          </w:tcPr>
          <w:p>
            <w:r/>
            <w:r>
              <w:rPr>
                <w:rFonts w:eastAsia="微软雅黑"/>
                <w:rFonts w:ascii="微软雅黑" w:hAnsi="微软雅黑"/>
                <w:b w:val="0"/>
                <w:sz w:val="16"/>
              </w:rPr>
              <w:t>社交媒体平台中文账号关注量</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【精修-广义】少量（扩展：蒙古境内可访问的社交媒体上，以中文或中蒙双语发布内容、面向蒙古用户的账号（含跨国机构、个人、企…</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越南（批次 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【精修-广义】少量（扩展：越南政府及公立机构对中文教育的年度总投入占比，涵盖孔子学院、高校中文系、中小学课程、教师培训、…</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【精修-广义】若干（扩展：扩展为包含越南中文教育相关的法律、法规、政令、国家政策、部门规章、教育规划文件、双语教育政策、…</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【代理推导】有限（代理：越南中文教育相关期刊论文数） 推导：代理值：证据池中仅找到少量越南中文教育相关的期刊论文（如《华…</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【代理推导】有限（代理：无可用代理） 推导：所有代理均无直接量化证据 → 无法计算拟合值 → 定性评估为有限</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【精修-广义】少量（扩展：越南学者担任中文核心期刊、国际中文教育期刊、地区性语言期刊的编委、副编委、顾问委员、编辑顾问等…</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【精修-广义】少量（扩展：越南学者参与ISO/IEC中文信息技术标准、UNESCO多语言教育标准及国际学术组织中文研究规…</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23</w:t>
            </w:r>
          </w:p>
        </w:tc>
        <w:tc>
          <w:tcPr>
            <w:tcW w:type="dxa" w:w="1425"/>
          </w:tcPr>
          <w:p>
            <w:r/>
            <w:r>
              <w:rPr>
                <w:rFonts w:eastAsia="微软雅黑"/>
                <w:rFonts w:ascii="微软雅黑" w:hAnsi="微软雅黑"/>
                <w:b w:val="0"/>
                <w:sz w:val="16"/>
              </w:rPr>
              <w:t>多语种教材数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推导：所有代理方案均无可用定量数据：1) 越南孔子学院教材采购量及双语比例数据缺失…</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【精修-广义】若干（扩展：扩展至包括本土APP、国际APP本地化版本、多国版APP、网页平台及教育机构定制软件） 推导：…</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29</w:t>
            </w:r>
          </w:p>
        </w:tc>
        <w:tc>
          <w:tcPr>
            <w:tcW w:type="dxa" w:w="1425"/>
          </w:tcPr>
          <w:p>
            <w:r/>
            <w:r>
              <w:rPr>
                <w:rFonts w:eastAsia="微软雅黑"/>
                <w:rFonts w:ascii="微软雅黑" w:hAnsi="微软雅黑"/>
                <w:b w:val="0"/>
                <w:sz w:val="16"/>
              </w:rPr>
              <w:t>数字资源多终端适配率</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【代理推导】有限（代理：越南孔子学院/课堂数字资源平台适配率） 推导：代理值：无直接适配率数据 → 映射规则：基于孔子学…</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【精修-广义】少量（扩展：扩展为CIEF所有形式会员（含孔子学院、课堂、合作院校、企业、个人及区域联盟），涵盖2020-…</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【代理推导】有限（代理：无可用代理） 推导：所有代理均无可用数值证据 → 无法进行量化推导 → 定性评估为'有限'</w:t>
            </w:r>
          </w:p>
        </w:tc>
        <w:tc>
          <w:tcPr>
            <w:tcW w:type="dxa" w:w="1425"/>
          </w:tcPr>
          <w:p>
            <w:r/>
            <w:r>
              <w:rPr>
                <w:rFonts w:eastAsia="微软雅黑"/>
                <w:rFonts w:ascii="微软雅黑" w:hAnsi="微软雅黑"/>
                <w:b w:val="0"/>
                <w:sz w:val="16"/>
              </w:rPr>
              <w:t>soft</w:t>
            </w:r>
          </w:p>
        </w:tc>
      </w:tr>
    </w:tbl>
    <w:p/>
    <w:p>
      <w:pPr>
        <w:spacing w:before="160" w:after="80" w:lineRule="auto" w:line="276"/>
        <w:jc w:val="left"/>
      </w:pPr>
      <w:r>
        <w:rPr>
          <w:rFonts w:eastAsia="微软雅黑"/>
          <w:rFonts w:ascii="微软雅黑" w:hAnsi="微软雅黑"/>
          <w:b/>
          <w:sz w:val="26"/>
        </w:rPr>
        <w:t>批次 2</w:t>
      </w:r>
    </w:p>
    <w:p/>
    <w:p>
      <w:pPr>
        <w:spacing w:before="80" w:after="40" w:lineRule="auto" w:line="276"/>
        <w:jc w:val="left"/>
      </w:pPr>
      <w:r>
        <w:rPr>
          <w:rFonts w:eastAsia="微软雅黑"/>
          <w:rFonts w:ascii="微软雅黑" w:hAnsi="微软雅黑"/>
          <w:b/>
          <w:sz w:val="22"/>
        </w:rPr>
        <w:t>印尼（批次 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【代理】若干（代理：Tavily-zh, Tavily-en, Academic） 推导：根据提供的证据，Tavily和…</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推导：根据提供的Perplexity证据，明确识别出4部具体专著（如张萌20…</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中文教育领域论文数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【代理】若干（代理：Crossref） 推导：根据提供的证据，Crossref返回了3条相关记录，其中1条（2024年）…</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【代理推导】少量（代理：Perplexity） 推导：根据提供的Perplexity搜索结果，2020年至今，未发现印度…</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22</w:t>
            </w:r>
          </w:p>
        </w:tc>
        <w:tc>
          <w:tcPr>
            <w:tcW w:type="dxa" w:w="1425"/>
          </w:tcPr>
          <w:p>
            <w:r/>
            <w:r>
              <w:rPr>
                <w:rFonts w:eastAsia="微软雅黑"/>
                <w:rFonts w:ascii="微软雅黑" w:hAnsi="微软雅黑"/>
                <w:b w:val="0"/>
                <w:sz w:val="16"/>
              </w:rPr>
              <w:t>本土化教材开发数量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【代理】若干（代理：学术数据库（Crossref）） 推导：通过Crossref等学术数据库检索，发现多篇关于印尼本土化…</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23</w:t>
            </w:r>
          </w:p>
        </w:tc>
        <w:tc>
          <w:tcPr>
            <w:tcW w:type="dxa" w:w="1425"/>
          </w:tcPr>
          <w:p>
            <w:r/>
            <w:r>
              <w:rPr>
                <w:rFonts w:eastAsia="微软雅黑"/>
                <w:rFonts w:ascii="微软雅黑" w:hAnsi="微软雅黑"/>
                <w:b w:val="0"/>
                <w:sz w:val="16"/>
              </w:rPr>
              <w:t>多语种教材数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【代理推导】若干（代理：无直接数据，基于扩展口径分析） 推导：根据扩展口径，印尼多语种教材包括中国出口、本地出版、数字平…</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24</w:t>
            </w:r>
          </w:p>
        </w:tc>
        <w:tc>
          <w:tcPr>
            <w:tcW w:type="dxa" w:w="1425"/>
          </w:tcPr>
          <w:p>
            <w:r/>
            <w:r>
              <w:rPr>
                <w:rFonts w:eastAsia="微软雅黑"/>
                <w:rFonts w:ascii="微软雅黑" w:hAnsi="微软雅黑"/>
                <w:b w:val="0"/>
                <w:sz w:val="16"/>
              </w:rPr>
              <w:t>本土化教学法创新案例数量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【代理推导】若干（代理：学术论文、教育机构报告、公开资料） 推导：基于扩展口径，通过学术数据库（OpenAlex、Sem…</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【代理推导】若干（代理：Tavily-en, Tavily-zh, OPENALEX, CROSSREF） 推导：根据提…</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【代理】若干（代理：学术数据库（Crossref）） 推导：根据扩展口径，通过Crossref等学术数据库检索，未找到直…</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【代理】若干（代理：Tavily-zh, Tavily-en, Academic） 推导：根据扩展口径，通过Tavily…</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48</w:t>
            </w:r>
          </w:p>
        </w:tc>
        <w:tc>
          <w:tcPr>
            <w:tcW w:type="dxa" w:w="1425"/>
          </w:tcPr>
          <w:p>
            <w:r/>
            <w:r>
              <w:rPr>
                <w:rFonts w:eastAsia="微软雅黑"/>
                <w:rFonts w:ascii="微软雅黑" w:hAnsi="微软雅黑"/>
                <w:b w:val="0"/>
                <w:sz w:val="16"/>
              </w:rPr>
              <w:t>中文教育/教师协会单位数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【代理】若干（代理：Tavily-zh, Tavily-en, Academic (Crossref, Semantic…</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53</w:t>
            </w:r>
          </w:p>
        </w:tc>
        <w:tc>
          <w:tcPr>
            <w:tcW w:type="dxa" w:w="1425"/>
          </w:tcPr>
          <w:p>
            <w:r/>
            <w:r>
              <w:rPr>
                <w:rFonts w:eastAsia="微软雅黑"/>
                <w:rFonts w:ascii="微软雅黑" w:hAnsi="微软雅黑"/>
                <w:b w:val="0"/>
                <w:sz w:val="16"/>
              </w:rPr>
              <w:t>所在国中资企业数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【代理】若干（代理：Tavily-zh, Tavily-en, Academic sources） 推导：搜索了多个学术…</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【代理推导】少量（代理：ASEAN中文培训项目参与人数（10^2-10^3人/年）作为间接代理指标） 推导：基于证据分析…</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61</w:t>
            </w:r>
          </w:p>
        </w:tc>
        <w:tc>
          <w:tcPr>
            <w:tcW w:type="dxa" w:w="1425"/>
          </w:tcPr>
          <w:p>
            <w:r/>
            <w:r>
              <w:rPr>
                <w:rFonts w:eastAsia="微软雅黑"/>
                <w:rFonts w:ascii="微软雅黑" w:hAnsi="微软雅黑"/>
                <w:b w:val="0"/>
                <w:sz w:val="16"/>
              </w:rPr>
              <w:t>本土化文化融合案例数量（中华文化在地融合累计活动数量）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【代理】若干（代理：活动案例列举） 推导：根据提供的证据，在2020-2024年间，明确提及的符合“中华文化在地融合”定…</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泰国（批次 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Academic (OpenAlex, Crossref)） 推导：根据提供…</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社会资本投入项目数量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Tavily-zh, Tavily-en, Academic (OpenAl…</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Academic (OpenAlex, Crossref)） 推导：根据提供…</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【代理推导】少量（代理：Perplexity, OpenAlex, Crossref） 推导：根据提供的证据，Perpl…</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学科交叉研究论文发表量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【代理】若干（代理：Crossref） 推导：根据提供的证据，通过Crossref数据库检索到3篇符合扩展口径的论文（如…</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24</w:t>
            </w:r>
          </w:p>
        </w:tc>
        <w:tc>
          <w:tcPr>
            <w:tcW w:type="dxa" w:w="1425"/>
          </w:tcPr>
          <w:p>
            <w:r/>
            <w:r>
              <w:rPr>
                <w:rFonts w:eastAsia="微软雅黑"/>
                <w:rFonts w:ascii="微软雅黑" w:hAnsi="微软雅黑"/>
                <w:b w:val="0"/>
                <w:sz w:val="16"/>
              </w:rPr>
              <w:t>本土化教学法创新案例数量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【代理】若干（代理：学术数据库（Crossref、Semantic Scholar）、研究论文、会议论文集） 推导：基于…</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推导：根据Perplexity搜索结果，未发现2023-2024年专门为泰国…</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【代理】若干（代理：无直接代理） 推导：搜索未找到泰国本土数字化教材的具体数量统计。证据显示泰国互联网普及率高（2024…</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推导：根据证据，2023-2024年度存在多个中泰教育合作论坛、联盟及具体项…</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57</w:t>
            </w:r>
          </w:p>
        </w:tc>
        <w:tc>
          <w:tcPr>
            <w:tcW w:type="dxa" w:w="1425"/>
          </w:tcPr>
          <w:p>
            <w:r/>
            <w:r>
              <w:rPr>
                <w:rFonts w:eastAsia="微软雅黑"/>
                <w:rFonts w:ascii="微软雅黑" w:hAnsi="微软雅黑"/>
                <w:b w:val="0"/>
                <w:sz w:val="16"/>
              </w:rPr>
              <w:t>学生/教师国际交换数量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【代理推导】若干（代理：无直接代理） 推导：搜索结果显示，2023年中国与东盟国家（含泰国）学生双向流动总数超过17.5…</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缅甸（批次 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【代理推导】少量（代理：Perplexity, Tavily, Academic (OpenAlex, Crossref…</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社会资本投入项目数量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【代理】若干（代理：学术数据库（OpenAlex, Crossref）） 推导：根据扩展口径，在提供的证据中未找到201…</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【代理】少量（代理：学术期刊文章数量） 推导：根据提供的证据，在2010-2024年间，未发现直接针对缅甸中文教育的学术…</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【代理推导】少量（代理：缅甸学者在中文教育类期刊的发表记录、缅甸高校国际合作项目产出、学术网络被引数据、华文教育机构学术…</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r>
          </w:p>
        </w:tc>
        <w:tc>
          <w:tcPr>
            <w:tcW w:type="dxa" w:w="1425"/>
          </w:tcPr>
          <w:p>
            <w:r/>
            <w:r>
              <w:rPr>
                <w:rFonts w:eastAsia="微软雅黑"/>
                <w:rFonts w:ascii="微软雅黑" w:hAnsi="微软雅黑"/>
                <w:b w:val="0"/>
                <w:sz w:val="16"/>
              </w:rPr>
              <w:t>empty</w:t>
            </w:r>
          </w:p>
        </w:tc>
      </w:tr>
      <w:tr>
        <w:tc>
          <w:tcPr>
            <w:tcW w:type="dxa" w:w="1425"/>
          </w:tcPr>
          <w:p>
            <w:r/>
            <w:r>
              <w:rPr>
                <w:rFonts w:eastAsia="微软雅黑"/>
                <w:rFonts w:ascii="微软雅黑" w:hAnsi="微软雅黑"/>
                <w:b w:val="0"/>
                <w:sz w:val="16"/>
              </w:rPr>
              <w:t>16</w:t>
            </w:r>
          </w:p>
        </w:tc>
        <w:tc>
          <w:tcPr>
            <w:tcW w:type="dxa" w:w="1425"/>
          </w:tcPr>
          <w:p>
            <w:r/>
            <w:r>
              <w:rPr>
                <w:rFonts w:eastAsia="微软雅黑"/>
                <w:rFonts w:ascii="微软雅黑" w:hAnsi="微软雅黑"/>
                <w:b w:val="0"/>
                <w:sz w:val="16"/>
              </w:rPr>
              <w:t>国际合作研究项目数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【代理推导】若干（代理：项目列举与定性归纳） 推导：根据提供的证据，识别出2020-2023年间缅甸参与的国际合作研究项…</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r>
          </w:p>
        </w:tc>
        <w:tc>
          <w:tcPr>
            <w:tcW w:type="dxa" w:w="1425"/>
          </w:tcPr>
          <w:p>
            <w:r/>
            <w:r>
              <w:rPr>
                <w:rFonts w:eastAsia="微软雅黑"/>
                <w:rFonts w:ascii="微软雅黑" w:hAnsi="微软雅黑"/>
                <w:b w:val="0"/>
                <w:sz w:val="16"/>
              </w:rPr>
              <w:t>empty</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【代理推导】少量（代理：学术合作与标准化会议参与度） 推导：根据证据，2020-2024年间未发现缅甸学者明确参与中文国…</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22</w:t>
            </w:r>
          </w:p>
        </w:tc>
        <w:tc>
          <w:tcPr>
            <w:tcW w:type="dxa" w:w="1425"/>
          </w:tcPr>
          <w:p>
            <w:r/>
            <w:r>
              <w:rPr>
                <w:rFonts w:eastAsia="微软雅黑"/>
                <w:rFonts w:ascii="微软雅黑" w:hAnsi="微软雅黑"/>
                <w:b w:val="0"/>
                <w:sz w:val="16"/>
              </w:rPr>
              <w:t>本土化教材开发数量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【代理】若干（代理：无直接代理指标） 推导：根据提供的证据，未发现关于缅甸本土化中文教材开发数量的具体统计数据。Perp…</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24</w:t>
            </w:r>
          </w:p>
        </w:tc>
        <w:tc>
          <w:tcPr>
            <w:tcW w:type="dxa" w:w="1425"/>
          </w:tcPr>
          <w:p>
            <w:r/>
            <w:r>
              <w:rPr>
                <w:rFonts w:eastAsia="微软雅黑"/>
                <w:rFonts w:ascii="微软雅黑" w:hAnsi="微软雅黑"/>
                <w:b w:val="0"/>
                <w:sz w:val="16"/>
              </w:rPr>
              <w:t>本土化教学法创新案例数量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【代理】若干（代理：机构培训项目数量、学术研究提及） 推导：基于扩展口径，证据中明确提及的具体本土化教学创新案例数量有限…</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【代理推导】少量（代理：Perplexity） 推导：根据Perplexity的搜索结果，未发现缅甸本土组织、企业或个人…</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推导：根据Perplexity搜索结果，确认存在缅甸本土语言数字化教材资源（…</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29</w:t>
            </w:r>
          </w:p>
        </w:tc>
        <w:tc>
          <w:tcPr>
            <w:tcW w:type="dxa" w:w="1425"/>
          </w:tcPr>
          <w:p>
            <w:r/>
            <w:r>
              <w:rPr>
                <w:rFonts w:eastAsia="微软雅黑"/>
                <w:rFonts w:ascii="微软雅黑" w:hAnsi="微软雅黑"/>
                <w:b w:val="0"/>
                <w:sz w:val="16"/>
              </w:rPr>
              <w:t>数字资源多终端适配率</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【代理】若干（代理：缅甸数字教育总体挑战与全球中文教育数字资源模式） 推导：根据提供的证据，没有直接针对缅甸国际中文教育…</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【代理】若干（代理：无直接数据，基于教育统计和全球趋势的定性推断） 推导：根据证据，2023-2024年缅甸中文学习者的…</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【代理推导】少量（代理：Tavily-zh, Tavily-en, Academic (Crossref, OpenAl…</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38</w:t>
            </w:r>
          </w:p>
        </w:tc>
        <w:tc>
          <w:tcPr>
            <w:tcW w:type="dxa" w:w="1425"/>
          </w:tcPr>
          <w:p>
            <w:r/>
            <w:r>
              <w:rPr>
                <w:rFonts w:eastAsia="微软雅黑"/>
                <w:rFonts w:ascii="微软雅黑" w:hAnsi="微软雅黑"/>
                <w:b w:val="0"/>
                <w:sz w:val="16"/>
              </w:rPr>
              <w:t>本土教师学历水平</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【代理推导】若干（代理：缅甸整体教育背景与汉语教学发展状况） 推导：基于缅甸整体教育投入低（政府预算约1.2%）、中学教…</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【代理推导】少量（代理：CSK Chinese Language Centre (Mandalay)） 推导：根据提供的…</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【代理推导】若干（代理：Perplexity） 推导：根据提供的证据，2023-2024年度缅甸境内存在多项符合扩展口径…</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57</w:t>
            </w:r>
          </w:p>
        </w:tc>
        <w:tc>
          <w:tcPr>
            <w:tcW w:type="dxa" w:w="1425"/>
          </w:tcPr>
          <w:p>
            <w:r/>
            <w:r>
              <w:rPr>
                <w:rFonts w:eastAsia="微软雅黑"/>
                <w:rFonts w:ascii="微软雅黑" w:hAnsi="微软雅黑"/>
                <w:b w:val="0"/>
                <w:sz w:val="16"/>
              </w:rPr>
              <w:t>学生/教师国际交换数量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【代理】少量（代理：Perplexity） 推导：根据Perplexity搜索结果，没有找到2022-2023年缅甸与中…</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58</w:t>
            </w:r>
          </w:p>
        </w:tc>
        <w:tc>
          <w:tcPr>
            <w:tcW w:type="dxa" w:w="1425"/>
          </w:tcPr>
          <w:p>
            <w:r/>
            <w:r>
              <w:rPr>
                <w:rFonts w:eastAsia="微软雅黑"/>
                <w:rFonts w:ascii="微软雅黑" w:hAnsi="微软雅黑"/>
                <w:b w:val="0"/>
                <w:sz w:val="16"/>
              </w:rPr>
              <w:t>跨境教育合作协议签署量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Tavily, Academic） 推导：证据显示2018-2023年间存在…</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【代理推导】少量（代理：国际组织官方语言政策、文件发布语言、会议语言及社交媒体内容分析） 推导：根据提供的证据，缅甸参与…</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61</w:t>
            </w:r>
          </w:p>
        </w:tc>
        <w:tc>
          <w:tcPr>
            <w:tcW w:type="dxa" w:w="1425"/>
          </w:tcPr>
          <w:p>
            <w:r/>
            <w:r>
              <w:rPr>
                <w:rFonts w:eastAsia="微软雅黑"/>
                <w:rFonts w:ascii="微软雅黑" w:hAnsi="微软雅黑"/>
                <w:b w:val="0"/>
                <w:sz w:val="16"/>
              </w:rPr>
              <w:t>本土化文化融合案例数量（中华文化在地融合累计活动数量）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【代理】少量（代理：Perplexity） 推导：根据提供的证据，2015-2024年间在缅甸境内发生的、明确围绕中华文…</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【代理】若干（代理：定性分级） 推导：根据提供的证据，所有搜索结果均未提供关于缅甸本土中文文化产品（影视/音乐/报刊）在…</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【代理推导】少量（代理：Perplexity） 推导：根据扩展口径，需计算缅甸境内所有提供中文教育的机构中，将中文教学与…</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66</w:t>
            </w:r>
          </w:p>
        </w:tc>
        <w:tc>
          <w:tcPr>
            <w:tcW w:type="dxa" w:w="1425"/>
          </w:tcPr>
          <w:p>
            <w:r/>
            <w:r>
              <w:rPr>
                <w:rFonts w:eastAsia="微软雅黑"/>
                <w:rFonts w:ascii="微软雅黑" w:hAnsi="微软雅黑"/>
                <w:b w:val="0"/>
                <w:sz w:val="16"/>
              </w:rPr>
              <w:t>主流媒体中文内容发布数（主流媒体中文教育类内容发布数量）</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【代理推导】少量（代理：Golden Phoenix News (金鳳凰)作为唯一主流媒体） 推导：根据证据，缅甸唯一被…</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【代理推导】少量（代理：学术文献中提及的中缅双语教学实践与社交媒体平台上的双语内容研究） 推导：根据提供的证据，未能在指…</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老挝（批次 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r>
          </w:p>
        </w:tc>
        <w:tc>
          <w:tcPr>
            <w:tcW w:type="dxa" w:w="1425"/>
          </w:tcPr>
          <w:p>
            <w:r/>
            <w:r>
              <w:rPr>
                <w:rFonts w:eastAsia="微软雅黑"/>
                <w:rFonts w:ascii="微软雅黑" w:hAnsi="微软雅黑"/>
                <w:b w:val="0"/>
                <w:sz w:val="16"/>
              </w:rPr>
              <w:t>empty</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r>
          </w:p>
        </w:tc>
        <w:tc>
          <w:tcPr>
            <w:tcW w:type="dxa" w:w="1425"/>
          </w:tcPr>
          <w:p>
            <w:r/>
            <w:r>
              <w:rPr>
                <w:rFonts w:eastAsia="微软雅黑"/>
                <w:rFonts w:ascii="微软雅黑" w:hAnsi="微软雅黑"/>
                <w:b w:val="0"/>
                <w:sz w:val="16"/>
              </w:rPr>
              <w:t>empty</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无（口径：2024年）</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【代理】少量（代理：Perplexity, OPENALEX, SEMANTIC_SCHOLAR, CROSSREF, …</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中文教育领域论文数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【代理】少量（代理：Perplexity, Academic (Crossref, Semantic Scholar, …</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【代理推导】0.15（代理：合作网络加权影响因子法） 推导：基于证据中提及的2019-2023年老挝中文教育领域核心中文…</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【代理推导】少量（代理：间接指标评估） 推导：直接搜索未发现老挝学者在指定中文核心期刊或国际中文教育期刊担任编委的具体名…</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学科交叉研究论文发表量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【代理推导】若干（代理：无直接代理） 推导：基于扩展口径（2020年至今，老挝机构/作者参与的中文+跨学科研究论文），通…</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24</w:t>
            </w:r>
          </w:p>
        </w:tc>
        <w:tc>
          <w:tcPr>
            <w:tcW w:type="dxa" w:w="1425"/>
          </w:tcPr>
          <w:p>
            <w:r/>
            <w:r>
              <w:rPr>
                <w:rFonts w:eastAsia="微软雅黑"/>
                <w:rFonts w:ascii="微软雅黑" w:hAnsi="微软雅黑"/>
                <w:b w:val="0"/>
                <w:sz w:val="16"/>
              </w:rPr>
              <w:t>本土化教学法创新案例数量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【代理】少量（代理：Perplexity, Tavily, Academic (Crossref, Semantic S…</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【代理推导】少量（代理：中老教育合作项目中的数字工具、老挝中文教育机构使用的软件） 推导：根据扩展口径，搜索了针对老挝学…</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【代理】若干（代理：教育数字化基础设施与政策环境） 推导：基于老挝互联网用户增长（2023年470万）、教育支出（202…</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31</w:t>
            </w:r>
          </w:p>
        </w:tc>
        <w:tc>
          <w:tcPr>
            <w:tcW w:type="dxa" w:w="1425"/>
          </w:tcPr>
          <w:p>
            <w:r/>
            <w:r>
              <w:rPr>
                <w:rFonts w:eastAsia="微软雅黑"/>
                <w:rFonts w:ascii="微软雅黑" w:hAnsi="微软雅黑"/>
                <w:b w:val="0"/>
                <w:sz w:val="16"/>
              </w:rPr>
              <w:t>基础教育阶段中文学习者比例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【代理推导】0.18%（代理：Perplexity） 推导：基于Perplexity提供的2023-2024年数据：1）…</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58</w:t>
            </w:r>
          </w:p>
        </w:tc>
        <w:tc>
          <w:tcPr>
            <w:tcW w:type="dxa" w:w="1425"/>
          </w:tcPr>
          <w:p>
            <w:r/>
            <w:r>
              <w:rPr>
                <w:rFonts w:eastAsia="微软雅黑"/>
                <w:rFonts w:ascii="微软雅黑" w:hAnsi="微软雅黑"/>
                <w:b w:val="0"/>
                <w:sz w:val="16"/>
              </w:rPr>
              <w:t>跨境教育合作协议签署量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【代理】若干（代理：无直接数字，使用定性分级） 推导：根据提供的证据，未找到2013-2024年间中国与老挝签署的跨境教…</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【代理推导】少量（代理：组织语言政策研究、区域语言需求趋势、间接证据推断） 推导：基于2023-2024年语言政策研究文…</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【代理推导】少量（代理：Perplexity） 推导：根据Perplexity搜索结果，老挝存在“中文+职业技能”课程（…</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马来西亚（批次 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8</w:t>
            </w:r>
          </w:p>
        </w:tc>
        <w:tc>
          <w:tcPr>
            <w:tcW w:type="dxa" w:w="1425"/>
          </w:tcPr>
          <w:p>
            <w:r/>
            <w:r>
              <w:rPr>
                <w:rFonts w:eastAsia="微软雅黑"/>
                <w:rFonts w:ascii="微软雅黑" w:hAnsi="微软雅黑"/>
                <w:b w:val="0"/>
                <w:sz w:val="16"/>
              </w:rPr>
              <w:t>社会资本投入项目数量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【代理】若干（代理：无） 推导：根据提供的证据，Perplexity搜索明确指出没有关于2018-2023年马来西亚中文…</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16</w:t>
            </w:r>
          </w:p>
        </w:tc>
        <w:tc>
          <w:tcPr>
            <w:tcW w:type="dxa" w:w="1425"/>
          </w:tcPr>
          <w:p>
            <w:r/>
            <w:r>
              <w:rPr>
                <w:rFonts w:eastAsia="微软雅黑"/>
                <w:rFonts w:ascii="微软雅黑" w:hAnsi="微软雅黑"/>
                <w:b w:val="0"/>
                <w:sz w:val="16"/>
              </w:rPr>
              <w:t>国际合作研究项目数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【代理】若干（代理：国际科学合作趋势、全球创新指数（GII）国际参与度得分、国内研发项目批准数） 推导：根据提供的证据，…</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【代理】若干（代理：Perplexity） 推导：根据Perplexity搜索结果，未直接找到马来西亚学者在指定中文核心…</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33</w:t>
            </w:r>
          </w:p>
        </w:tc>
        <w:tc>
          <w:tcPr>
            <w:tcW w:type="dxa" w:w="1425"/>
          </w:tcPr>
          <w:p>
            <w:r/>
            <w:r>
              <w:rPr>
                <w:rFonts w:eastAsia="微软雅黑"/>
                <w:rFonts w:ascii="微软雅黑" w:hAnsi="微软雅黑"/>
                <w:b w:val="0"/>
                <w:sz w:val="16"/>
              </w:rPr>
              <w:t>高端人才（商务/科技领域）学习者数量</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【代理】若干（代理：无） 推导：根据提供的证据，Perplexity搜索明确表示无法提供2023-2024年度马来西亚高…</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【代理推导】少量（代理：马来西亚国内中文使用强度（华裔人口比例、中文教育体系）、马来西亚-中国双边关系强度（贸易额、战略…</w:t>
            </w:r>
          </w:p>
        </w:tc>
        <w:tc>
          <w:tcPr>
            <w:tcW w:type="dxa" w:w="1425"/>
          </w:tcPr>
          <w:p>
            <w:r/>
            <w:r>
              <w:rPr>
                <w:rFonts w:eastAsia="微软雅黑"/>
                <w:rFonts w:ascii="微软雅黑" w:hAnsi="微软雅黑"/>
                <w:b w:val="0"/>
                <w:sz w:val="16"/>
              </w:rPr>
              <w:t>soft</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【代理】若干（代理：媒体集团年报、语言使用率、行业结构） 推导：基于马来西亚中文媒体集团（Media Chinese G…</w:t>
            </w:r>
          </w:p>
        </w:tc>
        <w:tc>
          <w:tcPr>
            <w:tcW w:type="dxa" w:w="1425"/>
          </w:tcPr>
          <w:p>
            <w:r/>
            <w:r>
              <w:rPr>
                <w:rFonts w:eastAsia="微软雅黑"/>
                <w:rFonts w:ascii="微软雅黑" w:hAnsi="微软雅黑"/>
                <w:b w:val="0"/>
                <w:sz w:val="16"/>
              </w:rPr>
              <w:t>soft</w:t>
            </w:r>
          </w:p>
        </w:tc>
      </w:tr>
    </w:tbl>
    <w:p/>
    <w:p>
      <w:pPr>
        <w:spacing w:before="160" w:after="80" w:lineRule="auto" w:line="276"/>
        <w:jc w:val="left"/>
      </w:pPr>
      <w:r>
        <w:rPr>
          <w:rFonts w:eastAsia="微软雅黑"/>
          <w:rFonts w:ascii="微软雅黑" w:hAnsi="微软雅黑"/>
          <w:b/>
          <w:sz w:val="26"/>
        </w:rPr>
        <w:t>批次 3</w:t>
      </w:r>
    </w:p>
    <w:p/>
    <w:p>
      <w:pPr>
        <w:spacing w:before="80" w:after="40" w:lineRule="auto" w:line="276"/>
        <w:jc w:val="left"/>
      </w:pPr>
      <w:r>
        <w:rPr>
          <w:rFonts w:eastAsia="微软雅黑"/>
          <w:rFonts w:ascii="微软雅黑" w:hAnsi="微软雅黑"/>
          <w:b/>
          <w:sz w:val="22"/>
        </w:rPr>
        <w:t>不丹（批次 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22</w:t>
            </w:r>
          </w:p>
        </w:tc>
        <w:tc>
          <w:tcPr>
            <w:tcW w:type="dxa" w:w="1425"/>
          </w:tcPr>
          <w:p>
            <w:r/>
            <w:r>
              <w:rPr>
                <w:rFonts w:eastAsia="微软雅黑"/>
                <w:rFonts w:ascii="微软雅黑" w:hAnsi="微软雅黑"/>
                <w:b w:val="0"/>
                <w:sz w:val="16"/>
              </w:rPr>
              <w:t>本土化教材开发数量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42</w:t>
            </w:r>
          </w:p>
        </w:tc>
        <w:tc>
          <w:tcPr>
            <w:tcW w:type="dxa" w:w="1425"/>
          </w:tcPr>
          <w:p>
            <w:r/>
            <w:r>
              <w:rPr>
                <w:rFonts w:eastAsia="微软雅黑"/>
                <w:rFonts w:ascii="微软雅黑" w:hAnsi="微软雅黑"/>
                <w:b w:val="0"/>
                <w:sz w:val="16"/>
              </w:rPr>
              <w:t>开设中文专业高校数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47</w:t>
            </w:r>
          </w:p>
        </w:tc>
        <w:tc>
          <w:tcPr>
            <w:tcW w:type="dxa" w:w="1425"/>
          </w:tcPr>
          <w:p>
            <w:r/>
            <w:r>
              <w:rPr>
                <w:rFonts w:eastAsia="微软雅黑"/>
                <w:rFonts w:ascii="微软雅黑" w:hAnsi="微软雅黑"/>
                <w:b w:val="0"/>
                <w:sz w:val="16"/>
              </w:rPr>
              <w:t>华校数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48</w:t>
            </w:r>
          </w:p>
        </w:tc>
        <w:tc>
          <w:tcPr>
            <w:tcW w:type="dxa" w:w="1425"/>
          </w:tcPr>
          <w:p>
            <w:r/>
            <w:r>
              <w:rPr>
                <w:rFonts w:eastAsia="微软雅黑"/>
                <w:rFonts w:ascii="微软雅黑" w:hAnsi="微软雅黑"/>
                <w:b w:val="0"/>
                <w:sz w:val="16"/>
              </w:rPr>
              <w:t>中文教育/教师协会单位数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东帝汶（批次 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孟加拉国（批次 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16</w:t>
            </w:r>
          </w:p>
        </w:tc>
        <w:tc>
          <w:tcPr>
            <w:tcW w:type="dxa" w:w="1425"/>
          </w:tcPr>
          <w:p>
            <w:r/>
            <w:r>
              <w:rPr>
                <w:rFonts w:eastAsia="微软雅黑"/>
                <w:rFonts w:ascii="微软雅黑" w:hAnsi="微软雅黑"/>
                <w:b w:val="0"/>
                <w:sz w:val="16"/>
              </w:rPr>
              <w:t>国际合作研究项目数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【精修-广义】无法提供具体数值（代理：True） 推导：基于扩展口径的六个维度，证据中未找到直接匹配的定量数据。推导过程…</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【代理推导】0.5（代理：True） 推导：基于扩展口径五个维度的综合评估：1) 国际组织中文学习项目：无证据显示孟加拉…</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66</w:t>
            </w:r>
          </w:p>
        </w:tc>
        <w:tc>
          <w:tcPr>
            <w:tcW w:type="dxa" w:w="1425"/>
          </w:tcPr>
          <w:p>
            <w:r/>
            <w:r>
              <w:rPr>
                <w:rFonts w:eastAsia="微软雅黑"/>
                <w:rFonts w:ascii="微软雅黑" w:hAnsi="微软雅黑"/>
                <w:b w:val="0"/>
                <w:sz w:val="16"/>
              </w:rPr>
              <w:t>主流媒体中文内容发布数（主流媒体中文教育类内容发布数量）</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尼泊尔（批次 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【精修-广义】0.0（代理：True） 推导：基于扩展口径的多维度复合评估体系，对尼泊尔中文教育领域论文质量进行拟合计算…</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【精修-广义】0.35（代理：['尼泊尔参与的中文主导国际组织（如上合组织）中代表发言比例', '尼泊尔政府与国际组织签…</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文莱（批次 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4</w:t>
      </w:r>
    </w:p>
    <w:p/>
    <w:p>
      <w:pPr>
        <w:spacing w:before="80" w:after="40" w:lineRule="auto" w:line="276"/>
        <w:jc w:val="left"/>
      </w:pPr>
      <w:r>
        <w:rPr>
          <w:rFonts w:eastAsia="微软雅黑"/>
          <w:rFonts w:ascii="微软雅黑" w:hAnsi="微软雅黑"/>
          <w:b/>
          <w:sz w:val="22"/>
        </w:rPr>
        <w:t>印度（批次 4）</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【代理推导】无法确定具体数值 推导：基于提供的证据材料进行综合分析</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国际资金援助项目数</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【精修-广义】无法获取精确数值（代理：否） 推导：基于扩展口径要求，需要统计中国政府各类机构对印度的援助项目数量，包括双…</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22</w:t>
            </w:r>
          </w:p>
        </w:tc>
        <w:tc>
          <w:tcPr>
            <w:tcW w:type="dxa" w:w="1425"/>
          </w:tcPr>
          <w:p>
            <w:r/>
            <w:r>
              <w:rPr>
                <w:rFonts w:eastAsia="微软雅黑"/>
                <w:rFonts w:ascii="微软雅黑" w:hAnsi="微软雅黑"/>
                <w:b w:val="0"/>
                <w:sz w:val="16"/>
              </w:rPr>
              <w:t>本土化教材开发数量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【精修-广义】有限 推导：分级评估</w:t>
            </w:r>
          </w:p>
        </w:tc>
        <w:tc>
          <w:tcPr>
            <w:tcW w:type="dxa" w:w="1425"/>
          </w:tcPr>
          <w:p>
            <w:r/>
            <w:r>
              <w:rPr>
                <w:rFonts w:eastAsia="微软雅黑"/>
                <w:rFonts w:ascii="微软雅黑" w:hAnsi="微软雅黑"/>
                <w:b w:val="0"/>
                <w:sz w:val="16"/>
              </w:rPr>
              <w:t>soft</w:t>
            </w:r>
          </w:p>
        </w:tc>
      </w:tr>
    </w:tbl>
    <w:p/>
    <w:p>
      <w:pPr>
        <w:spacing w:before="80" w:after="40" w:lineRule="auto" w:line="276"/>
        <w:jc w:val="left"/>
      </w:pPr>
      <w:r>
        <w:rPr>
          <w:rFonts w:eastAsia="微软雅黑"/>
          <w:rFonts w:ascii="微软雅黑" w:hAnsi="微软雅黑"/>
          <w:b/>
          <w:sz w:val="22"/>
        </w:rPr>
        <w:t>巴基斯坦（批次 4）</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【精修-广义】无法计算具体比值（代理：定性分级） 推导：证据中缺乏计算课程占比所需的完整数据：1) 无巴基斯坦所有职业技…</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斯里兰卡（批次 4）</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【精修-广义】0.8（代理：国际合作论文影响力指数（加权值0.5）+区域引文网络分析（加权值0.3）+隐性影响力指标（加…</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阿富汗（批次 4）</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马尔代夫（批次 4）</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5</w:t>
      </w:r>
    </w:p>
    <w:p/>
    <w:p>
      <w:pPr>
        <w:spacing w:before="80" w:after="40" w:lineRule="auto" w:line="276"/>
        <w:jc w:val="left"/>
      </w:pPr>
      <w:r>
        <w:rPr>
          <w:rFonts w:eastAsia="微软雅黑"/>
          <w:rFonts w:ascii="微软雅黑" w:hAnsi="微软雅黑"/>
          <w:b/>
          <w:sz w:val="22"/>
        </w:rPr>
        <w:t>乌兹别克斯坦（批次 5）</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哈萨克斯坦（批次 5）</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土库曼斯坦（批次 5）</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塔吉克斯坦（批次 5）</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6</w:t>
      </w:r>
    </w:p>
    <w:p/>
    <w:p>
      <w:pPr>
        <w:spacing w:before="80" w:after="40" w:lineRule="auto" w:line="276"/>
        <w:jc w:val="left"/>
      </w:pPr>
      <w:r>
        <w:rPr>
          <w:rFonts w:eastAsia="微软雅黑"/>
          <w:rFonts w:ascii="微软雅黑" w:hAnsi="微软雅黑"/>
          <w:b/>
          <w:sz w:val="22"/>
        </w:rPr>
        <w:t>伊朗（批次 6）</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【精修-广义】0.02%（代理：区域比较数据（中东国家中文教育投入占比均值）） 推导：由于无法获取伊朗政府中文教育预算的…</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卡塔尔（批次 6）</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【估算】无（口径：有/无）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22</w:t>
            </w:r>
          </w:p>
        </w:tc>
        <w:tc>
          <w:tcPr>
            <w:tcW w:type="dxa" w:w="1425"/>
          </w:tcPr>
          <w:p>
            <w:r/>
            <w:r>
              <w:rPr>
                <w:rFonts w:eastAsia="微软雅黑"/>
                <w:rFonts w:ascii="微软雅黑" w:hAnsi="微软雅黑"/>
                <w:b w:val="0"/>
                <w:sz w:val="16"/>
              </w:rPr>
              <w:t>本土化教材开发数量</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【精修-广义】无具体数字（代理：定性分级） 推导：基于扩展口径的证据评估</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44</w:t>
            </w:r>
          </w:p>
        </w:tc>
        <w:tc>
          <w:tcPr>
            <w:tcW w:type="dxa" w:w="1425"/>
          </w:tcPr>
          <w:p>
            <w:r/>
            <w:r>
              <w:rPr>
                <w:rFonts w:eastAsia="微软雅黑"/>
                <w:rFonts w:ascii="微软雅黑" w:hAnsi="微软雅黑"/>
                <w:b w:val="0"/>
                <w:sz w:val="16"/>
              </w:rPr>
              <w:t>开设中文课程的中小学数量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【精修-广义】无法提供具体数值（代理：定性分级） 推导：基于扩展口径的四个维度（卡塔尔教育部官方统计、国际学校/双语学校…</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巴林（批次 6）</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【代理推导】0.02（代理：True） 推导：基于扩展口径多维度复合评估体系计算：1）期刊层级加权：无SSCI/CSSC…</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阿曼（批次 6）</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【代理推导】0.02（代理：比值） 推导：根据扩展口径，通过交叉验证确定开设中文专业的高校数量。证据显示苏尔坦亲王大学（…</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阿联酋（批次 6）</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【精修-广义】0.6%（代理：是） 推导：基于扩展口径，采用多源信息交叉验证：1) 阿联酋教育部及高等教育委员会官方统计…</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【精修-广义】0.0%（代理：True） 推导：根据扩展口径，偏远地区定义为距离阿布扎比200公里以上或人口密度低于50…</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7</w:t>
      </w:r>
    </w:p>
    <w:p/>
    <w:p>
      <w:pPr>
        <w:spacing w:before="80" w:after="40" w:lineRule="auto" w:line="276"/>
        <w:jc w:val="left"/>
      </w:pPr>
      <w:r>
        <w:rPr>
          <w:rFonts w:eastAsia="微软雅黑"/>
          <w:rFonts w:ascii="微软雅黑" w:hAnsi="微软雅黑"/>
          <w:b/>
          <w:sz w:val="22"/>
        </w:rPr>
        <w:t>也门（批次 7）</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【精修-广义】无具体项目数 推导：定性分级：极低</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【估算】0%（口径：比值）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66</w:t>
            </w:r>
          </w:p>
        </w:tc>
        <w:tc>
          <w:tcPr>
            <w:tcW w:type="dxa" w:w="1425"/>
          </w:tcPr>
          <w:p>
            <w:r/>
            <w:r>
              <w:rPr>
                <w:rFonts w:eastAsia="微软雅黑"/>
                <w:rFonts w:ascii="微软雅黑" w:hAnsi="微软雅黑"/>
                <w:b w:val="0"/>
                <w:sz w:val="16"/>
              </w:rPr>
              <w:t>主流媒体中文内容发布数（主流媒体中文教育类内容发布数量）</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伊拉克（批次 7）</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土耳其（批次 7）</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沙特阿拉伯（批次 7）</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7</w:t>
            </w:r>
          </w:p>
        </w:tc>
        <w:tc>
          <w:tcPr>
            <w:tcW w:type="dxa" w:w="1425"/>
          </w:tcPr>
          <w:p>
            <w:r/>
            <w:r>
              <w:rPr>
                <w:rFonts w:eastAsia="微软雅黑"/>
                <w:rFonts w:ascii="微软雅黑" w:hAnsi="微软雅黑"/>
                <w:b w:val="0"/>
                <w:sz w:val="16"/>
              </w:rPr>
              <w:t>国际资金援助项目数</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【精修-广义】无具体数值（代理：是） 推导：基于证据推导：1) 搜索结果显示无中国政府近5年对沙特阿拉伯的直接资金援助项…</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48</w:t>
            </w:r>
          </w:p>
        </w:tc>
        <w:tc>
          <w:tcPr>
            <w:tcW w:type="dxa" w:w="1425"/>
          </w:tcPr>
          <w:p>
            <w:r/>
            <w:r>
              <w:rPr>
                <w:rFonts w:eastAsia="微软雅黑"/>
                <w:rFonts w:ascii="微软雅黑" w:hAnsi="微软雅黑"/>
                <w:b w:val="0"/>
                <w:sz w:val="16"/>
              </w:rPr>
              <w:t>中文教育/教师协会单位数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【精修-广义】0.15（代理：偏远地区中文教学点数量/沙特阿拉伯13个行政区总数） 推导：1. 根据证据，沙特阿拉伯确认…</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科威特（批次 7）</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8</w:t>
      </w:r>
    </w:p>
    <w:p/>
    <w:p>
      <w:pPr>
        <w:spacing w:before="80" w:after="40" w:lineRule="auto" w:line="276"/>
        <w:jc w:val="left"/>
      </w:pPr>
      <w:r>
        <w:rPr>
          <w:rFonts w:eastAsia="微软雅黑"/>
          <w:rFonts w:ascii="微软雅黑" w:hAnsi="微软雅黑"/>
          <w:b/>
          <w:sz w:val="22"/>
        </w:rPr>
        <w:t>以色列（批次 8）</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【代理推导】无法确定具体数值 推导：定性分级</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【精修-广义】0.04%（代理：True） 推导：基于扩展口径（全年龄段中文学习者），采用推导估算值。分子：中小学约30…</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【估算】0%（口径：比值）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叙利亚（批次 8）</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【精修-广义】无具体数值（代理：定性分级） 推导：基于现有证据推断叙利亚本土中文教师培养项目数量极少或未公开</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45</w:t>
            </w:r>
          </w:p>
        </w:tc>
        <w:tc>
          <w:tcPr>
            <w:tcW w:type="dxa" w:w="1425"/>
          </w:tcPr>
          <w:p>
            <w:r/>
            <w:r>
              <w:rPr>
                <w:rFonts w:eastAsia="微软雅黑"/>
                <w:rFonts w:ascii="微软雅黑" w:hAnsi="微软雅黑"/>
                <w:b w:val="0"/>
                <w:sz w:val="16"/>
              </w:rPr>
              <w:t>“中文工坊”或孔子学院数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格鲁吉亚（批次 8）</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21</w:t>
            </w:r>
          </w:p>
        </w:tc>
        <w:tc>
          <w:tcPr>
            <w:tcW w:type="dxa" w:w="1425"/>
          </w:tcPr>
          <w:p>
            <w:r/>
            <w:r>
              <w:rPr>
                <w:rFonts w:eastAsia="微软雅黑"/>
                <w:rFonts w:ascii="微软雅黑" w:hAnsi="微软雅黑"/>
                <w:b w:val="0"/>
                <w:sz w:val="16"/>
              </w:rPr>
              <w:t>学科交叉研究论文发表量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【代理推导】无法确定具体数值 推导：基于证据的定性评估</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69</w:t>
            </w:r>
          </w:p>
        </w:tc>
        <w:tc>
          <w:tcPr>
            <w:tcW w:type="dxa" w:w="1425"/>
          </w:tcPr>
          <w:p>
            <w:r/>
            <w:r>
              <w:rPr>
                <w:rFonts w:eastAsia="微软雅黑"/>
                <w:rFonts w:ascii="微软雅黑" w:hAnsi="微软雅黑"/>
                <w:b w:val="0"/>
                <w:sz w:val="16"/>
              </w:rPr>
              <w:t>舆情监测中正面评价占比</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【精修-广义】无法确定具体数值（代理：无直接代理指标） 推导：基于证据中的信息缺口推导</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约旦（批次 8）</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黎巴嫩（批次 8）</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12</w:t>
            </w:r>
          </w:p>
        </w:tc>
        <w:tc>
          <w:tcPr>
            <w:tcW w:type="dxa" w:w="1425"/>
          </w:tcPr>
          <w:p>
            <w:r/>
            <w:r>
              <w:rPr>
                <w:rFonts w:eastAsia="微软雅黑"/>
                <w:rFonts w:ascii="微软雅黑" w:hAnsi="微软雅黑"/>
                <w:b w:val="0"/>
                <w:sz w:val="16"/>
              </w:rPr>
              <w:t>国别（区域）研究专著数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【代理推导】无法提供具体数值（代理：定性分级） 推导：基于扩展口径要求，证据中未找到符合黎巴嫩中文教育研究专著的直接数量…</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9</w:t>
      </w:r>
    </w:p>
    <w:p/>
    <w:p>
      <w:pPr>
        <w:spacing w:before="80" w:after="40" w:lineRule="auto" w:line="276"/>
        <w:jc w:val="left"/>
      </w:pPr>
      <w:r>
        <w:rPr>
          <w:rFonts w:eastAsia="微软雅黑"/>
          <w:rFonts w:ascii="微软雅黑" w:hAnsi="微软雅黑"/>
          <w:b/>
          <w:sz w:val="22"/>
        </w:rPr>
        <w:t>亚美尼亚（批次 9）</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无法计算（口径：比值）</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埃及（批次 9）</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【精修-广义】无法提供具体数值（代理：定性分级） 推导：基于扩展口径的定性评估</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拉脱维亚（批次 9）</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【代理推导】0.15（代理：是） 推导：根据扩展口径统计，拉脱维亚共有20个中文教学机构。其中，符合偏远地区标准（距离首…</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爱沙尼亚（批次 9）</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【精修-广义】0.0（代理：True） 推导：根据扩展口径的间接影响力评估法：国际论文等效影响力=0（比例0%×平均被引…</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【代理推导】0.05（代理：True） 推导：根据扩展口径，通过多源数据交叉验证。证据显示塔尔图大学（Universit…</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48</w:t>
            </w:r>
          </w:p>
        </w:tc>
        <w:tc>
          <w:tcPr>
            <w:tcW w:type="dxa" w:w="1425"/>
          </w:tcPr>
          <w:p>
            <w:r/>
            <w:r>
              <w:rPr>
                <w:rFonts w:eastAsia="微软雅黑"/>
                <w:rFonts w:ascii="微软雅黑" w:hAnsi="微软雅黑"/>
                <w:b w:val="0"/>
                <w:sz w:val="16"/>
              </w:rPr>
              <w:t>中文教育/教师协会单位数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0%（口径：比值）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阿塞拜疆（批次 9）</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10</w:t>
      </w:r>
    </w:p>
    <w:p/>
    <w:p>
      <w:pPr>
        <w:spacing w:before="80" w:after="40" w:lineRule="auto" w:line="276"/>
        <w:jc w:val="left"/>
      </w:pPr>
      <w:r>
        <w:rPr>
          <w:rFonts w:eastAsia="微软雅黑"/>
          <w:rFonts w:ascii="微软雅黑" w:hAnsi="微软雅黑"/>
          <w:b/>
          <w:sz w:val="22"/>
        </w:rPr>
        <w:t>德国（批次 10）</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【精修-广义】无法确定具体数值 推导：定性分级</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捷克（批次 10）</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【精修-广义】无法提供具体数值 推导：定性分级</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斯洛文尼亚（批次 10）</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【精修-广义】无法计算具体数值（代理：定性分级） 推导：根据扩展口径要求，需要斯洛文尼亚政府年度教育预算总额和中文教育相…</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29</w:t>
            </w:r>
          </w:p>
        </w:tc>
        <w:tc>
          <w:tcPr>
            <w:tcW w:type="dxa" w:w="1425"/>
          </w:tcPr>
          <w:p>
            <w:r/>
            <w:r>
              <w:rPr>
                <w:rFonts w:eastAsia="微软雅黑"/>
                <w:rFonts w:ascii="微软雅黑" w:hAnsi="微软雅黑"/>
                <w:b w:val="0"/>
                <w:sz w:val="16"/>
              </w:rPr>
              <w:t>数字资源多终端适配率</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【精修-广义】0.65（代理：True） 推导：采用代理推导方法：1) 基准值采用欧盟教育数字化报告中“教育平台跨终端访…</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【精修-广义】0.2（代理：True） 推导：根据扩展口径，需识别斯洛文尼亚偏远地区（非首都卢布尔雅那）的中文教学点。证…</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波兰（批次 10）</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【估算】无（口径：有/无）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13</w:t>
            </w:r>
          </w:p>
        </w:tc>
        <w:tc>
          <w:tcPr>
            <w:tcW w:type="dxa" w:w="1425"/>
          </w:tcPr>
          <w:p>
            <w:r/>
            <w:r>
              <w:rPr>
                <w:rFonts w:eastAsia="微软雅黑"/>
                <w:rFonts w:ascii="微软雅黑" w:hAnsi="微软雅黑"/>
                <w:b w:val="0"/>
                <w:sz w:val="16"/>
              </w:rPr>
              <w:t>中文教育领域论文数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【精修-广义】无法提供具体数值 推导：定性分级</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23</w:t>
            </w:r>
          </w:p>
        </w:tc>
        <w:tc>
          <w:tcPr>
            <w:tcW w:type="dxa" w:w="1425"/>
          </w:tcPr>
          <w:p>
            <w:r/>
            <w:r>
              <w:rPr>
                <w:rFonts w:eastAsia="微软雅黑"/>
                <w:rFonts w:ascii="微软雅黑" w:hAnsi="微软雅黑"/>
                <w:b w:val="0"/>
                <w:sz w:val="16"/>
              </w:rPr>
              <w:t>多语种教材数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【精修-广义】无法提供具体数值（代理：定性分级） 推导：基于扩展口径要求，证据中未找到任何直接统计数字。搜索结果主要涉及…</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立陶宛（批次 10）</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【估算】无（口径：有/无）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【精修-广义】无法确定（代理：True） 推导：多源验证与动态更新机制</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【估算】0%（口径：比值）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11</w:t>
      </w:r>
    </w:p>
    <w:p/>
    <w:p>
      <w:pPr>
        <w:spacing w:before="80" w:after="40" w:lineRule="auto" w:line="276"/>
        <w:jc w:val="left"/>
      </w:pPr>
      <w:r>
        <w:rPr>
          <w:rFonts w:eastAsia="微软雅黑"/>
          <w:rFonts w:ascii="微软雅黑" w:hAnsi="微软雅黑"/>
          <w:b/>
          <w:sz w:val="22"/>
        </w:rPr>
        <w:t>克罗地亚（批次 11）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65</w:t>
            </w:r>
          </w:p>
        </w:tc>
        <w:tc>
          <w:tcPr>
            <w:tcW w:type="dxa" w:w="1425"/>
          </w:tcPr>
          <w:p>
            <w:r/>
            <w:r>
              <w:rPr>
                <w:rFonts w:eastAsia="微软雅黑"/>
                <w:rFonts w:ascii="微软雅黑" w:hAnsi="微软雅黑"/>
                <w:b w:val="0"/>
                <w:sz w:val="16"/>
              </w:rPr>
              <w:t>企业定制化中文培训项目数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【精修-广义】无数据 推导：所有搜索来源均未提供克罗地亚企业定制化中文培训项目数的具体数据或相关统计信息。</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【精修-广义】0.1%（代理：True） 推导：基于学术论文语言统计类比：克罗地亚语和中文在国际学术论文中占比均&gt;0.1…</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塞尔维亚（批次 11）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【精修-广义】0.00038（代理：True） 推导：基于2013年官方项目数据2500人，考虑年均增长5%至2023年…</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波黑（批次 11）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无（口径：无直接数据）</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15</w:t>
            </w:r>
          </w:p>
        </w:tc>
        <w:tc>
          <w:tcPr>
            <w:tcW w:type="dxa" w:w="1425"/>
          </w:tcPr>
          <w:p>
            <w:r/>
            <w:r>
              <w:rPr>
                <w:rFonts w:eastAsia="微软雅黑"/>
                <w:rFonts w:ascii="微软雅黑" w:hAnsi="微软雅黑"/>
                <w:b w:val="0"/>
                <w:sz w:val="16"/>
              </w:rPr>
              <w:t>学术会议数（国别化学术会议数量）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28</w:t>
            </w:r>
          </w:p>
        </w:tc>
        <w:tc>
          <w:tcPr>
            <w:tcW w:type="dxa" w:w="1425"/>
          </w:tcPr>
          <w:p>
            <w:r/>
            <w:r>
              <w:rPr>
                <w:rFonts w:eastAsia="微软雅黑"/>
                <w:rFonts w:ascii="微软雅黑" w:hAnsi="微软雅黑"/>
                <w:b w:val="0"/>
                <w:sz w:val="16"/>
              </w:rPr>
              <w:t>本土数字化教材数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【精修-广义】未知（代理：无直接数据，基于孔子学院中文教材种类类比） 推导：未找到波黑本土数字化教材数的直接统计。波黑教…</w:t>
            </w:r>
          </w:p>
        </w:tc>
        <w:tc>
          <w:tcPr>
            <w:tcW w:type="dxa" w:w="1425"/>
          </w:tcPr>
          <w:p>
            <w:r/>
            <w:r>
              <w:rPr>
                <w:rFonts w:eastAsia="微软雅黑"/>
                <w:rFonts w:ascii="微软雅黑" w:hAnsi="微软雅黑"/>
                <w:b w:val="0"/>
                <w:sz w:val="16"/>
              </w:rPr>
              <w:t>bad</w:t>
            </w:r>
          </w:p>
        </w:tc>
      </w:tr>
      <w:tr>
        <w:tc>
          <w:tcPr>
            <w:tcW w:type="dxa" w:w="1425"/>
          </w:tcPr>
          <w:p>
            <w:r/>
            <w:r>
              <w:rPr>
                <w:rFonts w:eastAsia="微软雅黑"/>
                <w:rFonts w:ascii="微软雅黑" w:hAnsi="微软雅黑"/>
                <w:b w:val="0"/>
                <w:sz w:val="16"/>
              </w:rPr>
              <w:t>65</w:t>
            </w:r>
          </w:p>
        </w:tc>
        <w:tc>
          <w:tcPr>
            <w:tcW w:type="dxa" w:w="1425"/>
          </w:tcPr>
          <w:p>
            <w:r/>
            <w:r>
              <w:rPr>
                <w:rFonts w:eastAsia="微软雅黑"/>
                <w:rFonts w:ascii="微软雅黑" w:hAnsi="微软雅黑"/>
                <w:b w:val="0"/>
                <w:sz w:val="16"/>
              </w:rPr>
              <w:t>企业定制化中文培训项目数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阿尔巴尼亚（批次 11）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26</w:t>
            </w:r>
          </w:p>
        </w:tc>
        <w:tc>
          <w:tcPr>
            <w:tcW w:type="dxa" w:w="1425"/>
          </w:tcPr>
          <w:p>
            <w:r/>
            <w:r>
              <w:rPr>
                <w:rFonts w:eastAsia="微软雅黑"/>
                <w:rFonts w:ascii="微软雅黑" w:hAnsi="微软雅黑"/>
                <w:b w:val="0"/>
                <w:sz w:val="16"/>
              </w:rPr>
              <w:t>针对性或本土化中文学习网站/平台数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【精修-广义】0.01（代理：定性推断基于无专属中文文件或同传记录，仅通用多语言文件中国家提及） 推导：基于证据：联合国…</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黑山（批次 11）</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【代理推导】0.00%（代理：无直接数据，基于黑山无孔子学院、无中文教育专项预算记录，且中文教育规模极小，估算为0%） …</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【精修-广义】0.02%（代理：True） 推导：基于中国驻黑山大使馆教育处2023年估算的100名中文学习者，除以世界…</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39</w:t>
            </w:r>
          </w:p>
        </w:tc>
        <w:tc>
          <w:tcPr>
            <w:tcW w:type="dxa" w:w="1425"/>
          </w:tcPr>
          <w:p>
            <w:r/>
            <w:r>
              <w:rPr>
                <w:rFonts w:eastAsia="微软雅黑"/>
                <w:rFonts w:ascii="微软雅黑" w:hAnsi="微软雅黑"/>
                <w:b w:val="0"/>
                <w:sz w:val="16"/>
              </w:rPr>
              <w:t>本土中文教师培养项目数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【代理推导】0.5（代理：中国驻黑山大使馆/领事馆官网公布的黑山高校总数及开设中文专业的高校数） 推导：根据中国驻黑山大…</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【估算】0%（口径：比例）</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12</w:t>
      </w:r>
    </w:p>
    <w:p/>
    <w:p>
      <w:pPr>
        <w:spacing w:before="80" w:after="40" w:lineRule="auto" w:line="276"/>
        <w:jc w:val="left"/>
      </w:pPr>
      <w:r>
        <w:rPr>
          <w:rFonts w:eastAsia="微软雅黑"/>
          <w:rFonts w:ascii="微软雅黑" w:hAnsi="微软雅黑"/>
          <w:b/>
          <w:sz w:val="22"/>
        </w:rPr>
        <w:t>保加利亚（批次 12）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14</w:t>
            </w:r>
          </w:p>
        </w:tc>
        <w:tc>
          <w:tcPr>
            <w:tcW w:type="dxa" w:w="1425"/>
          </w:tcPr>
          <w:p>
            <w:r/>
            <w:r>
              <w:rPr>
                <w:rFonts w:eastAsia="微软雅黑"/>
                <w:rFonts w:ascii="微软雅黑" w:hAnsi="微软雅黑"/>
                <w:b w:val="0"/>
                <w:sz w:val="16"/>
              </w:rPr>
              <w:t>中文教育领域论文质量</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拟合值</w:t>
            </w:r>
          </w:p>
        </w:tc>
        <w:tc>
          <w:tcPr>
            <w:tcW w:type="dxa" w:w="1425"/>
          </w:tcPr>
          <w:p>
            <w:r/>
            <w:r>
              <w:rPr>
                <w:rFonts w:eastAsia="微软雅黑"/>
                <w:rFonts w:ascii="微软雅黑" w:hAnsi="微软雅黑"/>
                <w:b w:val="0"/>
                <w:sz w:val="16"/>
              </w:rPr>
              <w:t>【精修-广义】0.15（代理：拟合值基于保加利亚学者在中文教育领域发表论文的篇均被引次数、H指数及期刊影响因子均值，结合…</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【精修-广义】0.75（代理：偏远地区教学点数量占比） 推导：根据证据，保加利亚共有2所孔子学院（索菲亚孔子学院和大特尔…</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【精修-广义】0.05（代理：True） 推导：基于极低的中文使用情况估算，代理值为0.05。</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63</w:t>
            </w:r>
          </w:p>
        </w:tc>
        <w:tc>
          <w:tcPr>
            <w:tcW w:type="dxa" w:w="1425"/>
          </w:tcPr>
          <w:p>
            <w:r/>
            <w:r>
              <w:rPr>
                <w:rFonts w:eastAsia="微软雅黑"/>
                <w:rFonts w:ascii="微软雅黑" w:hAnsi="微软雅黑"/>
                <w:b w:val="0"/>
                <w:sz w:val="16"/>
              </w:rPr>
              <w:t>“中文+职业技能”课程占比</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【精修-广义】0.014（代理：宁夏职业技术大学为保加利亚师生开设的28门课程（分子），分母估算为2000门） 推导：分…</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【估算】0%（口径：比例）</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匈牙利（批次 12）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6</w:t>
            </w:r>
          </w:p>
        </w:tc>
        <w:tc>
          <w:tcPr>
            <w:tcW w:type="dxa" w:w="1425"/>
          </w:tcPr>
          <w:p>
            <w:r/>
            <w:r>
              <w:rPr>
                <w:rFonts w:eastAsia="微软雅黑"/>
                <w:rFonts w:ascii="微软雅黑" w:hAnsi="微软雅黑"/>
                <w:b w:val="0"/>
                <w:sz w:val="16"/>
              </w:rPr>
              <w:t>政府年度中文教育预算占比</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【精修-广义】0.005%（代理：基于教育总预算（政府支出×14.5%）和中文教育支出估算（1000万欧元）） 推导：匈…</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【精修-广义】0.6（代理：基于匈牙利参与的主要国际组织中中文的官方地位、使用频率和文件可得性，结合组织规模加权估算） …</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北马其顿（批次 12）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4</w:t>
            </w:r>
          </w:p>
        </w:tc>
        <w:tc>
          <w:tcPr>
            <w:tcW w:type="dxa" w:w="1425"/>
          </w:tcPr>
          <w:p>
            <w:r/>
            <w:r>
              <w:rPr>
                <w:rFonts w:eastAsia="微软雅黑"/>
                <w:rFonts w:ascii="微软雅黑" w:hAnsi="微软雅黑"/>
                <w:b w:val="0"/>
                <w:sz w:val="16"/>
              </w:rPr>
              <w:t>政府主导的中文教育项目数量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25</w:t>
            </w:r>
          </w:p>
        </w:tc>
        <w:tc>
          <w:tcPr>
            <w:tcW w:type="dxa" w:w="1425"/>
          </w:tcPr>
          <w:p>
            <w:r/>
            <w:r>
              <w:rPr>
                <w:rFonts w:eastAsia="微软雅黑"/>
                <w:rFonts w:ascii="微软雅黑" w:hAnsi="微软雅黑"/>
                <w:b w:val="0"/>
                <w:sz w:val="16"/>
              </w:rPr>
              <w:t>文化类教学资源占比</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【精修-广义】0.25（代理：25%的学校配备中文在线学习系统，假设该系统主要用于文化类资源） 推导：基于北马其顿教育部…</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【精修-广义】0.0476（代理：Eurydice） 推导：分子：1所开设中文专业的高校（圣基里尔—麦托迪大学）；分母：…</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47</w:t>
            </w:r>
          </w:p>
        </w:tc>
        <w:tc>
          <w:tcPr>
            <w:tcW w:type="dxa" w:w="1425"/>
          </w:tcPr>
          <w:p>
            <w:r/>
            <w:r>
              <w:rPr>
                <w:rFonts w:eastAsia="微软雅黑"/>
                <w:rFonts w:ascii="微软雅黑" w:hAnsi="微软雅黑"/>
                <w:b w:val="0"/>
                <w:sz w:val="16"/>
              </w:rPr>
              <w:t>华校数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【估算】0%（口径：比值）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56</w:t>
            </w:r>
          </w:p>
        </w:tc>
        <w:tc>
          <w:tcPr>
            <w:tcW w:type="dxa" w:w="1425"/>
          </w:tcPr>
          <w:p>
            <w:r/>
            <w:r>
              <w:rPr>
                <w:rFonts w:eastAsia="微软雅黑"/>
                <w:rFonts w:ascii="微软雅黑" w:hAnsi="微软雅黑"/>
                <w:b w:val="0"/>
                <w:sz w:val="16"/>
              </w:rPr>
              <w:t>中外联合办学项目数量</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【估算】0（口径：年度总量）</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斯洛伐克（批次 12）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【估算】无（口径：有/无）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20</w:t>
            </w:r>
          </w:p>
        </w:tc>
        <w:tc>
          <w:tcPr>
            <w:tcW w:type="dxa" w:w="1425"/>
          </w:tcPr>
          <w:p>
            <w:r/>
            <w:r>
              <w:rPr>
                <w:rFonts w:eastAsia="微软雅黑"/>
                <w:rFonts w:ascii="微软雅黑" w:hAnsi="微软雅黑"/>
                <w:b w:val="0"/>
                <w:sz w:val="16"/>
              </w:rPr>
              <w:t>当地学者参与中文国际标准建设数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27</w:t>
            </w:r>
          </w:p>
        </w:tc>
        <w:tc>
          <w:tcPr>
            <w:tcW w:type="dxa" w:w="1425"/>
          </w:tcPr>
          <w:p>
            <w:r/>
            <w:r>
              <w:rPr>
                <w:rFonts w:eastAsia="微软雅黑"/>
                <w:rFonts w:ascii="微软雅黑" w:hAnsi="微软雅黑"/>
                <w:b w:val="0"/>
                <w:sz w:val="16"/>
              </w:rPr>
              <w:t>针对性或本土化中文学习软件/APP数</w:t>
            </w:r>
          </w:p>
        </w:tc>
        <w:tc>
          <w:tcPr>
            <w:tcW w:type="dxa" w:w="1425"/>
          </w:tcPr>
          <w:p>
            <w:r/>
            <w:r>
              <w:rPr>
                <w:rFonts w:eastAsia="微软雅黑"/>
                <w:rFonts w:ascii="微软雅黑" w:hAnsi="微软雅黑"/>
                <w:b w:val="0"/>
                <w:sz w:val="16"/>
              </w:rPr>
              <w:t>C.教材、资源与数字化</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【估算】0（口径：代理推导）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62</w:t>
            </w:r>
          </w:p>
        </w:tc>
        <w:tc>
          <w:tcPr>
            <w:tcW w:type="dxa" w:w="1425"/>
          </w:tcPr>
          <w:p>
            <w:r/>
            <w:r>
              <w:rPr>
                <w:rFonts w:eastAsia="微软雅黑"/>
                <w:rFonts w:ascii="微软雅黑" w:hAnsi="微软雅黑"/>
                <w:b w:val="0"/>
                <w:sz w:val="16"/>
              </w:rPr>
              <w:t>本土中文文化产品（影视/音乐/报刊）数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【估算】0（口径：年度总量）</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65</w:t>
            </w:r>
          </w:p>
        </w:tc>
        <w:tc>
          <w:tcPr>
            <w:tcW w:type="dxa" w:w="1425"/>
          </w:tcPr>
          <w:p>
            <w:r/>
            <w:r>
              <w:rPr>
                <w:rFonts w:eastAsia="微软雅黑"/>
                <w:rFonts w:ascii="微软雅黑" w:hAnsi="微软雅黑"/>
                <w:b w:val="0"/>
                <w:sz w:val="16"/>
              </w:rPr>
              <w:t>企业定制化中文培训项目数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【精修-广义】无直接数据 推导：所有搜索结果均未提供斯洛伐克企业定制化中文培训项目数的具体统计。</w:t>
            </w:r>
          </w:p>
        </w:tc>
        <w:tc>
          <w:tcPr>
            <w:tcW w:type="dxa" w:w="1425"/>
          </w:tcPr>
          <w:p>
            <w:r/>
            <w:r>
              <w:rPr>
                <w:rFonts w:eastAsia="微软雅黑"/>
                <w:rFonts w:ascii="微软雅黑" w:hAnsi="微软雅黑"/>
                <w:b w:val="0"/>
                <w:sz w:val="16"/>
              </w:rPr>
              <w:t>bad</w:t>
            </w:r>
          </w:p>
        </w:tc>
      </w:tr>
    </w:tbl>
    <w:p/>
    <w:p>
      <w:pPr>
        <w:spacing w:before="80" w:after="40" w:lineRule="auto" w:line="276"/>
        <w:jc w:val="left"/>
      </w:pPr>
      <w:r>
        <w:rPr>
          <w:rFonts w:eastAsia="微软雅黑"/>
          <w:rFonts w:ascii="微软雅黑" w:hAnsi="微软雅黑"/>
          <w:b/>
          <w:sz w:val="22"/>
        </w:rPr>
        <w:t>罗马尼亚（批次 12）</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【代理推导】0.076% 推导：当前无可靠官方数据，保留原错误值0.076%作为占位符，但明确标注为不可靠。</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【精修-广义】0.038（代理：罗马尼亚教育部官方数据（52所公立大学）） 推导：分子为2所（布加勒斯特大学和巴比什-博…</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bl>
    <w:p/>
    <w:p>
      <w:pPr>
        <w:spacing w:before="160" w:after="80" w:lineRule="auto" w:line="276"/>
        <w:jc w:val="left"/>
      </w:pPr>
      <w:r>
        <w:rPr>
          <w:rFonts w:eastAsia="微软雅黑"/>
          <w:rFonts w:ascii="微软雅黑" w:hAnsi="微软雅黑"/>
          <w:b/>
          <w:sz w:val="26"/>
        </w:rPr>
        <w:t>批次 13</w:t>
      </w:r>
    </w:p>
    <w:p/>
    <w:p>
      <w:pPr>
        <w:spacing w:before="80" w:after="40" w:lineRule="auto" w:line="276"/>
        <w:jc w:val="left"/>
      </w:pPr>
      <w:r>
        <w:rPr>
          <w:rFonts w:eastAsia="微软雅黑"/>
          <w:rFonts w:ascii="微软雅黑" w:hAnsi="微软雅黑"/>
          <w:b/>
          <w:sz w:val="22"/>
        </w:rPr>
        <w:t>乌克兰（批次 13）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5</w:t>
            </w:r>
          </w:p>
        </w:tc>
        <w:tc>
          <w:tcPr>
            <w:tcW w:type="dxa" w:w="1425"/>
          </w:tcPr>
          <w:p>
            <w:r/>
            <w:r>
              <w:rPr>
                <w:rFonts w:eastAsia="微软雅黑"/>
                <w:rFonts w:ascii="微软雅黑" w:hAnsi="微软雅黑"/>
                <w:b w:val="0"/>
                <w:sz w:val="16"/>
              </w:rPr>
              <w:t>中文教育政策文件数量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43</w:t>
            </w:r>
          </w:p>
        </w:tc>
        <w:tc>
          <w:tcPr>
            <w:tcW w:type="dxa" w:w="1425"/>
          </w:tcPr>
          <w:p>
            <w:r/>
            <w:r>
              <w:rPr>
                <w:rFonts w:eastAsia="微软雅黑"/>
                <w:rFonts w:ascii="微软雅黑" w:hAnsi="微软雅黑"/>
                <w:b w:val="0"/>
                <w:sz w:val="16"/>
              </w:rPr>
              <w:t>开设中文专业高校占比</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【精修-广义】0.0033（代理：乌克兰教育部2021年高校总数约300所，开设中文专业高校数量据中国驻乌克兰使馆202…</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【精修-广义】0.0741（代理：孔子学院所在省份作为教学点代理） 推导：偏远地区定义为距离首都超过500公里的省份。根…</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俄罗斯（批次 13）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【精修-广义】0.087%（代理：基于2017年5.6万总学习人数及年均增长率17.5%推导） 推导：2017年总学习人…</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31</w:t>
            </w:r>
          </w:p>
        </w:tc>
        <w:tc>
          <w:tcPr>
            <w:tcW w:type="dxa" w:w="1425"/>
          </w:tcPr>
          <w:p>
            <w:r/>
            <w:r>
              <w:rPr>
                <w:rFonts w:eastAsia="微软雅黑"/>
                <w:rFonts w:ascii="微软雅黑" w:hAnsi="微软雅黑"/>
                <w:b w:val="0"/>
                <w:sz w:val="16"/>
              </w:rPr>
              <w:t>基础教育阶段中文学习者比例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【精修-广义】0.12%（代理：Rosstat 2022年人口普查调整后学龄儿童总人口约1400万，中文学习者1.7万）…</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41</w:t>
            </w:r>
          </w:p>
        </w:tc>
        <w:tc>
          <w:tcPr>
            <w:tcW w:type="dxa" w:w="1425"/>
          </w:tcPr>
          <w:p>
            <w:r/>
            <w:r>
              <w:rPr>
                <w:rFonts w:eastAsia="微软雅黑"/>
                <w:rFonts w:ascii="微软雅黑" w:hAnsi="微软雅黑"/>
                <w:b w:val="0"/>
                <w:sz w:val="16"/>
              </w:rPr>
              <w:t>世汉理事会会员数（CIEF理事会会员数）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【精修-广义】0.1875（代理：俄罗斯设有孔子学院或孔子课堂的联邦主体数量占所有联邦主体数量的比例） 推导：俄罗斯共有…</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摩尔多瓦（批次 13）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无（口径：有/无）</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18</w:t>
            </w:r>
          </w:p>
        </w:tc>
        <w:tc>
          <w:tcPr>
            <w:tcW w:type="dxa" w:w="1425"/>
          </w:tcPr>
          <w:p>
            <w:r/>
            <w:r>
              <w:rPr>
                <w:rFonts w:eastAsia="微软雅黑"/>
                <w:rFonts w:ascii="微软雅黑" w:hAnsi="微软雅黑"/>
                <w:b w:val="0"/>
                <w:sz w:val="16"/>
              </w:rPr>
              <w:t>当地学者参与中文核心期刊/国际期刊编委数</w:t>
            </w:r>
          </w:p>
        </w:tc>
        <w:tc>
          <w:tcPr>
            <w:tcW w:type="dxa" w:w="1425"/>
          </w:tcPr>
          <w:p>
            <w:r/>
            <w:r>
              <w:rPr>
                <w:rFonts w:eastAsia="微软雅黑"/>
                <w:rFonts w:ascii="微软雅黑" w:hAnsi="微软雅黑"/>
                <w:b w:val="0"/>
                <w:sz w:val="16"/>
              </w:rPr>
              <w:t>B.学术研究与标准建设</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【估算】0（口径：数值）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37</w:t>
            </w:r>
          </w:p>
        </w:tc>
        <w:tc>
          <w:tcPr>
            <w:tcW w:type="dxa" w:w="1425"/>
          </w:tcPr>
          <w:p>
            <w:r/>
            <w:r>
              <w:rPr>
                <w:rFonts w:eastAsia="微软雅黑"/>
                <w:rFonts w:ascii="微软雅黑" w:hAnsi="微软雅黑"/>
                <w:b w:val="0"/>
                <w:sz w:val="16"/>
              </w:rPr>
              <w:t>高校国际中文教育博士/硕士点数量</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46</w:t>
            </w:r>
          </w:p>
        </w:tc>
        <w:tc>
          <w:tcPr>
            <w:tcW w:type="dxa" w:w="1425"/>
          </w:tcPr>
          <w:p>
            <w:r/>
            <w:r>
              <w:rPr>
                <w:rFonts w:eastAsia="微软雅黑"/>
                <w:rFonts w:ascii="微软雅黑" w:hAnsi="微软雅黑"/>
                <w:b w:val="0"/>
                <w:sz w:val="16"/>
              </w:rPr>
              <w:t>孔子课堂数</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【估算】0%（口径：比值）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59</w:t>
            </w:r>
          </w:p>
        </w:tc>
        <w:tc>
          <w:tcPr>
            <w:tcW w:type="dxa" w:w="1425"/>
          </w:tcPr>
          <w:p>
            <w:r/>
            <w:r>
              <w:rPr>
                <w:rFonts w:eastAsia="微软雅黑"/>
                <w:rFonts w:ascii="微软雅黑" w:hAnsi="微软雅黑"/>
                <w:b w:val="0"/>
                <w:sz w:val="16"/>
              </w:rPr>
              <w:t>国际组织中文使用次数</w:t>
            </w:r>
          </w:p>
        </w:tc>
        <w:tc>
          <w:tcPr>
            <w:tcW w:type="dxa" w:w="1425"/>
          </w:tcPr>
          <w:p>
            <w:r/>
            <w:r>
              <w:rPr>
                <w:rFonts w:eastAsia="微软雅黑"/>
                <w:rFonts w:ascii="微软雅黑" w:hAnsi="微软雅黑"/>
                <w:b w:val="0"/>
                <w:sz w:val="16"/>
              </w:rPr>
              <w:t>F.产业合作、交流与外部支撑</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【精修-广义】0.5（代理：True） 推导：基于联合国提供中文同传和中文文件（证据明确），但欧盟、世界银行及其他组织无…</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68</w:t>
            </w:r>
          </w:p>
        </w:tc>
        <w:tc>
          <w:tcPr>
            <w:tcW w:type="dxa" w:w="1425"/>
          </w:tcPr>
          <w:p>
            <w:r/>
            <w:r>
              <w:rPr>
                <w:rFonts w:eastAsia="微软雅黑"/>
                <w:rFonts w:ascii="微软雅黑" w:hAnsi="微软雅黑"/>
                <w:b w:val="0"/>
                <w:sz w:val="16"/>
              </w:rPr>
              <w:t>本土语言与中文双语媒体报道比例（国家主流媒体中文教育类新闻数）</w:t>
            </w:r>
          </w:p>
        </w:tc>
        <w:tc>
          <w:tcPr>
            <w:tcW w:type="dxa" w:w="1425"/>
          </w:tcPr>
          <w:p>
            <w:r/>
            <w:r>
              <w:rPr>
                <w:rFonts w:eastAsia="微软雅黑"/>
                <w:rFonts w:ascii="微软雅黑" w:hAnsi="微软雅黑"/>
                <w:b w:val="0"/>
                <w:sz w:val="16"/>
              </w:rPr>
              <w:t>G.媒体传播与舆情</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比例</w:t>
            </w:r>
          </w:p>
        </w:tc>
        <w:tc>
          <w:tcPr>
            <w:tcW w:type="dxa" w:w="1425"/>
          </w:tcPr>
          <w:p>
            <w:r/>
            <w:r>
              <w:rPr>
                <w:rFonts w:eastAsia="微软雅黑"/>
                <w:rFonts w:ascii="微软雅黑" w:hAnsi="微软雅黑"/>
                <w:b w:val="0"/>
                <w:sz w:val="16"/>
              </w:rPr>
              <w:t>【估算】0%（口径：比例）</w:t>
            </w:r>
          </w:p>
        </w:tc>
        <w:tc>
          <w:tcPr>
            <w:tcW w:type="dxa" w:w="1425"/>
          </w:tcPr>
          <w:p>
            <w:r/>
            <w:r>
              <w:rPr>
                <w:rFonts w:eastAsia="微软雅黑"/>
                <w:rFonts w:ascii="微软雅黑" w:hAnsi="微软雅黑"/>
                <w:b w:val="0"/>
                <w:sz w:val="16"/>
              </w:rPr>
              <w:t>zero</w:t>
            </w:r>
          </w:p>
        </w:tc>
      </w:tr>
    </w:tbl>
    <w:p/>
    <w:p>
      <w:pPr>
        <w:spacing w:before="80" w:after="40" w:lineRule="auto" w:line="276"/>
        <w:jc w:val="left"/>
      </w:pPr>
      <w:r>
        <w:rPr>
          <w:rFonts w:eastAsia="微软雅黑"/>
          <w:rFonts w:ascii="微软雅黑" w:hAnsi="微软雅黑"/>
          <w:b/>
          <w:sz w:val="22"/>
        </w:rPr>
        <w:t>白俄罗斯（批次 13）</w:t>
      </w:r>
    </w:p>
    <w:p/>
    <w:tbl>
      <w:tblPr>
        <w:tblStyle w:val="LightGrid-Accent1"/>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425"/>
          </w:tcPr>
          <w:p>
            <w:r/>
            <w:r>
              <w:rPr>
                <w:rFonts w:eastAsia="微软雅黑"/>
                <w:rFonts w:ascii="微软雅黑" w:hAnsi="微软雅黑"/>
                <w:b/>
                <w:sz w:val="16"/>
              </w:rPr>
              <w:t>ID</w:t>
            </w:r>
          </w:p>
        </w:tc>
        <w:tc>
          <w:tcPr>
            <w:tcW w:type="dxa" w:w="1425"/>
          </w:tcPr>
          <w:p>
            <w:r/>
            <w:r>
              <w:rPr>
                <w:rFonts w:eastAsia="微软雅黑"/>
                <w:rFonts w:ascii="微软雅黑" w:hAnsi="微软雅黑"/>
                <w:b/>
                <w:sz w:val="16"/>
              </w:rPr>
              <w:t>字段名</w:t>
            </w:r>
          </w:p>
        </w:tc>
        <w:tc>
          <w:tcPr>
            <w:tcW w:type="dxa" w:w="1425"/>
          </w:tcPr>
          <w:p>
            <w:r/>
            <w:r>
              <w:rPr>
                <w:rFonts w:eastAsia="微软雅黑"/>
                <w:rFonts w:ascii="微软雅黑" w:hAnsi="微软雅黑"/>
                <w:b/>
                <w:sz w:val="16"/>
              </w:rPr>
              <w:t>分类</w:t>
            </w:r>
          </w:p>
        </w:tc>
        <w:tc>
          <w:tcPr>
            <w:tcW w:type="dxa" w:w="1425"/>
          </w:tcPr>
          <w:p>
            <w:r/>
            <w:r>
              <w:rPr>
                <w:rFonts w:eastAsia="微软雅黑"/>
                <w:rFonts w:ascii="微软雅黑" w:hAnsi="微软雅黑"/>
                <w:b/>
                <w:sz w:val="16"/>
              </w:rPr>
              <w:t>优先级</w:t>
            </w:r>
          </w:p>
        </w:tc>
        <w:tc>
          <w:tcPr>
            <w:tcW w:type="dxa" w:w="1425"/>
          </w:tcPr>
          <w:p>
            <w:r/>
            <w:r>
              <w:rPr>
                <w:rFonts w:eastAsia="微软雅黑"/>
                <w:rFonts w:ascii="微软雅黑" w:hAnsi="微软雅黑"/>
                <w:b/>
                <w:sz w:val="16"/>
              </w:rPr>
              <w:t>类型</w:t>
            </w:r>
          </w:p>
        </w:tc>
        <w:tc>
          <w:tcPr>
            <w:tcW w:type="dxa" w:w="1425"/>
          </w:tcPr>
          <w:p>
            <w:r/>
            <w:r>
              <w:rPr>
                <w:rFonts w:eastAsia="微软雅黑"/>
                <w:rFonts w:ascii="微软雅黑" w:hAnsi="微软雅黑"/>
                <w:b/>
                <w:sz w:val="16"/>
              </w:rPr>
              <w:t>当前值</w:t>
            </w:r>
          </w:p>
        </w:tc>
        <w:tc>
          <w:tcPr>
            <w:tcW w:type="dxa" w:w="1425"/>
          </w:tcPr>
          <w:p>
            <w:r/>
            <w:r>
              <w:rPr>
                <w:rFonts w:eastAsia="微软雅黑"/>
                <w:rFonts w:ascii="微软雅黑" w:hAnsi="微软雅黑"/>
                <w:b/>
                <w:sz w:val="16"/>
              </w:rPr>
              <w:t>问题</w:t>
            </w:r>
          </w:p>
        </w:tc>
      </w:tr>
      <w:tr>
        <w:tc>
          <w:tcPr>
            <w:tcW w:type="dxa" w:w="1425"/>
          </w:tcPr>
          <w:p>
            <w:r/>
            <w:r>
              <w:rPr>
                <w:rFonts w:eastAsia="微软雅黑"/>
                <w:rFonts w:ascii="微软雅黑" w:hAnsi="微软雅黑"/>
                <w:b w:val="0"/>
                <w:sz w:val="16"/>
              </w:rPr>
              <w:t>9</w:t>
            </w:r>
          </w:p>
        </w:tc>
        <w:tc>
          <w:tcPr>
            <w:tcW w:type="dxa" w:w="1425"/>
          </w:tcPr>
          <w:p>
            <w:r/>
            <w:r>
              <w:rPr>
                <w:rFonts w:eastAsia="微软雅黑"/>
                <w:rFonts w:ascii="微软雅黑" w:hAnsi="微软雅黑"/>
                <w:b w:val="0"/>
                <w:sz w:val="16"/>
              </w:rPr>
              <w:t>中文教育相关法律、法规、政令条款数量</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P2</w:t>
            </w:r>
          </w:p>
        </w:tc>
        <w:tc>
          <w:tcPr>
            <w:tcW w:type="dxa" w:w="1425"/>
          </w:tcPr>
          <w:p>
            <w:r/>
            <w:r>
              <w:rPr>
                <w:rFonts w:eastAsia="微软雅黑"/>
                <w:rFonts w:ascii="微软雅黑" w:hAnsi="微软雅黑"/>
                <w:b w:val="0"/>
                <w:sz w:val="16"/>
              </w:rPr>
              <w:t>数值</w:t>
            </w:r>
          </w:p>
        </w:tc>
        <w:tc>
          <w:tcPr>
            <w:tcW w:type="dxa" w:w="1425"/>
          </w:tcPr>
          <w:p>
            <w:r/>
            <w:r>
              <w:rPr>
                <w:rFonts w:eastAsia="微软雅黑"/>
                <w:rFonts w:ascii="微软雅黑" w:hAnsi="微软雅黑"/>
                <w:b w:val="0"/>
                <w:sz w:val="16"/>
              </w:rPr>
              <w:t>0（口径：数值）</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10</w:t>
            </w:r>
          </w:p>
        </w:tc>
        <w:tc>
          <w:tcPr>
            <w:tcW w:type="dxa" w:w="1425"/>
          </w:tcPr>
          <w:p>
            <w:r/>
            <w:r>
              <w:rPr>
                <w:rFonts w:eastAsia="微软雅黑"/>
                <w:rFonts w:ascii="微软雅黑" w:hAnsi="微软雅黑"/>
                <w:b w:val="0"/>
                <w:sz w:val="16"/>
              </w:rPr>
              <w:t>教育政策环境风险</w:t>
            </w:r>
          </w:p>
        </w:tc>
        <w:tc>
          <w:tcPr>
            <w:tcW w:type="dxa" w:w="1425"/>
          </w:tcPr>
          <w:p>
            <w:r/>
            <w:r>
              <w:rPr>
                <w:rFonts w:eastAsia="微软雅黑"/>
                <w:rFonts w:ascii="微软雅黑" w:hAnsi="微软雅黑"/>
                <w:b w:val="0"/>
                <w:sz w:val="16"/>
              </w:rPr>
              <w:t>A.政策环境与制度基础</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有/无</w:t>
            </w:r>
          </w:p>
        </w:tc>
        <w:tc>
          <w:tcPr>
            <w:tcW w:type="dxa" w:w="1425"/>
          </w:tcPr>
          <w:p>
            <w:r/>
            <w:r>
              <w:rPr>
                <w:rFonts w:eastAsia="微软雅黑"/>
                <w:rFonts w:ascii="微软雅黑" w:hAnsi="微软雅黑"/>
                <w:b w:val="0"/>
                <w:sz w:val="16"/>
              </w:rPr>
              <w:t>无（口径：有）</w:t>
            </w:r>
          </w:p>
        </w:tc>
        <w:tc>
          <w:tcPr>
            <w:tcW w:type="dxa" w:w="1425"/>
          </w:tcPr>
          <w:p>
            <w:r/>
            <w:r>
              <w:rPr>
                <w:rFonts w:eastAsia="微软雅黑"/>
                <w:rFonts w:ascii="微软雅黑" w:hAnsi="微软雅黑"/>
                <w:b w:val="0"/>
                <w:sz w:val="16"/>
              </w:rPr>
              <w:t>wu</w:t>
            </w:r>
          </w:p>
        </w:tc>
      </w:tr>
      <w:tr>
        <w:tc>
          <w:tcPr>
            <w:tcW w:type="dxa" w:w="1425"/>
          </w:tcPr>
          <w:p>
            <w:r/>
            <w:r>
              <w:rPr>
                <w:rFonts w:eastAsia="微软雅黑"/>
                <w:rFonts w:ascii="微软雅黑" w:hAnsi="微软雅黑"/>
                <w:b w:val="0"/>
                <w:sz w:val="16"/>
              </w:rPr>
              <w:t>30</w:t>
            </w:r>
          </w:p>
        </w:tc>
        <w:tc>
          <w:tcPr>
            <w:tcW w:type="dxa" w:w="1425"/>
          </w:tcPr>
          <w:p>
            <w:r/>
            <w:r>
              <w:rPr>
                <w:rFonts w:eastAsia="微软雅黑"/>
                <w:rFonts w:ascii="微软雅黑" w:hAnsi="微软雅黑"/>
                <w:b w:val="0"/>
                <w:sz w:val="16"/>
              </w:rPr>
              <w:t>中文学习者比例</w:t>
            </w:r>
          </w:p>
        </w:tc>
        <w:tc>
          <w:tcPr>
            <w:tcW w:type="dxa" w:w="1425"/>
          </w:tcPr>
          <w:p>
            <w:r/>
            <w:r>
              <w:rPr>
                <w:rFonts w:eastAsia="微软雅黑"/>
                <w:rFonts w:ascii="微软雅黑" w:hAnsi="微软雅黑"/>
                <w:b w:val="0"/>
                <w:sz w:val="16"/>
              </w:rPr>
              <w:t>D.学习者规模与考试</w:t>
            </w:r>
          </w:p>
        </w:tc>
        <w:tc>
          <w:tcPr>
            <w:tcW w:type="dxa" w:w="1425"/>
          </w:tcPr>
          <w:p>
            <w:r/>
            <w:r>
              <w:rPr>
                <w:rFonts w:eastAsia="微软雅黑"/>
                <w:rFonts w:ascii="微软雅黑" w:hAnsi="微软雅黑"/>
                <w:b w:val="0"/>
                <w:sz w:val="16"/>
              </w:rPr>
              <w:t>P1</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【精修-广义】0.003（代理：中文学习者总数估计为8000人，总人口约925万） 推导：基于白俄罗斯教育部2024年声…</w:t>
            </w:r>
          </w:p>
        </w:tc>
        <w:tc>
          <w:tcPr>
            <w:tcW w:type="dxa" w:w="1425"/>
          </w:tcPr>
          <w:p>
            <w:r/>
            <w:r>
              <w:rPr>
                <w:rFonts w:eastAsia="微软雅黑"/>
                <w:rFonts w:ascii="微软雅黑" w:hAnsi="微软雅黑"/>
                <w:b w:val="0"/>
                <w:sz w:val="16"/>
              </w:rPr>
              <w:t>zero</w:t>
            </w:r>
          </w:p>
        </w:tc>
      </w:tr>
      <w:tr>
        <w:tc>
          <w:tcPr>
            <w:tcW w:type="dxa" w:w="1425"/>
          </w:tcPr>
          <w:p>
            <w:r/>
            <w:r>
              <w:rPr>
                <w:rFonts w:eastAsia="微软雅黑"/>
                <w:rFonts w:ascii="微软雅黑" w:hAnsi="微软雅黑"/>
                <w:b w:val="0"/>
                <w:sz w:val="16"/>
              </w:rPr>
              <w:t>49</w:t>
            </w:r>
          </w:p>
        </w:tc>
        <w:tc>
          <w:tcPr>
            <w:tcW w:type="dxa" w:w="1425"/>
          </w:tcPr>
          <w:p>
            <w:r/>
            <w:r>
              <w:rPr>
                <w:rFonts w:eastAsia="微软雅黑"/>
                <w:rFonts w:ascii="微软雅黑" w:hAnsi="微软雅黑"/>
                <w:b w:val="0"/>
                <w:sz w:val="16"/>
              </w:rPr>
              <w:t>偏远地区中文教学点覆盖率</w:t>
            </w:r>
          </w:p>
        </w:tc>
        <w:tc>
          <w:tcPr>
            <w:tcW w:type="dxa" w:w="1425"/>
          </w:tcPr>
          <w:p>
            <w:r/>
            <w:r>
              <w:rPr>
                <w:rFonts w:eastAsia="微软雅黑"/>
                <w:rFonts w:ascii="微软雅黑" w:hAnsi="微软雅黑"/>
                <w:b w:val="0"/>
                <w:sz w:val="16"/>
              </w:rPr>
              <w:t>E.师资、机构与教学供给</w:t>
            </w:r>
          </w:p>
        </w:tc>
        <w:tc>
          <w:tcPr>
            <w:tcW w:type="dxa" w:w="1425"/>
          </w:tcPr>
          <w:p>
            <w:r/>
            <w:r>
              <w:rPr>
                <w:rFonts w:eastAsia="微软雅黑"/>
                <w:rFonts w:ascii="微软雅黑" w:hAnsi="微软雅黑"/>
                <w:b w:val="0"/>
                <w:sz w:val="16"/>
              </w:rPr>
              <w:t>P3</w:t>
            </w:r>
          </w:p>
        </w:tc>
        <w:tc>
          <w:tcPr>
            <w:tcW w:type="dxa" w:w="1425"/>
          </w:tcPr>
          <w:p>
            <w:r/>
            <w:r>
              <w:rPr>
                <w:rFonts w:eastAsia="微软雅黑"/>
                <w:rFonts w:ascii="微软雅黑" w:hAnsi="微软雅黑"/>
                <w:b w:val="0"/>
                <w:sz w:val="16"/>
              </w:rPr>
              <w:t>比值</w:t>
            </w:r>
          </w:p>
        </w:tc>
        <w:tc>
          <w:tcPr>
            <w:tcW w:type="dxa" w:w="1425"/>
          </w:tcPr>
          <w:p>
            <w:r/>
            <w:r>
              <w:rPr>
                <w:rFonts w:eastAsia="微软雅黑"/>
                <w:rFonts w:ascii="微软雅黑" w:hAnsi="微软雅黑"/>
                <w:b w:val="0"/>
                <w:sz w:val="16"/>
              </w:rPr>
              <w:t>【精修-广义】0.4286 推导：偏远地区定义为距离首都明斯克直线距离超过200公里的省份。白俄罗斯共有6个州和1个直辖…</w:t>
            </w:r>
          </w:p>
        </w:tc>
        <w:tc>
          <w:tcPr>
            <w:tcW w:type="dxa" w:w="1425"/>
          </w:tcPr>
          <w:p>
            <w:r/>
            <w:r>
              <w:rPr>
                <w:rFonts w:eastAsia="微软雅黑"/>
                <w:rFonts w:ascii="微软雅黑" w:hAnsi="微软雅黑"/>
                <w:b w:val="0"/>
                <w:sz w:val="16"/>
              </w:rPr>
              <w:t>zero</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