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美空军协会下属米切尔航空航天研究所的战略态势、涉台互动及开源情报运作深度解析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引言与战略背景视域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当前大国竞争日益加剧、印太地区安全架构经历深刻重塑的历史坐标下，防务智库已不再仅仅是政策概念的孵化器，而是演变为国家战略威慑、军事情报共享以及技术研发导向的非官方中枢。作为美国首都华盛顿特区内唯一一家专门聚焦于航空航天力量的高级别独立无党派研究机构，隶属于美国空军与太空军协会（Air and Space Forces Association, AFA）的米切尔航空航天研究所（The Mitchell Institute for Aerospace Studies）在这一进程中占据了核心节点位置。该机构的命名源自美国陆军准将、早期空中力量理论先驱威廉·米切尔（William Mitchell），深刻反映了其核心愿景：确立并在多域作战中维持美国在天空与太空领域的绝对霸权。</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旨在对米切尔航空航天研究所的组织生态进行详尽的全息解析，深入剖析其资金链条与军工复合体的内在联结，系统梳理该机构与台湾地区党政军及情报体系（特别是国家安全局与相关军情智库）的深度互动与情报共振机制，并从开源情报（OSINT）方法论的角度，对其近期发布的标志性情报产品《中国空军/航空航天追踪器》（China Airpower Tracker）的数据来源、分析逻辑及战略溢出效应展开详尽的解构与论证。</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研究所核心构架：领导体系与军工资金的深度融合</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的运作机制展现出典型的“旋转门”特征与军政产学研高度一体化的生态模式。其使命被明确划分为三大支柱：为国家安全辩论提供事实依据与信息支持（Informing）、阐释航空航天力量在捍卫美国全球利益中的核心作用（Educating），以及培养具备航空航天战略思维的顶尖人才（Cultivating）。为了实现这些目标，该研究所构建了一个由具备深厚实战指挥经验、情报背景及防务采办履历的资深专家组成的领导与研究矩阵。</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领导体系与战略研究矩阵</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研究所的核心班底设计并非单纯的学术堆砌，而是精准覆盖了从传统空中打击、未来太空威慑到自主系统与对华开源情报分析的各个战略前沿领域。</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核心人员与职务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核心军政背景与实战履历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战略研究聚焦与政策导向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David A. Deptula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院长 (Dean)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退役空军中将。曾任“沙漠风暴”行动（Operation Desert Storm）主攻击计划制定者，以及2001年阿富汗空战指挥官。拥有超3000小时战斗机飞行经验，曾任空军首任情报、监视与侦察（ISR）主管。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长期致力于推动美国空军部队结构现代化，主张加速B-21隐身轰炸机及下一代空中优势（NGAD）项目，解决空军预算被其他机构提取（Pass-through funding）的系统性问题，以恢复“组织、训练和装备”的本职能力。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Doug Birkey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执行主任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曾任美国参议员防务幕僚及空军协会（AFA）政府关系主任。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负责研究所的研究议程制定、利益相关者战略规划，并直接主导与美国国会及国防部高层的沟通与政策游说。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 Gunzinger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未来概念与能力评估主任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退役空军上校。拥有超3000小时B-52轰炸机飞行经验，曾任美国国家安全委员会幕僚及国防部部队转型与资源副助理部长。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专注大国竞争背景下的精确打击能力演进，深入研究定向能武器（Directed Energy）、电磁频谱主导权以及纵深穿透打击战略。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Heather Penney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研究与探索主任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曾在华盛顿特区空军国民警卫队驾驶F-16战斗机，并在国防工业界拥有十余年预算及项目执行经验。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聚焦自主系统（Autonomy）、无人机集群作战、数据权限以及未来部队结构的优化与重塑。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Kevin P. Chilton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MI-SPACE探索者主席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退役空军上将。曾任美国战略司令部（USSTRATCOM）司令，并作为NASA宇航员担任过航天飞机指挥官。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主导太空力量优势中心（MI-SPACE），聚焦太空防御、轨道威慑及天基情报架构。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 Michael Dahm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航空航天与中国研究高级驻院研究员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退役美国海军情报官员，服役超25年。曾在多所防务院校讲授中国军事课程。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专注于针对中国人民解放军（PLA）的开源情报分析、C4ISR系统解构、海空军跨海距投送能力评估及台海冲突兵棋推演。</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人员配置结构揭示了米切尔研究所的双重属性：一方面，其高层（如Deptula、Chilton）利用其在军方积累的深厚人脉与威望，直接参与高层战略制定；另一方面，具体的研究梯队（如Gunzinger、Dahm、Penney）则通过扎实的技术与情报分析，为这些高层构想提供数据支撑。例如，院长Deptula就曾在公开场合及兵棋推演中明确指出，若要在西太平洋应对中国日益增长的区域拒止/反介入（A2/AD）威胁，美国必须优先升级远程穿透性打击能力，并在分布式作战网络中实现全域协同（All-Domain Synergy）。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资金链条：军工复合体的利益纽带与技术指引</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作为一家具备501(c)(3)免税资质的公共慈善机构（EIN: 52-6043929），米切尔研究所的资金底座深刻嵌入了美国庞大的军工复合体生态圈。其资金来源结构主要通过政府拨款、企业合同、基金会捐助及拥有特定政治经济背景的私人赞助构成。通过系统梳理其近年来的官方赞助商名单，可以清晰地识别出该研究所研究议程背后的资本与技术推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赞助商类别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代表性企业与机构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对应的研究所战略倡导领域与技术交集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传统军工巨头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洛克希德·马丁 (Lockheed Martin)、波音 (Boeing)、诺斯罗普·格鲁曼 (Northrop Grumman)、通用动力 (General Dynamics)、BAE Systems、雷神技术 (RTX) 及其子系统供应商。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长期推动F-35战斗机的足额采购、B-21 Raider隐身轰炸机的发展、高超音速武器的部署以及现有B-1B和B-2轰炸机机队的延寿计划。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新兴国防科技与AI企业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Anduril、Shield AI、Vast Space、Voyager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高度契合研究所关于人工智能、自主飞行员系统、协同作战飞机（CCA）以及太空商业化在军民融合中应用的理论研究。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无人机与非对称作战系统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通用原子 (General Atomics)、Kratos Defense。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倡导发展低成本、可消耗无人机集群，以及MQ-9 Reaper等成熟无人机平台在大国竞争中的再利用策略。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信息、太空与数据融合服务商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Leidos、CACI、CAE、COMSPOC、Dell Technologies、L3Harris。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支撑研究所对于联合全域指挥与控制（JADC2）、天基态势感知、太空域动态作战（Dynamic Space Operations）及网络安全的政策游说。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关键私人赞助者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Neal Blue（通用原子公司董事长）、Ross Perot Jr.、Lawrence Kadish 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体现了具有强硬防务立场的政商界精英对研究所独立政策研究和公众教育活动的隐性支持。</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所通过持续发布高质量的政策报告，不仅为军方的预算申请提供了理论背书，更为上述赞助商的产品线确立了“战略不可或缺性”。此外，研究所利用其播客平台及捐款平台等现代传播手段，不断拓展其在公众认知层面的影响力与资金筹集能力。</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深度共振：米切尔研究所与台湾地区党政军及情报体系的互动</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在印太地缘政治的棋局中，台湾地区是美国空海力量前沿威慑的核心支轴。米切尔研究所作为专注于航空航天战略的顶级智库，与台湾地区的党政高层、军事体系及情报机构（特别是国家安全局 NSB）形成了一套非正式但高效的“第二轨道”（Track 2）交流机制。这种机制并非单纯的学术探讨，而是涵盖了情报印证、威胁感知对齐以及防御战略输出的深层次战略协同。</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台湾国家安全局（NSB）与军情系统的情报视域融合</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湾国家安全局作为统筹台湾地区情报与特种勤务的最高机构，其面临的防务压力与米切尔研究所的研究靶点高度重合。近年来，随着中国大陆在台海周边的军事活动常态化以及“灰色地带”策略的升级，台湾国安与军情系统的焦虑感与日俱增。</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在信息战与网络渗透维度，台湾国安局面临巨大的防御压力。米切尔研究所对此类情报的安全环境给予了高度关注。研究所的高级研究员 J. Michael Dahm 曾详尽剖析了中国人民解放军战略支援部队的运作机制，指出解放军的指挥、控制、通信、计算机、情报及监视与侦察（C4ISR）系统深入参与了对台湾的心理战、网络战与电子战。基于这些研判，美国防务界与米切尔研究所的政策网络强烈建议美国必须扩大与台湾国安局及军情部门的情报共享（Intelligence Sharing）层级，强化反间谍及网络防御漏洞。</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物理空间的安全管控上，台湾国安局加强了对台海周边海域船只的监控机制。这一安全政策与米切尔研究所对中国非传统军事手段的研究形成了跨洋呼应。例如，米切尔研究所通过深入研究中国庞大的海事监控网络以及征用民用滚装船（RO-RO）支持越海两栖作战的潜力，为台湾国安局强化海域态势感知提供了坚实的第三方外部理论验证。</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国防安全研究院（INDSR）的学术嵌合与战略协同</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在智库交流层面，台湾军方支持的官方核心智库——国防安全研究院（Institute for National Defense and Security Research, INDSR）与米切尔研究所构建了紧密的文件引用与人员互动关系。INDSR 承担着为台湾防务部门提供决策参考的重任，其出版物大量、高频次地将米切尔研究所的研究成果作为权威依据，用于评估解放军的威胁及规划台湾的不对称防御框架。</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NDSR极度依赖米切尔研究所发布的报告及播客内容。在涉及美国印太战略转型的评估中，台湾INDSR深刻认同并引入了米切尔研究所关于重塑美国空军建军方向的政策建议。在实际的人员交流中，米切尔研究所的客座高级研究员曾与台湾INDSR的学者及政府官员共同出席国际安全会议，就综合威慑（Integrated Deterrence）策略及大国竞争进行高层级的兵棋推演与学术对话。这种常态化的智库对话，实质上为台美军方之间的战术协调提供了一个极具韧性的柔性沟通平台。</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情报共振与舆论闭环：以J-6无人机饱和攻击模型为例</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米切尔研究所与台湾军政系统的互动中，最引人注目的案例莫过于关于解放军退役歼-6（J-6）战斗机改装为无人攻击机的情报释放与应对。</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米切尔研究所高级研究员 J. Michael Dahm 在其发布的《中国空军追踪器》相关报告中，通过分析卫星图像披露，解放军已在靠近台湾海峡的福建与广东两省的多个空军基地，部署了约200余架改装而成的无人攻击机（UCAV）。Dahm 评估指出，在潜在的战役初期，这些无人机将被当作低成本巡航导弹使用，旨在压制并耗尽台湾及美军的高价值防空系统。</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具备高度战术操作性的开源情报一经发布，立即在台湾防务高层引发了剧烈的情报共振。台湾高级安全官员向媒体证实了该战术旨在探测并消耗防空网络，并坦陈了不愿过度消耗昂贵防空导弹的防御困境。台湾防务部门亦引用评估，将这种无人机战术定义为“不可忽视的不对称作战形式”。这种从美国智库释放情报到台湾国安高层接力验证的过程，形成了一个“情报生成—威胁认知—资源调配”的政策闭环机制。</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方法论解构：《中国空军/航空航天追踪器》的数据来源与运作逻辑</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为应对中国日益增长的空天拒止能力，米切尔研究所近期推出了《中国空军/航空航天追踪器》（China Airpower Tracker）。该平台被定位为评估中国人民解放军空军（PLAAF）能力进展的“权威在线工具”，标志着该研究所从单一的政策倡导者向准军事级别的开源情报（OSINT）提供机构的战略跃升。</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该项目彻底摒弃了传统人力情报（HUMINT）和机密信号情报（SIGINT）的局限，通过对海量多模态非保密数据的极致挖掘与交叉验证，拼凑出解放军空军力量的宏观图景与微观细节。</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数据采集的多维矩阵网络</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《追踪器》的数据采集系统涵盖了四个核心维度的开源信息：</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数据源维度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具体平台与信息载体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情报提取价值与应用场景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高分辨率商业卫星影像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Planet Labs PBC、Maxar Technologies 以及 ESRI World Imagery 提供的历史快照与近期图像。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作为最不可辩驳的视觉基石，用于精确追踪空军基地扩建、机库修筑进度及飞机型号与数量演变。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数字废气与官方宣传的逆向取证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中国官方军事报道、微信公众号、防务展会的模型、以及社交平台上的开源情报爱好者的帖文。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提取无意间暴露的军事装备细节、战术编号及演习设定。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中国军事学说与官方出版文献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《战略学》等学术文献及年度军事发展报告。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将卫星图像与解放军理论作战条令相匹配，反推系统和雷达的战术节点作用。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军民两用设施与后勤数据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民用滚装船（RO-RO）、海底通讯电缆分布图及供应链数据。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追踪大规模演习中军方对民用船舶的征用，评估越海隐性后勤保障能力。</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情报重构机制与专家干预逻辑</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追踪器》并非简单的数据堆砌，而是依赖分析师深厚的军工背景进行逻辑重组的“情报提纯”过程。例如，通过对前沿机场大规模建设的“加固型飞机掩体”（HAS）进行精确的图像计数与工程学评估，推翻了西方防务界认为这些机场仅为临时“部署地点”的旧认知。这种基于微观基础设施变化推导出的宏观战略意图，展示了该研究所开源情报分析体系的极高专业水平。</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附录：米切尔研究所发布的涉华/涉台重点研究报告列表</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根据最新开源数据梳理，米切尔航空航天研究所近年来发布了一系列直接聚焦中国人民解放军（PLA）及台海局势的研究报告与情报产品。以下为最具代表性的涉华研究项目与出版物：</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《中国空军/航空航天追踪器》(China Airpower Tracker)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发布时间：</w:t>
      </w:r>
      <w:r w:rsidDel="00000000" w:rsidR="00000000" w:rsidRPr="00000000">
        <w:rPr>
          <w:rFonts w:ascii="Arial Unicode MS" w:cs="Arial Unicode MS" w:eastAsia="Arial Unicode MS" w:hAnsi="Arial Unicode MS"/>
          <w:color w:val="1f1f1f"/>
          <w:rtl w:val="0"/>
        </w:rPr>
        <w:t xml:space="preserve"> 2026年2月</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核心作者：</w:t>
      </w:r>
      <w:r w:rsidDel="00000000" w:rsidR="00000000" w:rsidRPr="00000000">
        <w:rPr>
          <w:rFonts w:ascii="Arial Unicode MS" w:cs="Arial Unicode MS" w:eastAsia="Arial Unicode MS" w:hAnsi="Arial Unicode MS"/>
          <w:color w:val="1f1f1f"/>
          <w:rtl w:val="0"/>
        </w:rPr>
        <w:t xml:space="preserve"> J. Michael Dahm 等</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报告/产品概要：</w:t>
      </w:r>
      <w:r w:rsidDel="00000000" w:rsidR="00000000" w:rsidRPr="00000000">
        <w:rPr>
          <w:rFonts w:ascii="Arial Unicode MS" w:cs="Arial Unicode MS" w:eastAsia="Arial Unicode MS" w:hAnsi="Arial Unicode MS"/>
          <w:color w:val="1f1f1f"/>
          <w:rtl w:val="0"/>
        </w:rPr>
        <w:t xml:space="preserve"> 这是一个持续更新的在线情报评估平台，结合开源情报与商业高分辨率卫星影像，系统性追踪和可视化中国人民解放军空军（PLAAF）的基地扩建、飞机制造以及武器部署动态。该追踪器特别曝光了解放军在台海前沿基地部署大量由退役歼-6改装的无人攻击机群的战术动向。</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《重建美国空中力量：平衡空军应对同级别冲突的作战力量》(Rebuilding American Airpower: Balancing the Air Force's Combat Forces for Peer Conflict)</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发布时间：</w:t>
      </w:r>
      <w:r w:rsidDel="00000000" w:rsidR="00000000" w:rsidRPr="00000000">
        <w:rPr>
          <w:rFonts w:ascii="Arial Unicode MS" w:cs="Arial Unicode MS" w:eastAsia="Arial Unicode MS" w:hAnsi="Arial Unicode MS"/>
          <w:color w:val="1f1f1f"/>
          <w:rtl w:val="0"/>
        </w:rPr>
        <w:t xml:space="preserve"> 2026年4月</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核心作者：</w:t>
      </w:r>
      <w:r w:rsidDel="00000000" w:rsidR="00000000" w:rsidRPr="00000000">
        <w:rPr>
          <w:rFonts w:ascii="Arial Unicode MS" w:cs="Arial Unicode MS" w:eastAsia="Arial Unicode MS" w:hAnsi="Arial Unicode MS"/>
          <w:color w:val="1f1f1f"/>
          <w:rtl w:val="0"/>
        </w:rPr>
        <w:t xml:space="preserve"> Mark Gunzinger 等</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报告/产品概要：</w:t>
      </w:r>
      <w:r w:rsidDel="00000000" w:rsidR="00000000" w:rsidRPr="00000000">
        <w:rPr>
          <w:rFonts w:ascii="Arial Unicode MS" w:cs="Arial Unicode MS" w:eastAsia="Arial Unicode MS" w:hAnsi="Arial Unicode MS"/>
          <w:color w:val="1f1f1f"/>
          <w:rtl w:val="0"/>
        </w:rPr>
        <w:t xml:space="preserve"> 该报告基于2025年6月进行的一场以“2035年防卫台湾”为假想背景的兵棋推演。研究结论严厉指出，美国空军当前的规模、航程和现代化生存能力不足以在冲突中提供所需的打击密度，无法阻止解放军对台湾完成“不可逆转的登陆”，借此呼吁五角大楼和国会大幅增加战机采购和资金投入。</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《抗击空军基地：在炮火下确保决定性的战斗出动》(Fighting the Air Base: Ensuring Decisive Combat Sortie Generation Under Fire)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发布时间：</w:t>
      </w:r>
      <w:r w:rsidDel="00000000" w:rsidR="00000000" w:rsidRPr="00000000">
        <w:rPr>
          <w:rFonts w:ascii="Arial Unicode MS" w:cs="Arial Unicode MS" w:eastAsia="Arial Unicode MS" w:hAnsi="Arial Unicode MS"/>
          <w:color w:val="1f1f1f"/>
          <w:rtl w:val="0"/>
        </w:rPr>
        <w:t xml:space="preserve"> 2024年 (米切尔政策文件第51卷)</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核心作者：</w:t>
      </w:r>
      <w:r w:rsidDel="00000000" w:rsidR="00000000" w:rsidRPr="00000000">
        <w:rPr>
          <w:rFonts w:ascii="Arial" w:cs="Arial" w:eastAsia="Arial" w:hAnsi="Arial"/>
          <w:color w:val="1f1f1f"/>
          <w:rtl w:val="0"/>
        </w:rPr>
        <w:t xml:space="preserve"> J. Michael Dahm</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报告/产品概要：</w:t>
      </w:r>
      <w:r w:rsidDel="00000000" w:rsidR="00000000" w:rsidRPr="00000000">
        <w:rPr>
          <w:rFonts w:ascii="Arial Unicode MS" w:cs="Arial Unicode MS" w:eastAsia="Arial Unicode MS" w:hAnsi="Arial Unicode MS"/>
          <w:color w:val="1f1f1f"/>
          <w:rtl w:val="0"/>
        </w:rPr>
        <w:t xml:space="preserve"> 报告详细量化评估了中国不断增长的弹道导弹与巡航导弹武库对美国第一及第二岛链（包括日本、关岛及北马里亚纳群岛）的跑道打击威胁。作者为美军及其盟友在面临解放军密集火力压制时，如何实施基地防御、快速跑道修复及维持战机出动率构建了战术损害评估模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《加固机库与无人作战飞机：理解台湾面临的中国威胁》(Hardened Shelters and UCAVs: Understanding The Chinese Threat Facing Taiwan)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发布时间：</w:t>
      </w:r>
      <w:r w:rsidDel="00000000" w:rsidR="00000000" w:rsidRPr="00000000">
        <w:rPr>
          <w:rFonts w:ascii="Arial Unicode MS" w:cs="Arial Unicode MS" w:eastAsia="Arial Unicode MS" w:hAnsi="Arial Unicode MS"/>
          <w:color w:val="1f1f1f"/>
          <w:rtl w:val="0"/>
        </w:rPr>
        <w:t xml:space="preserve"> 2022年11月 (米切尔论坛论文第47期)</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核心作者：</w:t>
      </w:r>
      <w:r w:rsidDel="00000000" w:rsidR="00000000" w:rsidRPr="00000000">
        <w:rPr>
          <w:rFonts w:ascii="Arial" w:cs="Arial" w:eastAsia="Arial" w:hAnsi="Arial"/>
          <w:color w:val="1f1f1f"/>
          <w:rtl w:val="0"/>
        </w:rPr>
        <w:t xml:space="preserve"> Daniel Rice</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Unicode MS" w:cs="Arial Unicode MS" w:eastAsia="Arial Unicode MS" w:hAnsi="Arial Unicode MS"/>
          <w:b w:val="1"/>
          <w:bCs w:val="1"/>
          <w:color w:val="1f1f1f"/>
          <w:rtl w:val="0"/>
        </w:rPr>
        <w:t xml:space="preserve">报告/产品概要：</w:t>
      </w:r>
      <w:r w:rsidDel="00000000" w:rsidR="00000000" w:rsidRPr="00000000">
        <w:rPr>
          <w:rFonts w:ascii="Arial Unicode MS" w:cs="Arial Unicode MS" w:eastAsia="Arial Unicode MS" w:hAnsi="Arial Unicode MS"/>
          <w:color w:val="1f1f1f"/>
          <w:rtl w:val="0"/>
        </w:rPr>
        <w:t xml:space="preserve"> 基于独立的非机密商业卫星图像分析，该报告反驳了当时西方防务界普遍认为靠近台海的中国机场仅为战时临时“部署地点”的结论。报告通过计算大量新建的“加固型飞机掩体”（HAS），论证了解放军已经在台海一线建立起具备永久驻扎能力、可在战时支持大规模无人机消耗战的高存活率前沿基地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结语</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长期的战略深耕，米切尔航空航天研究所已演化为一个具备复合功能的超级防务枢纽。它向内通过吸纳顶尖军工企业的资金支持与前沿技术资源，深刻塑造并引导了美国国防采办与空军现代化的轨迹；向外则通过与台湾国家安全局、国防安全研究院等印太防务节点的深度嵌套，搭建起一座高效的情报共享与战略威慑协同桥梁。</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重要的是，随着《中国空军/航空航天追踪器》的成熟运转，米切尔研究所展示了如何利用高维度的开源情报分析重构现代大国竞争的认知战场。在未来波谲云诡的印太安全局势中，这种集政策倡导、情报生产与区域威慑于一身的新型智库模式，必将在大国战略博弈的演进中发挥越来越难以替代的主导作用。</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Institute for Aerospace Studies, 访问时间为 四月 29, 2026， </w:t>
      </w:r>
      <w:hyperlink r:id="rId6">
        <w:r w:rsidDel="00000000" w:rsidR="00000000" w:rsidRPr="00000000">
          <w:rPr>
            <w:rFonts w:ascii="Arial" w:cs="Arial" w:eastAsia="Arial" w:hAnsi="Arial"/>
            <w:color w:val="0000ee"/>
            <w:sz w:val="24"/>
            <w:szCs w:val="24"/>
            <w:u w:val="single"/>
            <w:rtl w:val="0"/>
          </w:rPr>
          <w:t xml:space="preserve">https://www.mitchellaerospacepower.org/</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F-47 'Doing Exceptionally Well' | Air &amp; Space Forces Magazine %, 访问时间为 四月 29, 2026， </w:t>
      </w:r>
      <w:hyperlink r:id="rId7">
        <w:r w:rsidDel="00000000" w:rsidR="00000000" w:rsidRPr="00000000">
          <w:rPr>
            <w:rFonts w:ascii="Arial" w:cs="Arial" w:eastAsia="Arial" w:hAnsi="Arial"/>
            <w:color w:val="0000ee"/>
            <w:sz w:val="24"/>
            <w:szCs w:val="24"/>
            <w:u w:val="single"/>
            <w:rtl w:val="0"/>
          </w:rPr>
          <w:t xml:space="preserve">https://www.airandspaceforces.com/daily/20260226/</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Cratering Effects: Chinese Missile Threats to US Air Bases in the Indo-Pacific, 访问时间为 四月 29, 2026， </w:t>
      </w:r>
      <w:hyperlink r:id="rId8">
        <w:r w:rsidDel="00000000" w:rsidR="00000000" w:rsidRPr="00000000">
          <w:rPr>
            <w:rFonts w:ascii="Arial" w:cs="Arial" w:eastAsia="Arial" w:hAnsi="Arial"/>
            <w:color w:val="0000ee"/>
            <w:sz w:val="24"/>
            <w:szCs w:val="24"/>
            <w:u w:val="single"/>
            <w:rtl w:val="0"/>
          </w:rPr>
          <w:t xml:space="preserve">https://www.stimson.org/2024/cratering-effects-chinese-missile-threats-to-us-air-bases-in-the-indo-pacific/</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INSTITUTE Policy Paper, 访问时间为 四月 29, 2026， </w:t>
      </w:r>
      <w:hyperlink r:id="rId9">
        <w:r w:rsidDel="00000000" w:rsidR="00000000" w:rsidRPr="00000000">
          <w:rPr>
            <w:rFonts w:ascii="Arial" w:cs="Arial" w:eastAsia="Arial" w:hAnsi="Arial"/>
            <w:color w:val="0000ee"/>
            <w:sz w:val="24"/>
            <w:szCs w:val="24"/>
            <w:u w:val="single"/>
            <w:rtl w:val="0"/>
          </w:rPr>
          <w:t xml:space="preserve">https://www.mitchellaerospacepower.org/app/uploads/2024/07/Fighting-the-Air-Base-Final2.pdf</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Mitchell Forum, 访问时间为 四月 29, 2026， </w:t>
      </w:r>
      <w:hyperlink r:id="rId10">
        <w:r w:rsidDel="00000000" w:rsidR="00000000" w:rsidRPr="00000000">
          <w:rPr>
            <w:rFonts w:ascii="Arial" w:cs="Arial" w:eastAsia="Arial" w:hAnsi="Arial"/>
            <w:color w:val="0000ee"/>
            <w:sz w:val="24"/>
            <w:szCs w:val="24"/>
            <w:u w:val="single"/>
            <w:rtl w:val="0"/>
          </w:rPr>
          <w:t xml:space="preserve">https://www.mitchellaerospacepower.org/app/uploads/2022/11/MI_Forum_47-Chinese-Airfields-Final.pdf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itchellaerospacepower.org/app/uploads/2022/11/MI_Forum_47-Chinese-Airfields-Final.pdf" TargetMode="External"/><Relationship Id="rId9" Type="http://schemas.openxmlformats.org/officeDocument/2006/relationships/hyperlink" Target="https://www.mitchellaerospacepower.org/app/uploads/2024/07/Fighting-the-Air-Base-Final2.pdf" TargetMode="External"/><Relationship Id="rId5" Type="http://schemas.openxmlformats.org/officeDocument/2006/relationships/styles" Target="styles.xml"/><Relationship Id="rId6" Type="http://schemas.openxmlformats.org/officeDocument/2006/relationships/hyperlink" Target="https://www.mitchellaerospacepower.org/" TargetMode="External"/><Relationship Id="rId7" Type="http://schemas.openxmlformats.org/officeDocument/2006/relationships/hyperlink" Target="https://www.airandspaceforces.com/daily/20260226/" TargetMode="External"/><Relationship Id="rId8" Type="http://schemas.openxmlformats.org/officeDocument/2006/relationships/hyperlink" Target="https://www.stimson.org/2024/cratering-effects-chinese-missile-threats-to-us-air-bases-in-the-indo-pacif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