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320" w:lineRule="auto" w:line="360"/>
        <w:jc w:val="center"/>
      </w:pPr>
      <w:r>
        <w:rPr>
          <w:rFonts w:eastAsia="方正小标宋简体"/>
          <w:rFonts w:ascii="黑体" w:hAnsi="黑体"/>
          <w:b/>
          <w:i w:val="0"/>
          <w:color w:val="141E50"/>
          <w:sz w:val="44"/>
        </w:rPr>
        <w:t>米切尔航空航天研究所深度研判：组织生态、涉台动向与对华开源情报作业</w:t>
      </w:r>
    </w:p>
    <w:p>
      <w:pPr>
        <w:spacing w:before="0" w:after="80" w:lineRule="auto" w:line="360"/>
        <w:ind w:firstLine="420"/>
        <w:jc w:val="both"/>
      </w:pPr>
      <w:r>
        <w:rPr>
          <w:rFonts w:eastAsia="黑体"/>
          <w:rFonts w:ascii="Times New Roman" w:hAnsi="Times New Roman"/>
          <w:b/>
          <w:i w:val="0"/>
          <w:sz w:val="24"/>
        </w:rPr>
        <w:t>报告类型</w:t>
      </w:r>
      <w:r>
        <w:rPr>
          <w:rFonts w:eastAsia="仿宋"/>
          <w:rFonts w:ascii="Times New Roman" w:hAnsi="Times New Roman"/>
          <w:b w:val="0"/>
          <w:i w:val="0"/>
          <w:sz w:val="24"/>
        </w:rPr>
        <w:t>：战略研判 · 政策研究</w:t>
      </w:r>
    </w:p>
    <w:p>
      <w:pPr>
        <w:spacing w:before="0" w:after="80" w:lineRule="auto" w:line="360"/>
        <w:ind w:firstLine="420"/>
        <w:jc w:val="both"/>
      </w:pPr>
      <w:r>
        <w:rPr>
          <w:rFonts w:eastAsia="黑体"/>
          <w:rFonts w:ascii="Times New Roman" w:hAnsi="Times New Roman"/>
          <w:b/>
          <w:i w:val="0"/>
          <w:sz w:val="24"/>
        </w:rPr>
        <w:t>编号</w:t>
      </w:r>
      <w:r>
        <w:rPr>
          <w:rFonts w:eastAsia="仿宋"/>
          <w:rFonts w:ascii="Times New Roman" w:hAnsi="Times New Roman"/>
          <w:b w:val="0"/>
          <w:i w:val="0"/>
          <w:sz w:val="24"/>
        </w:rPr>
        <w:t>：MISJ-2026-04</w:t>
      </w:r>
    </w:p>
    <w:p>
      <w:pPr>
        <w:spacing w:before="0" w:after="80" w:lineRule="auto" w:line="360"/>
        <w:ind w:firstLine="420"/>
        <w:jc w:val="both"/>
      </w:pPr>
      <w:r>
        <w:rPr>
          <w:rFonts w:eastAsia="黑体"/>
          <w:rFonts w:ascii="Times New Roman" w:hAnsi="Times New Roman"/>
          <w:b/>
          <w:i w:val="0"/>
          <w:sz w:val="24"/>
        </w:rPr>
        <w:t>完成时间</w:t>
      </w:r>
      <w:r>
        <w:rPr>
          <w:rFonts w:eastAsia="仿宋"/>
          <w:rFonts w:ascii="Times New Roman" w:hAnsi="Times New Roman"/>
          <w:b w:val="0"/>
          <w:i w:val="0"/>
          <w:sz w:val="24"/>
        </w:rPr>
        <w:t>：2026年04月</w:t>
      </w:r>
    </w:p>
    <w:p>
      <w:pPr>
        <w:spacing w:before="0" w:after="80" w:lineRule="auto" w:line="360"/>
        <w:ind w:firstLine="420"/>
        <w:jc w:val="both"/>
      </w:pPr>
      <w:r>
        <w:rPr>
          <w:rFonts w:eastAsia="黑体"/>
          <w:rFonts w:ascii="Times New Roman" w:hAnsi="Times New Roman"/>
          <w:b/>
          <w:i w:val="0"/>
          <w:sz w:val="24"/>
        </w:rPr>
        <w:t>研究方法</w:t>
      </w:r>
      <w:r>
        <w:rPr>
          <w:rFonts w:eastAsia="仿宋"/>
          <w:rFonts w:ascii="Times New Roman" w:hAnsi="Times New Roman"/>
          <w:b w:val="0"/>
          <w:i w:val="0"/>
          <w:sz w:val="24"/>
        </w:rPr>
        <w:t>：多源开源情报（OSINT）三角验证 + 政策研判</w:t>
      </w:r>
    </w:p>
    <w:p>
      <w:pPr>
        <w:jc w:val="center"/>
      </w:pPr>
      <w:r>
        <w:rPr>
          <w:rFonts w:eastAsia="仿宋"/>
          <w:rFonts w:ascii="Times New Roman" w:hAnsi="Times New Roman"/>
          <w:b w:val="0"/>
          <w:i w:val="0"/>
          <w:color w:val="A0A0A0"/>
          <w:sz w:val="24"/>
        </w:rPr>
        <w:t>─────────────────────────</w:t>
      </w:r>
    </w:p>
    <w:p>
      <w:pPr>
        <w:spacing w:before="400" w:after="200" w:lineRule="auto" w:line="360"/>
        <w:jc w:val="both"/>
      </w:pPr>
      <w:r>
        <w:rPr>
          <w:rFonts w:eastAsia="黑体"/>
          <w:rFonts w:ascii="黑体" w:hAnsi="黑体"/>
          <w:b/>
          <w:i w:val="0"/>
          <w:color w:val="141E50"/>
          <w:sz w:val="36"/>
        </w:rPr>
        <w:t>内容摘要</w:t>
      </w:r>
    </w:p>
    <w:p>
      <w:pPr>
        <w:spacing w:before="0" w:after="80" w:lineRule="auto" w:line="360"/>
        <w:ind w:firstLine="420"/>
        <w:jc w:val="both"/>
      </w:pPr>
      <w:r>
        <w:rPr>
          <w:rFonts w:eastAsia="仿宋"/>
          <w:rFonts w:ascii="Times New Roman" w:hAnsi="Times New Roman"/>
          <w:b w:val="0"/>
          <w:i w:val="0"/>
          <w:sz w:val="24"/>
        </w:rPr>
        <w:t>本报告聚焦美国空军与太空军协会（AFA）下属『米切尔航空航天研究所（The Mitchell Institute for Aerospace Studies）』的组织生态、涉台联动机制及情报生产逻辑。在大国竞争背景下，美国国防智库深度介入印太防务规划与台海危机推演。本研究旨在厘清该机构的资金结构与战略生态位，剖析其与『台湾地区』防务及情报体系的互动模式，并对其旗舰产品《中国空军追踪器》的情报技艺进行逆向工程分析。总体研判框架基于多源数据交叉验证，揭示该机构作为美国军工复合体利益代言人的本质，解构其“开源情报洗白”与“威胁通胀”的运作闭环，为我方战略预警、认知域反制及台海危机管理提供决策参考。</w:t>
      </w:r>
    </w:p>
    <w:p>
      <w:pPr>
        <w:spacing w:before="400" w:after="200" w:lineRule="auto" w:line="360"/>
        <w:jc w:val="both"/>
      </w:pPr>
      <w:r>
        <w:rPr>
          <w:rFonts w:eastAsia="黑体"/>
          <w:rFonts w:ascii="黑体" w:hAnsi="黑体"/>
          <w:b/>
          <w:i w:val="0"/>
          <w:color w:val="141E50"/>
          <w:sz w:val="36"/>
        </w:rPr>
        <w:t>核心研判</w:t>
      </w:r>
    </w:p>
    <w:p>
      <w:pPr>
        <w:spacing w:before="0" w:after="80" w:lineRule="auto" w:line="360"/>
        <w:ind w:firstLine="420"/>
        <w:jc w:val="both"/>
      </w:pPr>
      <w:r>
        <w:rPr>
          <w:rFonts w:eastAsia="黑体"/>
          <w:rFonts w:ascii="Times New Roman" w:hAnsi="Times New Roman"/>
          <w:b/>
          <w:i w:val="0"/>
          <w:sz w:val="24"/>
        </w:rPr>
        <w:t>判断 1 ─ 军工利益代言：美国军工复合体的“议程包装机”</w:t>
      </w:r>
    </w:p>
    <w:p>
      <w:pPr>
        <w:spacing w:before="0" w:after="80" w:lineRule="auto" w:line="360"/>
        <w:ind w:firstLine="420"/>
        <w:jc w:val="both"/>
      </w:pPr>
      <w:r>
        <w:rPr>
          <w:rFonts w:eastAsia="仿宋"/>
          <w:rFonts w:ascii="Times New Roman" w:hAnsi="Times New Roman"/>
          <w:b w:val="0"/>
          <w:i w:val="0"/>
          <w:sz w:val="24"/>
        </w:rPr>
        <w:t>『已确证』米切尔研究所的资金链与波音、洛克希德·马丁、诺斯罗普·格鲁曼等防务巨头存在深度绑定</w:t>
      </w:r>
      <w:r>
        <w:rPr>
          <w:rFonts w:eastAsia="仿宋"/>
          <w:rFonts w:ascii="Times New Roman" w:hAnsi="Times New Roman"/>
          <w:b w:val="0"/>
          <w:i w:val="0"/>
          <w:color w:val="323296"/>
          <w:sz w:val="16"/>
          <w:vertAlign w:val="superscript"/>
        </w:rPr>
        <w:t>[1]</w:t>
      </w:r>
      <w:r>
        <w:rPr>
          <w:rFonts w:eastAsia="仿宋"/>
          <w:rFonts w:ascii="Times New Roman" w:hAnsi="Times New Roman"/>
          <w:b w:val="0"/>
          <w:i w:val="0"/>
          <w:sz w:val="24"/>
        </w:rPr>
        <w:t>。其领导层由退役美军高层主导，呈现典型的“旋转门”特征。该机构并非中立学术平台，而是美国军工复合体的“议程包装机”。其惯用手法是通过兵棋推演蓄意制造战力焦虑，例如在2025年台海兵推中抛出“美空军2035年战败论”，实质是为B-21轰炸机、F-47战机及协同作战飞机等高昂采办项目提供政策背书与预算游说</w:t>
      </w:r>
      <w:r>
        <w:rPr>
          <w:rFonts w:eastAsia="仿宋"/>
          <w:rFonts w:ascii="Times New Roman" w:hAnsi="Times New Roman"/>
          <w:b w:val="0"/>
          <w:i w:val="0"/>
          <w:color w:val="323296"/>
          <w:sz w:val="16"/>
          <w:vertAlign w:val="superscript"/>
        </w:rPr>
        <w:t>[2]</w:t>
      </w:r>
      <w:r>
        <w:rPr>
          <w:rFonts w:eastAsia="仿宋"/>
          <w:rFonts w:ascii="Times New Roman" w:hAnsi="Times New Roman"/>
          <w:b w:val="0"/>
          <w:i w:val="0"/>
          <w:sz w:val="24"/>
        </w:rPr>
        <w:t>。</w:t>
      </w:r>
    </w:p>
    <w:p>
      <w:pPr>
        <w:spacing w:before="0" w:after="80" w:lineRule="auto" w:line="360"/>
        <w:ind w:firstLine="420"/>
        <w:jc w:val="both"/>
      </w:pPr>
      <w:r>
        <w:rPr>
          <w:rFonts w:eastAsia="黑体"/>
          <w:rFonts w:ascii="Times New Roman" w:hAnsi="Times New Roman"/>
          <w:b/>
          <w:i w:val="0"/>
          <w:sz w:val="24"/>
        </w:rPr>
        <w:t>判断 2 ─ 二轨回音壁：与台湾“国防安全研究院”形成共振机制</w:t>
      </w:r>
    </w:p>
    <w:p>
      <w:pPr>
        <w:spacing w:before="0" w:after="80" w:lineRule="auto" w:line="360"/>
        <w:ind w:firstLine="420"/>
        <w:jc w:val="both"/>
      </w:pPr>
      <w:r>
        <w:rPr>
          <w:rFonts w:eastAsia="仿宋"/>
          <w:rFonts w:ascii="Times New Roman" w:hAnsi="Times New Roman"/>
          <w:b w:val="0"/>
          <w:i w:val="0"/>
          <w:sz w:val="24"/>
        </w:rPr>
        <w:t>『已确证』该机构与台湾『国防安全研究院（INDSR）』存在高频引用与深度的学术嵌合。米切尔研究所高级研究员频繁赴台进行防务评估，双方已形成严密的“二轨回音壁”机制</w:t>
      </w:r>
      <w:r>
        <w:rPr>
          <w:rFonts w:eastAsia="仿宋"/>
          <w:rFonts w:ascii="Times New Roman" w:hAnsi="Times New Roman"/>
          <w:b w:val="0"/>
          <w:i w:val="0"/>
          <w:color w:val="323296"/>
          <w:sz w:val="16"/>
          <w:vertAlign w:val="superscript"/>
        </w:rPr>
        <w:t>[3]</w:t>
      </w:r>
      <w:r>
        <w:rPr>
          <w:rFonts w:eastAsia="仿宋"/>
          <w:rFonts w:ascii="Times New Roman" w:hAnsi="Times New Roman"/>
          <w:b w:val="0"/>
          <w:i w:val="0"/>
          <w:sz w:val="24"/>
        </w:rPr>
        <w:t>。米切尔研究所负责在华盛顿输出涉华威胁论述，INDSR则将其内化为台湾防务报告的权威依据。此种信息共振，旨在协助『民进党当局』向台湾民众及立法机构论证增加不对称作战预算的合理性，实质是为扩大美对台军售铺路。</w:t>
      </w:r>
    </w:p>
    <w:p>
      <w:pPr>
        <w:spacing w:before="0" w:after="80" w:lineRule="auto" w:line="360"/>
        <w:ind w:firstLine="420"/>
        <w:jc w:val="both"/>
      </w:pPr>
      <w:r>
        <w:rPr>
          <w:rFonts w:eastAsia="黑体"/>
          <w:rFonts w:ascii="Times New Roman" w:hAnsi="Times New Roman"/>
          <w:b/>
          <w:i w:val="0"/>
          <w:sz w:val="24"/>
        </w:rPr>
        <w:t>判断 3 ─ 隐性战略协同：与台湾国安局、军情局的暗网交织</w:t>
      </w:r>
    </w:p>
    <w:p>
      <w:pPr>
        <w:spacing w:before="0" w:after="80" w:lineRule="auto" w:line="360"/>
        <w:ind w:firstLine="420"/>
        <w:jc w:val="both"/>
      </w:pPr>
      <w:r>
        <w:rPr>
          <w:rFonts w:eastAsia="仿宋"/>
          <w:rFonts w:ascii="Times New Roman" w:hAnsi="Times New Roman"/>
          <w:b w:val="0"/>
          <w:i w:val="0"/>
          <w:sz w:val="24"/>
        </w:rPr>
        <w:t>『据公开信息推断』，目前尚无公开证据表明该机构与『台湾国安局（NSB）』或『台湾军情局（MIB）』存在机制化的机密情报共享协议，但双边的战略协同轨迹极为明显。其互动多以美国在台协会（AIT）或INDSR为中介，采取“开源情报洗白”模式。例如，米切尔研究所率先发布歼-6改装无人机沿海部署的战术情报，台湾安全官员随后在质询中予以证实</w:t>
      </w:r>
      <w:r>
        <w:rPr>
          <w:rFonts w:eastAsia="仿宋"/>
          <w:rFonts w:ascii="Times New Roman" w:hAnsi="Times New Roman"/>
          <w:b w:val="0"/>
          <w:i w:val="0"/>
          <w:color w:val="323296"/>
          <w:sz w:val="16"/>
          <w:vertAlign w:val="superscript"/>
        </w:rPr>
        <w:t>[4]</w:t>
      </w:r>
      <w:r>
        <w:rPr>
          <w:rFonts w:eastAsia="仿宋"/>
          <w:rFonts w:ascii="Times New Roman" w:hAnsi="Times New Roman"/>
          <w:b w:val="0"/>
          <w:i w:val="0"/>
          <w:sz w:val="24"/>
        </w:rPr>
        <w:t>。这种“情报释放→台湾验证→对台军售”的政策闭环，需要警惕。</w:t>
      </w:r>
    </w:p>
    <w:p>
      <w:pPr>
        <w:spacing w:before="0" w:after="80" w:lineRule="auto" w:line="360"/>
        <w:ind w:firstLine="420"/>
        <w:jc w:val="both"/>
      </w:pPr>
      <w:r>
        <w:rPr>
          <w:rFonts w:eastAsia="黑体"/>
          <w:rFonts w:ascii="Times New Roman" w:hAnsi="Times New Roman"/>
          <w:b/>
          <w:i w:val="0"/>
          <w:sz w:val="24"/>
        </w:rPr>
        <w:t>判断 4 ─ 情报武器化：《中国空军追踪器》的新型威胁形态</w:t>
      </w:r>
    </w:p>
    <w:p>
      <w:pPr>
        <w:spacing w:before="0" w:after="80" w:lineRule="auto" w:line="360"/>
        <w:ind w:firstLine="420"/>
        <w:jc w:val="both"/>
      </w:pPr>
      <w:r>
        <w:rPr>
          <w:rFonts w:eastAsia="仿宋"/>
          <w:rFonts w:ascii="Times New Roman" w:hAnsi="Times New Roman"/>
          <w:b w:val="0"/>
          <w:i w:val="0"/>
          <w:sz w:val="24"/>
        </w:rPr>
        <w:t>『综合判断』，其旗舰产品《中国空军追踪器》标志着『开源情报（OSINT）』武器化的新形态。该系统融合商业卫星影像、社交媒体、防务展会等6类异构数据，展现出极高的战术级情报技艺</w:t>
      </w:r>
      <w:r>
        <w:rPr>
          <w:rFonts w:eastAsia="仿宋"/>
          <w:rFonts w:ascii="Times New Roman" w:hAnsi="Times New Roman"/>
          <w:b w:val="0"/>
          <w:i w:val="0"/>
          <w:color w:val="323296"/>
          <w:sz w:val="16"/>
          <w:vertAlign w:val="superscript"/>
        </w:rPr>
        <w:t>[5]</w:t>
      </w:r>
      <w:r>
        <w:rPr>
          <w:rFonts w:eastAsia="仿宋"/>
          <w:rFonts w:ascii="Times New Roman" w:hAnsi="Times New Roman"/>
          <w:b w:val="0"/>
          <w:i w:val="0"/>
          <w:sz w:val="24"/>
        </w:rPr>
        <w:t>。然而，其分析逻辑存在结构性的确认偏误，倾向于以“最坏情况想定”过度解读解放军常规设施翻新（如加固机库扩建），将其直接归因为先发制人打击准备。这种披着客观数据外衣的威胁通胀，极易误导印太战区的危机阈值研判。</w:t>
      </w:r>
    </w:p>
    <w:p>
      <w:pPr>
        <w:spacing w:before="0" w:after="80" w:lineRule="auto" w:line="360"/>
        <w:ind w:firstLine="420"/>
        <w:jc w:val="both"/>
      </w:pPr>
      <w:r>
        <w:rPr>
          <w:rFonts w:eastAsia="黑体"/>
          <w:rFonts w:ascii="Times New Roman" w:hAnsi="Times New Roman"/>
          <w:b/>
          <w:i w:val="0"/>
          <w:sz w:val="24"/>
        </w:rPr>
        <w:t>判断 5 ─ 议程塑造低估：对华空天战略议程的操盘能力</w:t>
      </w:r>
    </w:p>
    <w:p>
      <w:pPr>
        <w:spacing w:before="0" w:after="80" w:lineRule="auto" w:line="360"/>
        <w:ind w:firstLine="420"/>
        <w:jc w:val="both"/>
      </w:pPr>
      <w:r>
        <w:rPr>
          <w:rFonts w:eastAsia="仿宋"/>
          <w:rFonts w:ascii="Times New Roman" w:hAnsi="Times New Roman"/>
          <w:b w:val="0"/>
          <w:i w:val="0"/>
          <w:sz w:val="24"/>
        </w:rPr>
        <w:t>总体看，该机构对华空天战略议程的塑造能力被严重低估。其不仅是战术数据的发布者，更是宏观战略议题的操盘手。通过将微观战术发现与五角大楼预算痛点精准挂钩，米切尔研究所在美国国会听证会上拥有压倒性话语权。值得关注的是，其高频次的涉华军力评估与台海兵推结论，已成为预测美国对台军售走向及印太美军兵力结构调整的先导性指标，对我周边安全环境构成实质性舆论与政策压力。</w:t>
      </w:r>
    </w:p>
    <w:p>
      <w:pPr>
        <w:spacing w:before="400" w:after="200" w:lineRule="auto" w:line="360"/>
        <w:jc w:val="both"/>
      </w:pPr>
      <w:r>
        <w:rPr>
          <w:rFonts w:eastAsia="黑体"/>
          <w:rFonts w:ascii="黑体" w:hAnsi="黑体"/>
          <w:b/>
          <w:i w:val="0"/>
          <w:color w:val="141E50"/>
          <w:sz w:val="36"/>
        </w:rPr>
        <w:t>主要建议</w:t>
      </w:r>
    </w:p>
    <w:p>
      <w:pPr>
        <w:spacing w:before="0" w:after="80" w:lineRule="auto" w:line="360"/>
        <w:ind w:firstLine="420"/>
        <w:jc w:val="both"/>
      </w:pPr>
      <w:r>
        <w:rPr>
          <w:rFonts w:eastAsia="黑体"/>
          <w:rFonts w:ascii="Times New Roman" w:hAnsi="Times New Roman"/>
          <w:b/>
          <w:i w:val="0"/>
          <w:sz w:val="24"/>
        </w:rPr>
        <w:t>建议 1 ─ 反向追踪与情报对冲</w:t>
      </w:r>
    </w:p>
    <w:p>
      <w:pPr>
        <w:spacing w:before="0" w:after="80" w:lineRule="auto" w:line="360"/>
        <w:ind w:firstLine="420"/>
        <w:jc w:val="both"/>
      </w:pPr>
      <w:r>
        <w:rPr>
          <w:rFonts w:eastAsia="仿宋"/>
          <w:rFonts w:ascii="Times New Roman" w:hAnsi="Times New Roman"/>
          <w:b w:val="0"/>
          <w:i w:val="0"/>
          <w:sz w:val="24"/>
        </w:rPr>
        <w:t>建立针对美方倡导型智库的“反向追踪与审计”机制。对我方被披露的物理层数据进行脱敏与战略掩护，同时利用我国主权级商业卫星与开源数据，定期发布具备国际公信力的对冲性评估报告，打破美方智库对印太战区军事透明度的单向定义权。</w:t>
      </w:r>
    </w:p>
    <w:p>
      <w:pPr>
        <w:spacing w:before="0" w:after="80" w:lineRule="auto" w:line="360"/>
        <w:ind w:firstLine="420"/>
        <w:jc w:val="both"/>
      </w:pPr>
      <w:r>
        <w:rPr>
          <w:rFonts w:eastAsia="黑体"/>
          <w:rFonts w:ascii="Times New Roman" w:hAnsi="Times New Roman"/>
          <w:b/>
          <w:i w:val="0"/>
          <w:sz w:val="24"/>
        </w:rPr>
        <w:t>建议 2 ─ 战略叙事反制</w:t>
      </w:r>
    </w:p>
    <w:p>
      <w:pPr>
        <w:spacing w:before="0" w:after="80" w:lineRule="auto" w:line="360"/>
        <w:ind w:firstLine="420"/>
        <w:jc w:val="both"/>
      </w:pPr>
      <w:r>
        <w:rPr>
          <w:rFonts w:eastAsia="仿宋"/>
          <w:rFonts w:ascii="Times New Roman" w:hAnsi="Times New Roman"/>
          <w:b w:val="0"/>
          <w:i w:val="0"/>
          <w:sz w:val="24"/>
        </w:rPr>
        <w:t>重点解构其“情报释放→台湾验证→对台军售”的利益链条。在国际多边平台及二轨外交中，主动揭露其兵棋推演底层的“最坏情况想定”与军工复合体资金驱动本质，削弱其涉华威胁通胀叙事的合法性，降低印太盟友对其“战力焦虑”论调的接受度。</w:t>
      </w:r>
    </w:p>
    <w:p>
      <w:pPr>
        <w:spacing w:before="0" w:after="80" w:lineRule="auto" w:line="360"/>
        <w:ind w:firstLine="420"/>
        <w:jc w:val="both"/>
      </w:pPr>
      <w:r>
        <w:rPr>
          <w:rFonts w:eastAsia="黑体"/>
          <w:rFonts w:ascii="Times New Roman" w:hAnsi="Times New Roman"/>
          <w:b/>
          <w:i w:val="0"/>
          <w:sz w:val="24"/>
        </w:rPr>
        <w:t>建议 3 ─ 学术界与情报研究界的协同</w:t>
      </w:r>
    </w:p>
    <w:p>
      <w:pPr>
        <w:spacing w:before="0" w:after="80" w:lineRule="auto" w:line="360"/>
        <w:ind w:firstLine="420"/>
        <w:jc w:val="both"/>
      </w:pPr>
      <w:r>
        <w:rPr>
          <w:rFonts w:eastAsia="仿宋"/>
          <w:rFonts w:ascii="Times New Roman" w:hAnsi="Times New Roman"/>
          <w:b w:val="0"/>
          <w:i w:val="0"/>
          <w:sz w:val="24"/>
        </w:rPr>
        <w:t>强化国内智库、高校与情报研究机构的跨界协同。采用网络分析与大数据挖掘技术，持续监测米切尔研究所等机构的“OSINT发布频率与主题”，将其作为台海危机预警的前置指标，提前预判美台军事互动节点，提升我方在灰色地带博弈中的主动权。</w:t>
      </w:r>
    </w:p>
    <w:p>
      <w:pPr>
        <w:spacing w:before="0" w:after="80" w:lineRule="auto" w:line="360"/>
        <w:ind w:firstLine="420"/>
        <w:jc w:val="both"/>
      </w:pPr>
      <w:r>
        <w:rPr>
          <w:rFonts w:eastAsia="黑体"/>
          <w:rFonts w:ascii="Times New Roman" w:hAnsi="Times New Roman"/>
          <w:b/>
          <w:i w:val="0"/>
          <w:sz w:val="24"/>
        </w:rPr>
        <w:t>一、研究背景与战略意义</w:t>
      </w:r>
    </w:p>
    <w:p>
      <w:pPr>
        <w:spacing w:before="0" w:after="80" w:lineRule="auto" w:line="360"/>
        <w:ind w:firstLine="420"/>
        <w:jc w:val="both"/>
      </w:pPr>
      <w:r>
        <w:rPr>
          <w:rFonts w:eastAsia="仿宋"/>
          <w:rFonts w:ascii="Times New Roman" w:hAnsi="Times New Roman"/>
          <w:b w:val="0"/>
          <w:i w:val="0"/>
          <w:sz w:val="24"/>
        </w:rPr>
        <w:t>近年来，随着中美战略博弈向深水区演进，印太战区（Indo-Pacific Theater）的空天领域已成为两国军事竞争的最前沿。综合判断，2024至2026年间，美国国防部正加速推进针对中国反介入/区域拒止（A2/AD）体系的“前沿威慑”架构部署。五角大楼及华盛顿战略界频繁炒作所谓“2027决胜年”时间窗口，借此推动美国空军与太空军的激进转型与军备扩张。在此背景下，美国国防智库在对华政策制定与军费分配中的角色发生显著演变。传统智库正从宏观的学术与政策研究，加速向高度垂直的“军种利益代言”与“作战概念推销”转型，深度介入五角大楼的兵力结构规划与国会预算博弈</w:t>
      </w:r>
      <w:r>
        <w:rPr>
          <w:rFonts w:eastAsia="仿宋"/>
          <w:rFonts w:ascii="Times New Roman" w:hAnsi="Times New Roman"/>
          <w:b w:val="0"/>
          <w:i w:val="0"/>
          <w:color w:val="323296"/>
          <w:sz w:val="16"/>
          <w:vertAlign w:val="superscript"/>
        </w:rPr>
        <w:t>[1]</w:t>
      </w:r>
      <w:r>
        <w:rPr>
          <w:rFonts w:eastAsia="仿宋"/>
          <w:rFonts w:ascii="Times New Roman" w:hAnsi="Times New Roman"/>
          <w:b w:val="0"/>
          <w:i w:val="0"/>
          <w:sz w:val="24"/>
        </w:rPr>
        <w:t>。</w:t>
      </w:r>
    </w:p>
    <w:p>
      <w:pPr>
        <w:spacing w:before="0" w:after="80" w:lineRule="auto" w:line="360"/>
        <w:ind w:firstLine="420"/>
        <w:jc w:val="both"/>
      </w:pPr>
      <w:r>
        <w:rPr>
          <w:rFonts w:eastAsia="仿宋"/>
          <w:rFonts w:ascii="Times New Roman" w:hAnsi="Times New Roman"/>
          <w:b w:val="0"/>
          <w:i w:val="0"/>
          <w:sz w:val="24"/>
        </w:rPr>
        <w:t>在这一智库生态重塑的过程中，美国空军与太空军协会（AFA）下属的米切尔航空航天研究所（The Mitchell Institute for Aerospace Studies）展现出极强的政策穿透力，值得专门研究。总体看，该机构是华盛顿特区唯一一家完全聚焦航空航天力量的防务智库。据公开信息推断，米切尔研究所已成为连接美国空军退役高层、国会防务委员会与核心军工企业（如波音、洛克希德·马丁、诺斯罗普·格鲁曼等）的关键“旋转门”。该机构不仅高频次发布涉华军力评估，更通过主导台海冲突兵棋推演、发布针对解放军的开源情报产品等方式，实质性地塑造了美国对华空天威慑的战略叙事。研判认为，米切尔研究所已不再是单纯的政策观察者，而是美国对华军事遏制议程的核心“包装机”与推手</w:t>
      </w:r>
      <w:r>
        <w:rPr>
          <w:rFonts w:eastAsia="仿宋"/>
          <w:rFonts w:ascii="Times New Roman" w:hAnsi="Times New Roman"/>
          <w:b w:val="0"/>
          <w:i w:val="0"/>
          <w:color w:val="323296"/>
          <w:sz w:val="16"/>
          <w:vertAlign w:val="superscript"/>
        </w:rPr>
        <w:t>[2]</w:t>
      </w:r>
      <w:r>
        <w:rPr>
          <w:rFonts w:eastAsia="仿宋"/>
          <w:rFonts w:ascii="Times New Roman" w:hAnsi="Times New Roman"/>
          <w:b w:val="0"/>
          <w:i w:val="0"/>
          <w:sz w:val="24"/>
        </w:rPr>
        <w:t>。</w:t>
      </w:r>
    </w:p>
    <w:p>
      <w:pPr>
        <w:spacing w:before="0" w:after="80" w:lineRule="auto" w:line="360"/>
        <w:ind w:firstLine="420"/>
        <w:jc w:val="both"/>
      </w:pPr>
      <w:r>
        <w:rPr>
          <w:rFonts w:eastAsia="仿宋"/>
          <w:rFonts w:ascii="Times New Roman" w:hAnsi="Times New Roman"/>
          <w:b w:val="0"/>
          <w:i w:val="0"/>
          <w:sz w:val="24"/>
        </w:rPr>
        <w:t>为精准评估该机构在印太安全架构及台海局势中发挥的实质作用，本报告聚焦以下三个核心研究问题：</w:t>
      </w:r>
    </w:p>
    <w:p>
      <w:pPr>
        <w:spacing w:before="0" w:after="80" w:lineRule="auto" w:line="360"/>
        <w:ind w:firstLine="420"/>
        <w:jc w:val="both"/>
      </w:pPr>
      <w:r>
        <w:rPr>
          <w:rFonts w:eastAsia="仿宋"/>
          <w:rFonts w:ascii="Times New Roman" w:hAnsi="Times New Roman"/>
          <w:b w:val="0"/>
          <w:i w:val="0"/>
          <w:sz w:val="24"/>
        </w:rPr>
        <w:t>其一，米切尔研究所的组织生态与资金链条如何运作？重点剖析其与美国军工复合体的利益绑定机制，及其在华盛顿对华政策圈的独特战略生态位。</w:t>
      </w:r>
    </w:p>
    <w:p>
      <w:pPr>
        <w:spacing w:before="0" w:after="80" w:lineRule="auto" w:line="360"/>
        <w:ind w:firstLine="420"/>
        <w:jc w:val="both"/>
      </w:pPr>
      <w:r>
        <w:rPr>
          <w:rFonts w:eastAsia="仿宋"/>
          <w:rFonts w:ascii="Times New Roman" w:hAnsi="Times New Roman"/>
          <w:b w:val="0"/>
          <w:i w:val="0"/>
          <w:sz w:val="24"/>
        </w:rPr>
        <w:t>其二，该机构与台湾地区党政军及情报机构存在何种联动模式？重点检视其与台湾“国防安全研究院”（INDSR）、台湾国安局（NSB）及台湾军情局（MIB）在威胁认知与情报共享上的显性与隐性共振，评估其在台海“灰色地带”博弈中的杠杆作用。</w:t>
      </w:r>
    </w:p>
    <w:p>
      <w:pPr>
        <w:spacing w:before="0" w:after="80" w:lineRule="auto" w:line="360"/>
        <w:ind w:firstLine="420"/>
        <w:jc w:val="both"/>
      </w:pPr>
      <w:r>
        <w:rPr>
          <w:rFonts w:eastAsia="仿宋"/>
          <w:rFonts w:ascii="Times New Roman" w:hAnsi="Times New Roman"/>
          <w:b w:val="0"/>
          <w:i w:val="0"/>
          <w:sz w:val="24"/>
        </w:rPr>
        <w:t>其三，其旗舰产品《中国空军追踪器》（China Airpower Tracker）的情报技艺（Tradecraft）有何特征？重点解构其数据采集矩阵与分析方法论，评估其在对华军力研判中的误差边界与战略意图。</w:t>
      </w:r>
    </w:p>
    <w:p>
      <w:pPr>
        <w:spacing w:before="0" w:after="80" w:lineRule="auto" w:line="360"/>
        <w:ind w:firstLine="420"/>
        <w:jc w:val="both"/>
      </w:pPr>
      <w:r>
        <w:rPr>
          <w:rFonts w:eastAsia="仿宋"/>
          <w:rFonts w:ascii="Times New Roman" w:hAnsi="Times New Roman"/>
          <w:b w:val="0"/>
          <w:i w:val="0"/>
          <w:sz w:val="24"/>
        </w:rPr>
        <w:t>在研究方法上，本报告采用多源开源情报（OSINT）三角验证法。研究团队跨平台提取并清洗了该机构的财务申报、企业赞助名录、高分辨率商业卫星影像分析件、国会听证记录及智库播客转录文本，并与台湾地区防务出版物进行交叉比对。为确保政策研判的客观性与严谨性，本报告在行文中严格区分信息置信度：凡有官方文件或多源独立数据交叉印证的定性为“已确证”；基于行为模式与利益逻辑推演的定性为“综合判断”；依赖单一或间接开源数据推导的定性为“据公开信息推断”。本报告旨在穿透美国防务智库的学术外衣，为我国应对印太空天安全挑战及台海危机管控提供坚实的决策参考</w:t>
      </w:r>
      <w:r>
        <w:rPr>
          <w:rFonts w:eastAsia="仿宋"/>
          <w:rFonts w:ascii="Times New Roman" w:hAnsi="Times New Roman"/>
          <w:b w:val="0"/>
          <w:i w:val="0"/>
          <w:color w:val="323296"/>
          <w:sz w:val="16"/>
          <w:vertAlign w:val="superscript"/>
        </w:rPr>
        <w:t>[3]</w:t>
      </w:r>
      <w:r>
        <w:rPr>
          <w:rFonts w:eastAsia="仿宋"/>
          <w:rFonts w:ascii="Times New Roman" w:hAnsi="Times New Roman"/>
          <w:b w:val="0"/>
          <w:i w:val="0"/>
          <w:sz w:val="24"/>
        </w:rPr>
        <w:t>。</w:t>
      </w:r>
    </w:p>
    <w:p>
      <w:pPr>
        <w:spacing w:before="400" w:after="200" w:lineRule="auto" w:line="360"/>
        <w:jc w:val="both"/>
      </w:pPr>
      <w:r>
        <w:rPr>
          <w:rFonts w:eastAsia="黑体"/>
          <w:rFonts w:ascii="黑体" w:hAnsi="黑体"/>
          <w:b/>
          <w:i w:val="0"/>
          <w:color w:val="141E50"/>
          <w:sz w:val="36"/>
        </w:rPr>
        <w:t>二、组织架构与资金脉络</w:t>
      </w:r>
    </w:p>
    <w:p>
      <w:pPr>
        <w:spacing w:before="280" w:after="120" w:lineRule="auto" w:line="360"/>
        <w:jc w:val="both"/>
      </w:pPr>
      <w:r>
        <w:rPr>
          <w:rFonts w:eastAsia="黑体"/>
          <w:rFonts w:ascii="黑体" w:hAnsi="黑体"/>
          <w:b/>
          <w:i w:val="0"/>
          <w:color w:val="28326E"/>
          <w:sz w:val="30"/>
        </w:rPr>
        <w:t>（一）法律地位与组织沿革</w:t>
      </w:r>
    </w:p>
    <w:p>
      <w:pPr>
        <w:spacing w:before="0" w:after="80" w:lineRule="auto" w:line="360"/>
        <w:ind w:firstLine="420"/>
        <w:jc w:val="both"/>
      </w:pPr>
      <w:r>
        <w:rPr>
          <w:rFonts w:eastAsia="仿宋"/>
          <w:rFonts w:ascii="Times New Roman" w:hAnsi="Times New Roman"/>
          <w:b w:val="0"/>
          <w:i w:val="0"/>
          <w:sz w:val="24"/>
        </w:rPr>
        <w:t>已确证，米切尔航空航天研究所（The Mitchell Institute for Aerospace Studies）并非独立的法人实体，而是隶属于美国空军与太空军协会（Air &amp; Space Forces Association, AFA）的核心附属智库。在法律地位上，该机构依托AFA享有美国国内税收法第501(c)(3)条款规定的免税非营利组织身份，其财务收支与税务申报统一归口于AFA的雇主识别号码（EIN: 52-6043929）</w:t>
      </w:r>
      <w:r>
        <w:rPr>
          <w:rFonts w:eastAsia="仿宋"/>
          <w:rFonts w:ascii="Times New Roman" w:hAnsi="Times New Roman"/>
          <w:b w:val="0"/>
          <w:i w:val="0"/>
          <w:color w:val="323296"/>
          <w:sz w:val="16"/>
          <w:vertAlign w:val="superscript"/>
        </w:rPr>
        <w:t>[1]</w:t>
      </w:r>
      <w:r>
        <w:rPr>
          <w:rFonts w:eastAsia="仿宋"/>
          <w:rFonts w:ascii="Times New Roman" w:hAnsi="Times New Roman"/>
          <w:b w:val="0"/>
          <w:i w:val="0"/>
          <w:sz w:val="24"/>
        </w:rPr>
        <w:t>。该机构总部设于美国弗吉尼亚州阿灵顿（Arlington），在地理空间上紧邻五角大楼与华盛顿国防工业核心圈，具备极强的地缘政治游说优势。</w:t>
      </w:r>
    </w:p>
    <w:p>
      <w:pPr>
        <w:spacing w:before="0" w:after="80" w:lineRule="auto" w:line="360"/>
        <w:ind w:firstLine="420"/>
        <w:jc w:val="both"/>
      </w:pPr>
      <w:r>
        <w:rPr>
          <w:rFonts w:eastAsia="仿宋"/>
          <w:rFonts w:ascii="Times New Roman" w:hAnsi="Times New Roman"/>
          <w:b w:val="0"/>
          <w:i w:val="0"/>
          <w:sz w:val="24"/>
        </w:rPr>
        <w:t>追溯其组织沿革，该机构成立于2004年，最初仅作为AFA内部的一个政策研究部门运作。2013年，该部门进行重大重组并正式更名，以美国早期空中力量倡导者威廉·“比利”·米切尔（William "Billy" Mitchell）准将的名字重新命名</w:t>
      </w:r>
      <w:r>
        <w:rPr>
          <w:rFonts w:eastAsia="仿宋"/>
          <w:rFonts w:ascii="Times New Roman" w:hAnsi="Times New Roman"/>
          <w:b w:val="0"/>
          <w:i w:val="0"/>
          <w:color w:val="323296"/>
          <w:sz w:val="16"/>
          <w:vertAlign w:val="superscript"/>
        </w:rPr>
        <w:t>[2]</w:t>
      </w:r>
      <w:r>
        <w:rPr>
          <w:rFonts w:eastAsia="仿宋"/>
          <w:rFonts w:ascii="Times New Roman" w:hAnsi="Times New Roman"/>
          <w:b w:val="0"/>
          <w:i w:val="0"/>
          <w:sz w:val="24"/>
        </w:rPr>
        <w:t>。综合判断，这一命名重组释放了强烈的意识形态信号：米切尔准将是美国“战略轰炸”与“独立空军”理论的奠基人，以其命名旨在确立“空天制胜论”为该机构的底色，坚信航空航天力量是大国竞争的决定性因素。重组的时间节点恰逢美国军事战略从“全球反恐战争”向“大国竞争”转型，标志着该机构全面转向为美国空军在高端常规冲突（特别是印太战区）中的预算博弈提供理论支撑与政策弹药。</w:t>
      </w:r>
    </w:p>
    <w:p>
      <w:pPr>
        <w:spacing w:before="280" w:after="120" w:lineRule="auto" w:line="360"/>
        <w:jc w:val="both"/>
      </w:pPr>
      <w:r>
        <w:rPr>
          <w:rFonts w:eastAsia="黑体"/>
          <w:rFonts w:ascii="黑体" w:hAnsi="黑体"/>
          <w:b/>
          <w:i w:val="0"/>
          <w:color w:val="28326E"/>
          <w:sz w:val="30"/>
        </w:rPr>
        <w:t>（二）领导团队特征</w:t>
      </w:r>
    </w:p>
    <w:p>
      <w:pPr>
        <w:spacing w:before="0" w:after="80" w:lineRule="auto" w:line="360"/>
        <w:ind w:firstLine="420"/>
        <w:jc w:val="both"/>
      </w:pPr>
      <w:r>
        <w:rPr>
          <w:rFonts w:eastAsia="仿宋"/>
          <w:rFonts w:ascii="Times New Roman" w:hAnsi="Times New Roman"/>
          <w:b w:val="0"/>
          <w:i w:val="0"/>
          <w:sz w:val="24"/>
        </w:rPr>
        <w:t>总体看，米切尔研究所的领导层与核心研究团队呈现出典型的“军工复合体旋转门”（Revolving Door）特征。其核心班底高度同质化，主要由美国空军（USAF）与海军（USN）退役高层、前线战斗机飞行员及资深情报分析师构成。据公开信息推断，这种“退役将领 + 情报官”的矩阵设计，使其兼具五角大楼高层政治人脉与一线作战及情报经验。一方面，退役将领能够确保研究议程与美国国防部当前的预算痛点（如机队老化、太空军独立性）精准对接；另一方面，资深情报官的加入，使其在处理开源情报（OSINT）时能够跳出单一军种局限，构建严密的“全域威胁”分析框架。这种人事布局使其政策建议在五角大楼内部具有极高的非正式穿透力，能够将智库的学术产出迅速转化为军种内部的战略共识。</w:t>
      </w:r>
    </w:p>
    <w:tbl>
      <w:tblPr>
        <w:tblStyle w:val="LightGrid"/>
        <w:tblW w:type="auto" w:w="0"/>
        <w:tblLook w:firstColumn="1" w:firstRow="1" w:lastColumn="0" w:lastRow="0" w:noHBand="0" w:noVBand="1" w:val="04A0"/>
      </w:tblPr>
      <w:tblGrid>
        <w:gridCol w:w="2266"/>
        <w:gridCol w:w="2266"/>
        <w:gridCol w:w="2266"/>
        <w:gridCol w:w="2266"/>
      </w:tblGrid>
      <w:tr>
        <w:tc>
          <w:tcPr>
            <w:tcW w:type="dxa" w:w="2266"/>
          </w:tcPr>
          <w:p>
            <w:r/>
            <w:r>
              <w:rPr>
                <w:rFonts w:eastAsia="黑体"/>
                <w:rFonts w:ascii="Times New Roman" w:hAnsi="Times New Roman"/>
                <w:b/>
                <w:i w:val="0"/>
                <w:sz w:val="20"/>
              </w:rPr>
              <w:t>姓名</w:t>
            </w:r>
          </w:p>
        </w:tc>
        <w:tc>
          <w:tcPr>
            <w:tcW w:type="dxa" w:w="2266"/>
          </w:tcPr>
          <w:p>
            <w:r/>
            <w:r>
              <w:rPr>
                <w:rFonts w:eastAsia="黑体"/>
                <w:rFonts w:ascii="Times New Roman" w:hAnsi="Times New Roman"/>
                <w:b/>
                <w:i w:val="0"/>
                <w:sz w:val="20"/>
              </w:rPr>
              <w:t>职务</w:t>
            </w:r>
          </w:p>
        </w:tc>
        <w:tc>
          <w:tcPr>
            <w:tcW w:type="dxa" w:w="2266"/>
          </w:tcPr>
          <w:p>
            <w:r/>
            <w:r>
              <w:rPr>
                <w:rFonts w:eastAsia="黑体"/>
                <w:rFonts w:ascii="Times New Roman" w:hAnsi="Times New Roman"/>
                <w:b/>
                <w:i w:val="0"/>
                <w:sz w:val="20"/>
              </w:rPr>
              <w:t>军种背景</w:t>
            </w:r>
          </w:p>
        </w:tc>
        <w:tc>
          <w:tcPr>
            <w:tcW w:type="dxa" w:w="2266"/>
          </w:tcPr>
          <w:p>
            <w:r/>
            <w:r>
              <w:rPr>
                <w:rFonts w:eastAsia="黑体"/>
                <w:rFonts w:ascii="Times New Roman" w:hAnsi="Times New Roman"/>
                <w:b/>
                <w:i w:val="0"/>
                <w:sz w:val="20"/>
              </w:rPr>
              <w:t>关键履历</w:t>
            </w:r>
          </w:p>
        </w:tc>
      </w:tr>
      <w:tr>
        <w:tc>
          <w:tcPr>
            <w:tcW w:type="dxa" w:w="2266"/>
          </w:tcPr>
          <w:p>
            <w:r/>
            <w:r>
              <w:rPr>
                <w:rFonts w:eastAsia="仿宋"/>
                <w:rFonts w:ascii="Times New Roman" w:hAnsi="Times New Roman"/>
                <w:b w:val="0"/>
                <w:i w:val="0"/>
                <w:sz w:val="20"/>
              </w:rPr>
              <w:t>戴维·德普图拉（David Deptula）</w:t>
            </w:r>
          </w:p>
        </w:tc>
        <w:tc>
          <w:tcPr>
            <w:tcW w:type="dxa" w:w="2266"/>
          </w:tcPr>
          <w:p>
            <w:r/>
            <w:r>
              <w:rPr>
                <w:rFonts w:eastAsia="仿宋"/>
                <w:rFonts w:ascii="Times New Roman" w:hAnsi="Times New Roman"/>
                <w:b w:val="0"/>
                <w:i w:val="0"/>
                <w:sz w:val="20"/>
              </w:rPr>
              <w:t>院长</w:t>
            </w:r>
          </w:p>
        </w:tc>
        <w:tc>
          <w:tcPr>
            <w:tcW w:type="dxa" w:w="2266"/>
          </w:tcPr>
          <w:p>
            <w:r/>
            <w:r>
              <w:rPr>
                <w:rFonts w:eastAsia="仿宋"/>
                <w:rFonts w:ascii="Times New Roman" w:hAnsi="Times New Roman"/>
                <w:b w:val="0"/>
                <w:i w:val="0"/>
                <w:sz w:val="20"/>
              </w:rPr>
              <w:t>美国空军（退役中将）</w:t>
            </w:r>
          </w:p>
        </w:tc>
        <w:tc>
          <w:tcPr>
            <w:tcW w:type="dxa" w:w="2266"/>
          </w:tcPr>
          <w:p>
            <w:r/>
            <w:r>
              <w:rPr>
                <w:rFonts w:eastAsia="仿宋"/>
                <w:rFonts w:ascii="Times New Roman" w:hAnsi="Times New Roman"/>
                <w:b w:val="0"/>
                <w:i w:val="0"/>
                <w:sz w:val="20"/>
              </w:rPr>
              <w:t>前空军情报、监视和侦察（ISR）副参谋长，海湾战争空中战役核心规划者</w:t>
            </w:r>
          </w:p>
        </w:tc>
      </w:tr>
      <w:tr>
        <w:tc>
          <w:tcPr>
            <w:tcW w:type="dxa" w:w="2266"/>
          </w:tcPr>
          <w:p>
            <w:r/>
            <w:r>
              <w:rPr>
                <w:rFonts w:eastAsia="仿宋"/>
                <w:rFonts w:ascii="Times New Roman" w:hAnsi="Times New Roman"/>
                <w:b w:val="0"/>
                <w:i w:val="0"/>
                <w:sz w:val="20"/>
              </w:rPr>
              <w:t>希瑟·彭尼（Heather Penney）</w:t>
            </w:r>
          </w:p>
        </w:tc>
        <w:tc>
          <w:tcPr>
            <w:tcW w:type="dxa" w:w="2266"/>
          </w:tcPr>
          <w:p>
            <w:r/>
            <w:r>
              <w:rPr>
                <w:rFonts w:eastAsia="仿宋"/>
                <w:rFonts w:ascii="Times New Roman" w:hAnsi="Times New Roman"/>
                <w:b w:val="0"/>
                <w:i w:val="0"/>
                <w:sz w:val="20"/>
              </w:rPr>
              <w:t>高级常驻研究员</w:t>
            </w:r>
          </w:p>
        </w:tc>
        <w:tc>
          <w:tcPr>
            <w:tcW w:type="dxa" w:w="2266"/>
          </w:tcPr>
          <w:p>
            <w:r/>
            <w:r>
              <w:rPr>
                <w:rFonts w:eastAsia="仿宋"/>
                <w:rFonts w:ascii="Times New Roman" w:hAnsi="Times New Roman"/>
                <w:b w:val="0"/>
                <w:i w:val="0"/>
                <w:sz w:val="20"/>
              </w:rPr>
              <w:t>美国空军（前战斗机飞行员）</w:t>
            </w:r>
          </w:p>
        </w:tc>
        <w:tc>
          <w:tcPr>
            <w:tcW w:type="dxa" w:w="2266"/>
          </w:tcPr>
          <w:p>
            <w:r/>
            <w:r>
              <w:rPr>
                <w:rFonts w:eastAsia="仿宋"/>
                <w:rFonts w:ascii="Times New Roman" w:hAnsi="Times New Roman"/>
                <w:b w:val="0"/>
                <w:i w:val="0"/>
                <w:sz w:val="20"/>
              </w:rPr>
              <w:t>9/11事件F-16拦截任务飞行员，《空天优势》播客主持人</w:t>
            </w:r>
          </w:p>
        </w:tc>
      </w:tr>
      <w:tr>
        <w:tc>
          <w:tcPr>
            <w:tcW w:type="dxa" w:w="2266"/>
          </w:tcPr>
          <w:p>
            <w:r/>
            <w:r>
              <w:rPr>
                <w:rFonts w:eastAsia="仿宋"/>
                <w:rFonts w:ascii="Times New Roman" w:hAnsi="Times New Roman"/>
                <w:b w:val="0"/>
                <w:i w:val="0"/>
                <w:sz w:val="20"/>
              </w:rPr>
              <w:t>迈克尔·达姆（J. Michael Dahm）</w:t>
            </w:r>
          </w:p>
        </w:tc>
        <w:tc>
          <w:tcPr>
            <w:tcW w:type="dxa" w:w="2266"/>
          </w:tcPr>
          <w:p>
            <w:r/>
            <w:r>
              <w:rPr>
                <w:rFonts w:eastAsia="仿宋"/>
                <w:rFonts w:ascii="Times New Roman" w:hAnsi="Times New Roman"/>
                <w:b w:val="0"/>
                <w:i w:val="0"/>
                <w:sz w:val="20"/>
              </w:rPr>
              <w:t>高级研究员</w:t>
            </w:r>
          </w:p>
        </w:tc>
        <w:tc>
          <w:tcPr>
            <w:tcW w:type="dxa" w:w="2266"/>
          </w:tcPr>
          <w:p>
            <w:r/>
            <w:r>
              <w:rPr>
                <w:rFonts w:eastAsia="仿宋"/>
                <w:rFonts w:ascii="Times New Roman" w:hAnsi="Times New Roman"/>
                <w:b w:val="0"/>
                <w:i w:val="0"/>
                <w:sz w:val="20"/>
              </w:rPr>
              <w:t>美国海军（前海军情报官）</w:t>
            </w:r>
          </w:p>
        </w:tc>
        <w:tc>
          <w:tcPr>
            <w:tcW w:type="dxa" w:w="2266"/>
          </w:tcPr>
          <w:p>
            <w:r/>
            <w:r>
              <w:rPr>
                <w:rFonts w:eastAsia="仿宋"/>
                <w:rFonts w:ascii="Times New Roman" w:hAnsi="Times New Roman"/>
                <w:b w:val="0"/>
                <w:i w:val="0"/>
                <w:sz w:val="20"/>
              </w:rPr>
              <w:t>25年印太军事情报经验，前美国驻华使馆助理海军武官</w:t>
            </w:r>
          </w:p>
        </w:tc>
      </w:tr>
      <w:tr>
        <w:tc>
          <w:tcPr>
            <w:tcW w:type="dxa" w:w="2266"/>
          </w:tcPr>
          <w:p>
            <w:r/>
            <w:r>
              <w:rPr>
                <w:rFonts w:eastAsia="仿宋"/>
                <w:rFonts w:ascii="Times New Roman" w:hAnsi="Times New Roman"/>
                <w:b w:val="0"/>
                <w:i w:val="0"/>
                <w:sz w:val="20"/>
              </w:rPr>
              <w:t>马克·冈辛格（Mark Gunzinger）</w:t>
            </w:r>
          </w:p>
        </w:tc>
        <w:tc>
          <w:tcPr>
            <w:tcW w:type="dxa" w:w="2266"/>
          </w:tcPr>
          <w:p>
            <w:r/>
            <w:r>
              <w:rPr>
                <w:rFonts w:eastAsia="仿宋"/>
                <w:rFonts w:ascii="Times New Roman" w:hAnsi="Times New Roman"/>
                <w:b w:val="0"/>
                <w:i w:val="0"/>
                <w:sz w:val="20"/>
              </w:rPr>
              <w:t>未来概念总监</w:t>
            </w:r>
          </w:p>
        </w:tc>
        <w:tc>
          <w:tcPr>
            <w:tcW w:type="dxa" w:w="2266"/>
          </w:tcPr>
          <w:p>
            <w:r/>
            <w:r>
              <w:rPr>
                <w:rFonts w:eastAsia="仿宋"/>
                <w:rFonts w:ascii="Times New Roman" w:hAnsi="Times New Roman"/>
                <w:b w:val="0"/>
                <w:i w:val="0"/>
                <w:sz w:val="20"/>
              </w:rPr>
              <w:t>美国空军（退役上校）</w:t>
            </w:r>
          </w:p>
        </w:tc>
        <w:tc>
          <w:tcPr>
            <w:tcW w:type="dxa" w:w="2266"/>
          </w:tcPr>
          <w:p>
            <w:r/>
            <w:r>
              <w:rPr>
                <w:rFonts w:eastAsia="仿宋"/>
                <w:rFonts w:ascii="Times New Roman" w:hAnsi="Times New Roman"/>
                <w:b w:val="0"/>
                <w:i w:val="0"/>
                <w:sz w:val="20"/>
              </w:rPr>
              <w:t>前美国国防部副助理部长（负责部队规划），主导多项兵力结构评估</w:t>
            </w:r>
          </w:p>
        </w:tc>
      </w:tr>
      <w:tr>
        <w:tc>
          <w:tcPr>
            <w:tcW w:type="dxa" w:w="2266"/>
          </w:tcPr>
          <w:p>
            <w:r/>
            <w:r>
              <w:rPr>
                <w:rFonts w:eastAsia="仿宋"/>
                <w:rFonts w:ascii="Times New Roman" w:hAnsi="Times New Roman"/>
                <w:b w:val="0"/>
                <w:i w:val="0"/>
                <w:sz w:val="20"/>
              </w:rPr>
              <w:t>拉里·斯图茨里姆（Larry Stutzriem）</w:t>
            </w:r>
          </w:p>
        </w:tc>
        <w:tc>
          <w:tcPr>
            <w:tcW w:type="dxa" w:w="2266"/>
          </w:tcPr>
          <w:p>
            <w:r/>
            <w:r>
              <w:rPr>
                <w:rFonts w:eastAsia="仿宋"/>
                <w:rFonts w:ascii="Times New Roman" w:hAnsi="Times New Roman"/>
                <w:b w:val="0"/>
                <w:i w:val="0"/>
                <w:sz w:val="20"/>
              </w:rPr>
              <w:t>研究总监</w:t>
            </w:r>
          </w:p>
        </w:tc>
        <w:tc>
          <w:tcPr>
            <w:tcW w:type="dxa" w:w="2266"/>
          </w:tcPr>
          <w:p>
            <w:r/>
            <w:r>
              <w:rPr>
                <w:rFonts w:eastAsia="仿宋"/>
                <w:rFonts w:ascii="Times New Roman" w:hAnsi="Times New Roman"/>
                <w:b w:val="0"/>
                <w:i w:val="0"/>
                <w:sz w:val="20"/>
              </w:rPr>
              <w:t>美国空军（退役少将）</w:t>
            </w:r>
          </w:p>
        </w:tc>
        <w:tc>
          <w:tcPr>
            <w:tcW w:type="dxa" w:w="2266"/>
          </w:tcPr>
          <w:p>
            <w:r/>
            <w:r>
              <w:rPr>
                <w:rFonts w:eastAsia="仿宋"/>
                <w:rFonts w:ascii="Times New Roman" w:hAnsi="Times New Roman"/>
                <w:b w:val="0"/>
                <w:i w:val="0"/>
                <w:sz w:val="20"/>
              </w:rPr>
              <w:t>前北美防空防天司令部（NORAD）作战总监</w:t>
            </w:r>
          </w:p>
        </w:tc>
      </w:tr>
      <w:tr>
        <w:tc>
          <w:tcPr>
            <w:tcW w:type="dxa" w:w="2266"/>
          </w:tcPr>
          <w:p>
            <w:r/>
            <w:r>
              <w:rPr>
                <w:rFonts w:eastAsia="仿宋"/>
                <w:rFonts w:ascii="Times New Roman" w:hAnsi="Times New Roman"/>
                <w:b w:val="0"/>
                <w:i w:val="0"/>
                <w:sz w:val="20"/>
              </w:rPr>
              <w:t>凯文·奇尔顿（Kevin Chilton）</w:t>
            </w:r>
          </w:p>
        </w:tc>
        <w:tc>
          <w:tcPr>
            <w:tcW w:type="dxa" w:w="2266"/>
          </w:tcPr>
          <w:p>
            <w:r/>
            <w:r>
              <w:rPr>
                <w:rFonts w:eastAsia="仿宋"/>
                <w:rFonts w:ascii="Times New Roman" w:hAnsi="Times New Roman"/>
                <w:b w:val="0"/>
                <w:i w:val="0"/>
                <w:sz w:val="20"/>
              </w:rPr>
              <w:t>太空力量优势卓越中心探索主席</w:t>
            </w:r>
          </w:p>
        </w:tc>
        <w:tc>
          <w:tcPr>
            <w:tcW w:type="dxa" w:w="2266"/>
          </w:tcPr>
          <w:p>
            <w:r/>
            <w:r>
              <w:rPr>
                <w:rFonts w:eastAsia="仿宋"/>
                <w:rFonts w:ascii="Times New Roman" w:hAnsi="Times New Roman"/>
                <w:b w:val="0"/>
                <w:i w:val="0"/>
                <w:sz w:val="20"/>
              </w:rPr>
              <w:t>美国空军（退役上将）</w:t>
            </w:r>
          </w:p>
        </w:tc>
        <w:tc>
          <w:tcPr>
            <w:tcW w:type="dxa" w:w="2266"/>
          </w:tcPr>
          <w:p>
            <w:r/>
            <w:r>
              <w:rPr>
                <w:rFonts w:eastAsia="仿宋"/>
                <w:rFonts w:ascii="Times New Roman" w:hAnsi="Times New Roman"/>
                <w:b w:val="0"/>
                <w:i w:val="0"/>
                <w:sz w:val="20"/>
              </w:rPr>
              <w:t>前美国战略司令部（USSTRATCOM）司令，前NASA宇航员</w:t>
            </w:r>
          </w:p>
        </w:tc>
      </w:tr>
    </w:tbl>
    <w:p/>
    <w:p>
      <w:pPr>
        <w:spacing w:before="280" w:after="120" w:lineRule="auto" w:line="360"/>
        <w:jc w:val="both"/>
      </w:pPr>
      <w:r>
        <w:rPr>
          <w:rFonts w:eastAsia="黑体"/>
          <w:rFonts w:ascii="黑体" w:hAnsi="黑体"/>
          <w:b/>
          <w:i w:val="0"/>
          <w:color w:val="28326E"/>
          <w:sz w:val="30"/>
        </w:rPr>
        <w:t>（三）资金链结构与利益绑定</w:t>
      </w:r>
    </w:p>
    <w:p>
      <w:pPr>
        <w:spacing w:before="0" w:after="80" w:lineRule="auto" w:line="360"/>
        <w:ind w:firstLine="420"/>
        <w:jc w:val="both"/>
      </w:pPr>
      <w:r>
        <w:rPr>
          <w:rFonts w:eastAsia="仿宋"/>
          <w:rFonts w:ascii="Times New Roman" w:hAnsi="Times New Roman"/>
          <w:b w:val="0"/>
          <w:i w:val="0"/>
          <w:sz w:val="24"/>
        </w:rPr>
        <w:t>已确证，米切尔研究所的资金运作模式呈现高度多元化，但底层逻辑与美国军工复合体存在深度的利益绑定。根据其母机构AFA的财务披露及公开合同数据，其资金链主要由三大支柱构成：</w:t>
      </w:r>
    </w:p>
    <w:p>
      <w:pPr>
        <w:spacing w:before="0" w:after="80" w:lineRule="auto" w:line="360"/>
        <w:ind w:firstLine="420"/>
        <w:jc w:val="both"/>
      </w:pPr>
      <w:r>
        <w:rPr>
          <w:rFonts w:eastAsia="仿宋"/>
          <w:rFonts w:ascii="Times New Roman" w:hAnsi="Times New Roman"/>
          <w:b w:val="0"/>
          <w:i w:val="0"/>
          <w:sz w:val="24"/>
        </w:rPr>
        <w:t>第一，政府拨款与合同采购。该机构的资金直接或间接来自美国国防部（DoD）、国防高级研究计划局（DARPA）、空军研究实验室（AFRL）以及国防部长办公厅（OSD）的定向赠款。此外，该机构持有美国总务管理局（GSA Schedule）的采购合同，允许美国政府机构通过简化的采购流程，直接购买其提供的咨询、研究与兵棋推演服务</w:t>
      </w:r>
      <w:r>
        <w:rPr>
          <w:rFonts w:eastAsia="仿宋"/>
          <w:rFonts w:ascii="Times New Roman" w:hAnsi="Times New Roman"/>
          <w:b w:val="0"/>
          <w:i w:val="0"/>
          <w:color w:val="323296"/>
          <w:sz w:val="16"/>
          <w:vertAlign w:val="superscript"/>
        </w:rPr>
        <w:t>[3]</w:t>
      </w:r>
      <w:r>
        <w:rPr>
          <w:rFonts w:eastAsia="仿宋"/>
          <w:rFonts w:ascii="Times New Roman" w:hAnsi="Times New Roman"/>
          <w:b w:val="0"/>
          <w:i w:val="0"/>
          <w:sz w:val="24"/>
        </w:rPr>
        <w:t>。</w:t>
      </w:r>
    </w:p>
    <w:p>
      <w:pPr>
        <w:spacing w:before="0" w:after="80" w:lineRule="auto" w:line="360"/>
        <w:ind w:firstLine="420"/>
        <w:jc w:val="both"/>
      </w:pPr>
      <w:r>
        <w:rPr>
          <w:rFonts w:eastAsia="仿宋"/>
          <w:rFonts w:ascii="Times New Roman" w:hAnsi="Times New Roman"/>
          <w:b w:val="0"/>
          <w:i w:val="0"/>
          <w:sz w:val="24"/>
        </w:rPr>
        <w:t>第二，企业赞助。这是维持其高频次政策倡导活动的核心血脉。其官网公开列出的企业赞助商几乎囊括了美国航空航天防务领域的全部巨头，包括波音（Boeing）、洛克希德·马丁（Lockheed Martin）、诺斯罗普·格鲁曼（Northrop Grumman）、雷神（Raytheon/RTX）、通用原子（General Atomics）、L3Harris、BAE系统（BAE Systems）、普惠（Pratt &amp; Whitney）以及太空探索技术公司（SpaceX）等</w:t>
      </w:r>
      <w:r>
        <w:rPr>
          <w:rFonts w:eastAsia="仿宋"/>
          <w:rFonts w:ascii="Times New Roman" w:hAnsi="Times New Roman"/>
          <w:b w:val="0"/>
          <w:i w:val="0"/>
          <w:color w:val="323296"/>
          <w:sz w:val="16"/>
          <w:vertAlign w:val="superscript"/>
        </w:rPr>
        <w:t>[4]</w:t>
      </w:r>
      <w:r>
        <w:rPr>
          <w:rFonts w:eastAsia="仿宋"/>
          <w:rFonts w:ascii="Times New Roman" w:hAnsi="Times New Roman"/>
          <w:b w:val="0"/>
          <w:i w:val="0"/>
          <w:sz w:val="24"/>
        </w:rPr>
        <w:t>。</w:t>
      </w:r>
    </w:p>
    <w:p>
      <w:pPr>
        <w:spacing w:before="0" w:after="80" w:lineRule="auto" w:line="360"/>
        <w:ind w:firstLine="420"/>
        <w:jc w:val="both"/>
      </w:pPr>
      <w:r>
        <w:rPr>
          <w:rFonts w:eastAsia="仿宋"/>
          <w:rFonts w:ascii="Times New Roman" w:hAnsi="Times New Roman"/>
          <w:b w:val="0"/>
          <w:i w:val="0"/>
          <w:sz w:val="24"/>
        </w:rPr>
        <w:t>第三，基金会与个人捐助。主要来自各类保守派私人基金会及国防工业高管（如Neal Blue等）的免税捐赠，为其特定议题的研究提供专项资金支持。</w:t>
      </w:r>
    </w:p>
    <w:p>
      <w:pPr>
        <w:spacing w:before="0" w:after="80" w:lineRule="auto" w:line="360"/>
        <w:ind w:firstLine="420"/>
        <w:jc w:val="both"/>
      </w:pPr>
      <w:r>
        <w:rPr>
          <w:rFonts w:eastAsia="仿宋"/>
          <w:rFonts w:ascii="Times New Roman" w:hAnsi="Times New Roman"/>
          <w:b w:val="0"/>
          <w:i w:val="0"/>
          <w:sz w:val="24"/>
        </w:rPr>
        <w:t>需要警惕的是，该机构的政策倡导与赞助商商业利益之间存在结构性的“利益冲突”（Conflict of Interest）。综合判断，米切尔研究所本质上充当了军工企业的“议程包装机”，其极力推荐采购的武器平台与其核心金主存在严密的对应关系。例如，该机构在多份报告中以“应对中国反介入/区域拒止（A2/AD）威胁”为由，强烈呼吁美国空军大规模增购B-21“突袭者”隐身轰炸机，而该机型的主承包商正是其核心赞助商诺斯罗普·格鲁曼，其发动机与电子战套件供应商普惠和BAE系统同样位列赞助名单</w:t>
      </w:r>
      <w:r>
        <w:rPr>
          <w:rFonts w:eastAsia="仿宋"/>
          <w:rFonts w:ascii="Times New Roman" w:hAnsi="Times New Roman"/>
          <w:b w:val="0"/>
          <w:i w:val="0"/>
          <w:color w:val="323296"/>
          <w:sz w:val="16"/>
          <w:vertAlign w:val="superscript"/>
        </w:rPr>
        <w:t>[5]</w:t>
      </w:r>
      <w:r>
        <w:rPr>
          <w:rFonts w:eastAsia="仿宋"/>
          <w:rFonts w:ascii="Times New Roman" w:hAnsi="Times New Roman"/>
          <w:b w:val="0"/>
          <w:i w:val="0"/>
          <w:sz w:val="24"/>
        </w:rPr>
        <w:t>。</w:t>
      </w:r>
    </w:p>
    <w:p>
      <w:pPr>
        <w:spacing w:before="0" w:after="80" w:lineRule="auto" w:line="360"/>
        <w:ind w:firstLine="420"/>
        <w:jc w:val="both"/>
      </w:pPr>
      <w:r>
        <w:rPr>
          <w:rFonts w:eastAsia="仿宋"/>
          <w:rFonts w:ascii="Times New Roman" w:hAnsi="Times New Roman"/>
          <w:b w:val="0"/>
          <w:i w:val="0"/>
          <w:sz w:val="24"/>
        </w:rPr>
        <w:t>同理，其极力推崇的第六代战机（F-47概念）、F-35升级计划以及协同作战飞机（CCA），分别与波音、洛克希德·马丁和通用原子的核心产品线高度重合。这种资金链结构决定了其研究产出必然倾向于渲染外部威胁，通过制造“战力焦虑”与“兵力结构危机”，来论证采购昂贵航空航天武器平台的合理性。其涉华军力评估的客观性已实质性让位于军工复合体的商业逐利诉求。</w:t>
      </w:r>
    </w:p>
    <w:p>
      <w:pPr>
        <w:spacing w:before="280" w:after="120" w:lineRule="auto" w:line="360"/>
        <w:jc w:val="both"/>
      </w:pPr>
      <w:r>
        <w:rPr>
          <w:rFonts w:eastAsia="黑体"/>
          <w:rFonts w:ascii="黑体" w:hAnsi="黑体"/>
          <w:b/>
          <w:i w:val="0"/>
          <w:color w:val="28326E"/>
          <w:sz w:val="30"/>
        </w:rPr>
        <w:t>（四）研究产品与传播渠道</w:t>
      </w:r>
    </w:p>
    <w:p>
      <w:pPr>
        <w:spacing w:before="0" w:after="80" w:lineRule="auto" w:line="360"/>
        <w:ind w:firstLine="420"/>
        <w:jc w:val="both"/>
      </w:pPr>
      <w:r>
        <w:rPr>
          <w:rFonts w:eastAsia="仿宋"/>
          <w:rFonts w:ascii="Times New Roman" w:hAnsi="Times New Roman"/>
          <w:b w:val="0"/>
          <w:i w:val="0"/>
          <w:sz w:val="24"/>
        </w:rPr>
        <w:t>总体看，米切尔研究所构建了多维度、高频次的研究产品矩阵，并打通了从智库发声到国会立法的闭环传播渠道。其核心产品矩阵涵盖六大类：一是定调宏观战略的《政策报告》（Policy Paper），通常针对国防战略转型或重大军种重组提出系统性建议；二是聚焦具体战术或技术议题的《论坛报告》（Forum Paper），篇幅较短，响应迅速；三是主打音频传播的《空天优势》（Aerospace Advantage）播客，通过高频更新抢占防务舆论阵地；四是汇聚军政高官的《空天国家》（Aerospace Nation）圆桌会议，为军方将领提供非正式的政策吹风平台；五是设定极端冲突想定（如台海冲突）的兵棋推演（Wargames），用以量化展示美军现存的战力缺口；六是提供高分辨率战术数据的《中国空军追踪器》（China Airpower Tracker），专门针对中国人民解放军空军的现代化进程进行持续的开源情报追踪</w:t>
      </w:r>
      <w:r>
        <w:rPr>
          <w:rFonts w:eastAsia="仿宋"/>
          <w:rFonts w:ascii="Times New Roman" w:hAnsi="Times New Roman"/>
          <w:b w:val="0"/>
          <w:i w:val="0"/>
          <w:color w:val="323296"/>
          <w:sz w:val="16"/>
          <w:vertAlign w:val="superscript"/>
        </w:rPr>
        <w:t>[6]</w:t>
      </w:r>
      <w:r>
        <w:rPr>
          <w:rFonts w:eastAsia="仿宋"/>
          <w:rFonts w:ascii="Times New Roman" w:hAnsi="Times New Roman"/>
          <w:b w:val="0"/>
          <w:i w:val="0"/>
          <w:sz w:val="24"/>
        </w:rPr>
        <w:t>。</w:t>
      </w:r>
    </w:p>
    <w:p>
      <w:pPr>
        <w:spacing w:before="0" w:after="80" w:lineRule="auto" w:line="360"/>
        <w:ind w:firstLine="420"/>
        <w:jc w:val="both"/>
      </w:pPr>
      <w:r>
        <w:rPr>
          <w:rFonts w:eastAsia="仿宋"/>
          <w:rFonts w:ascii="Times New Roman" w:hAnsi="Times New Roman"/>
          <w:b w:val="0"/>
          <w:i w:val="0"/>
          <w:sz w:val="24"/>
        </w:rPr>
        <w:t>研判其影响力放大机制，该机构形成了一套高效的“观点洗白与政策变现”流程。首先，其研究结论通过母机构AFA旗下的《空天军杂志》（Air &amp; Space Forces Magazine）进行全军种的舆论造势，将智库观点转化为军种内部的普遍共识。其次，依托其地缘与人脉优势，将报告转化为针对国会议员及助手的“国会简报”（Congressional Briefings），直接影响掌握钱袋子的立法者。最终，这些经过国家安全话语包装的军工诉求，被精准植入年度《国防授权法案》（NDAA）的条文或国防部预算案中。这种从“开源情报分析”到“兵棋推演造势”，再到“国会立法变现”的传播链路，极大放大了其在美国对华防务政策上的话语权。</w:t>
      </w:r>
    </w:p>
    <w:p>
      <w:pPr>
        <w:spacing w:before="280" w:after="120" w:lineRule="auto" w:line="360"/>
        <w:jc w:val="both"/>
      </w:pPr>
      <w:r>
        <w:rPr>
          <w:rFonts w:eastAsia="黑体"/>
          <w:rFonts w:ascii="黑体" w:hAnsi="黑体"/>
          <w:b/>
          <w:i w:val="0"/>
          <w:color w:val="28326E"/>
          <w:sz w:val="30"/>
        </w:rPr>
        <w:t>（五）战略生态位</w:t>
      </w:r>
    </w:p>
    <w:p>
      <w:pPr>
        <w:spacing w:before="0" w:after="80" w:lineRule="auto" w:line="360"/>
        <w:ind w:firstLine="420"/>
        <w:jc w:val="both"/>
      </w:pPr>
      <w:r>
        <w:rPr>
          <w:rFonts w:eastAsia="仿宋"/>
          <w:rFonts w:ascii="Times New Roman" w:hAnsi="Times New Roman"/>
          <w:b w:val="0"/>
          <w:i w:val="0"/>
          <w:sz w:val="24"/>
        </w:rPr>
        <w:t>综合判断，米切尔研究所在美国对华空天战略思想生产链中占据了独特且不可替代的战略生态位。它并非传统意义上保持绝对中立的学术机构，而是一个高度垂直的“倡导-研究混合体”（Advocacy-Research Hybrid）。</w:t>
      </w:r>
    </w:p>
    <w:p>
      <w:pPr>
        <w:spacing w:before="0" w:after="80" w:lineRule="auto" w:line="360"/>
        <w:ind w:firstLine="420"/>
        <w:jc w:val="both"/>
      </w:pPr>
      <w:r>
        <w:rPr>
          <w:rFonts w:eastAsia="仿宋"/>
          <w:rFonts w:ascii="Times New Roman" w:hAnsi="Times New Roman"/>
          <w:b w:val="0"/>
          <w:i w:val="0"/>
          <w:sz w:val="24"/>
        </w:rPr>
        <w:t>在华盛顿复杂的智库光谱中，米切尔研究所精准卡位：它比美国空军大学中国航空航天研究所（CASI）或海军战争学院中国海事研究所（CMSI）等军方学院派机构更具政治游说色彩，不受官方身份的严格约束；它比兰德公司（RAND）等联邦资助研发中心（FFRDC）的产出周期更短、政策指向性更露骨，能够迅速响应军工企业的短期预算诉求；它比《航空周刊》（Aviation Week）等行业期刊具备更深的战略理论包装，善于将技术参数转化为国家安全叙事；同时，它又比哈德逊研究所（Hudson Institute）或美国企业研究所（AEI）等综合性政治倾向智库在航空航天领域拥有更权威的专业技术壁垒。</w:t>
      </w:r>
    </w:p>
    <w:p>
      <w:pPr>
        <w:spacing w:before="0" w:after="80" w:lineRule="auto" w:line="360"/>
        <w:ind w:firstLine="420"/>
        <w:jc w:val="both"/>
      </w:pPr>
      <w:r>
        <w:rPr>
          <w:rFonts w:eastAsia="仿宋"/>
          <w:rFonts w:ascii="Times New Roman" w:hAnsi="Times New Roman"/>
          <w:b w:val="0"/>
          <w:i w:val="0"/>
          <w:sz w:val="24"/>
        </w:rPr>
        <w:t>这种精准的生态位，使其成为美国军工复合体在空天领域对华进行“威胁通胀”（Threat Inflation）与预算争夺的最有效扩音器。其产出的每一份涉华报告或台海兵推，表面上是客观的军力评估，实质上是为美国空军下一代装备采购清单量身定制的“需求说明书”。防务规划者在审视其研究结论时，必须将其置于美国国内军种博弈与军工利益分配的宏观框架下进行降维审视。</w:t>
      </w:r>
    </w:p>
    <w:p>
      <w:pPr>
        <w:spacing w:before="400" w:after="200" w:lineRule="auto" w:line="360"/>
        <w:jc w:val="both"/>
      </w:pPr>
      <w:r>
        <w:rPr>
          <w:rFonts w:eastAsia="黑体"/>
          <w:rFonts w:ascii="黑体" w:hAnsi="黑体"/>
          <w:b/>
          <w:i w:val="0"/>
          <w:color w:val="141E50"/>
          <w:sz w:val="36"/>
        </w:rPr>
        <w:t>三、涉台动向与情报联动</w:t>
      </w:r>
    </w:p>
    <w:p>
      <w:pPr>
        <w:spacing w:before="280" w:after="120" w:lineRule="auto" w:line="360"/>
        <w:jc w:val="both"/>
      </w:pPr>
      <w:r>
        <w:rPr>
          <w:rFonts w:eastAsia="黑体"/>
          <w:rFonts w:ascii="黑体" w:hAnsi="黑体"/>
          <w:b/>
          <w:i w:val="0"/>
          <w:color w:val="28326E"/>
          <w:sz w:val="30"/>
        </w:rPr>
        <w:t>（一）涉台议程的战略权重</w:t>
      </w:r>
    </w:p>
    <w:p>
      <w:pPr>
        <w:spacing w:before="0" w:after="80" w:lineRule="auto" w:line="360"/>
        <w:ind w:firstLine="420"/>
        <w:jc w:val="both"/>
      </w:pPr>
      <w:r>
        <w:rPr>
          <w:rFonts w:eastAsia="仿宋"/>
          <w:rFonts w:ascii="Times New Roman" w:hAnsi="Times New Roman"/>
          <w:b w:val="0"/>
          <w:i w:val="0"/>
          <w:sz w:val="24"/>
        </w:rPr>
        <w:t>已确证的出版物时间线与议程设置轨迹表明，米切尔航空航天研究所（The Mitchell Institute for Aerospace Studies，以下简称“米切尔研究所”）近年已将台湾问题从边缘战术探讨全面升级为其核心战略议程。总体看，该机构的涉台研究产品在频次、深度与政策穿透力上呈现出显著的递进特征，其研究焦点已从单一的战术设施观测，演变为涵盖全域作战、兵力结构与大国威慑的宏观战略推演。</w:t>
      </w:r>
    </w:p>
    <w:p>
      <w:pPr>
        <w:spacing w:before="0" w:after="80" w:lineRule="auto" w:line="360"/>
        <w:ind w:firstLine="420"/>
        <w:jc w:val="both"/>
      </w:pPr>
      <w:r>
        <w:rPr>
          <w:rFonts w:eastAsia="仿宋"/>
          <w:rFonts w:ascii="Times New Roman" w:hAnsi="Times New Roman"/>
          <w:b w:val="0"/>
          <w:i w:val="0"/>
          <w:sz w:val="24"/>
        </w:rPr>
        <w:t>2022年，米切尔研究所发布由丹尼尔·赖斯（Daniel Rice）撰写的《加固机库与无人战斗航空器：理解台湾面临的中国威胁》报告</w:t>
      </w:r>
      <w:r>
        <w:rPr>
          <w:rFonts w:eastAsia="仿宋"/>
          <w:rFonts w:ascii="Times New Roman" w:hAnsi="Times New Roman"/>
          <w:b w:val="0"/>
          <w:i w:val="0"/>
          <w:color w:val="323296"/>
          <w:sz w:val="16"/>
          <w:vertAlign w:val="superscript"/>
        </w:rPr>
        <w:t>[1]</w:t>
      </w:r>
      <w:r>
        <w:rPr>
          <w:rFonts w:eastAsia="仿宋"/>
          <w:rFonts w:ascii="Times New Roman" w:hAnsi="Times New Roman"/>
          <w:b w:val="0"/>
          <w:i w:val="0"/>
          <w:sz w:val="24"/>
        </w:rPr>
        <w:t>。该报告首次系统性地利用开源情报（OSINT）对中国人民解放军在台海前沿机场的加固机库（HAS）建设进行量化评估。综合判断，此报告标志着米切尔研究所正式切入台海战术情报领域，其核心目的是为美国空军在第一岛链的生存力焦虑寻找外部证据。</w:t>
      </w:r>
    </w:p>
    <w:p>
      <w:pPr>
        <w:spacing w:before="0" w:after="80" w:lineRule="auto" w:line="360"/>
        <w:ind w:firstLine="420"/>
        <w:jc w:val="both"/>
      </w:pPr>
      <w:r>
        <w:rPr>
          <w:rFonts w:eastAsia="仿宋"/>
          <w:rFonts w:ascii="Times New Roman" w:hAnsi="Times New Roman"/>
          <w:b w:val="0"/>
          <w:i w:val="0"/>
          <w:sz w:val="24"/>
        </w:rPr>
        <w:t>至2024年，该机构发布《抗击空军基地》（Fighting the Air Base）重磅报告</w:t>
      </w:r>
      <w:r>
        <w:rPr>
          <w:rFonts w:eastAsia="仿宋"/>
          <w:rFonts w:ascii="Times New Roman" w:hAnsi="Times New Roman"/>
          <w:b w:val="0"/>
          <w:i w:val="0"/>
          <w:color w:val="323296"/>
          <w:sz w:val="16"/>
          <w:vertAlign w:val="superscript"/>
        </w:rPr>
        <w:t>[2]</w:t>
      </w:r>
      <w:r>
        <w:rPr>
          <w:rFonts w:eastAsia="仿宋"/>
          <w:rFonts w:ascii="Times New Roman" w:hAnsi="Times New Roman"/>
          <w:b w:val="0"/>
          <w:i w:val="0"/>
          <w:sz w:val="24"/>
        </w:rPr>
        <w:t>。该报告的涉台权重显著上升，明确将台海冲突想定为美国空军面临的最严峻测试场。报告不再局限于静态的设施观测，而是系统探讨了解放军的导弹打击网络对美台联合防空体系的压制能力，并据此提出美军需强化基地防御与分布式作战（Agile Combat Employment, ACE）的政策诉求。</w:t>
      </w:r>
    </w:p>
    <w:p>
      <w:pPr>
        <w:spacing w:before="0" w:after="80" w:lineRule="auto" w:line="360"/>
        <w:ind w:firstLine="420"/>
        <w:jc w:val="both"/>
      </w:pPr>
      <w:r>
        <w:rPr>
          <w:rFonts w:eastAsia="仿宋"/>
          <w:rFonts w:ascii="Times New Roman" w:hAnsi="Times New Roman"/>
          <w:b w:val="0"/>
          <w:i w:val="0"/>
          <w:sz w:val="24"/>
        </w:rPr>
        <w:t>进入2026年，米切尔研究所的涉台议程达到历史高点。2026年初，该机构正式上线《中国空军追踪器》（China Airpower Tracker）</w:t>
      </w:r>
      <w:r>
        <w:rPr>
          <w:rFonts w:eastAsia="仿宋"/>
          <w:rFonts w:ascii="Times New Roman" w:hAnsi="Times New Roman"/>
          <w:b w:val="0"/>
          <w:i w:val="0"/>
          <w:color w:val="323296"/>
          <w:sz w:val="16"/>
          <w:vertAlign w:val="superscript"/>
        </w:rPr>
        <w:t>[3]</w:t>
      </w:r>
      <w:r>
        <w:rPr>
          <w:rFonts w:eastAsia="仿宋"/>
          <w:rFonts w:ascii="Times New Roman" w:hAnsi="Times New Roman"/>
          <w:b w:val="0"/>
          <w:i w:val="0"/>
          <w:sz w:val="24"/>
        </w:rPr>
        <w:t>，将对台海周边解放军空中力量的监测机制化、常态化。同年4月，基于2025年夏季举行的台海冲突兵棋推演，该机构发布《重建美国空中力量》报告</w:t>
      </w:r>
      <w:r>
        <w:rPr>
          <w:rFonts w:eastAsia="仿宋"/>
          <w:rFonts w:ascii="Times New Roman" w:hAnsi="Times New Roman"/>
          <w:b w:val="0"/>
          <w:i w:val="0"/>
          <w:color w:val="323296"/>
          <w:sz w:val="16"/>
          <w:vertAlign w:val="superscript"/>
        </w:rPr>
        <w:t>[4]</w:t>
      </w:r>
      <w:r>
        <w:rPr>
          <w:rFonts w:eastAsia="仿宋"/>
          <w:rFonts w:ascii="Times New Roman" w:hAnsi="Times New Roman"/>
          <w:b w:val="0"/>
          <w:i w:val="0"/>
          <w:sz w:val="24"/>
        </w:rPr>
        <w:t>。研判认为，从2022年的“战术观测”到2026年的“机制化追踪”与“战略兵推”，米切尔研究所已将“台海危机”深度内化为其向美国国会与国防部索要预算、推动特定军工项目（如第六代战机与无人协同平台）的核心政策杠杆。涉台议程已成为维持该机构在华盛顿智库圈战略权重的基石。</w:t>
      </w:r>
    </w:p>
    <w:p>
      <w:pPr>
        <w:spacing w:before="280" w:after="120" w:lineRule="auto" w:line="360"/>
        <w:jc w:val="both"/>
      </w:pPr>
      <w:r>
        <w:rPr>
          <w:rFonts w:eastAsia="黑体"/>
          <w:rFonts w:ascii="黑体" w:hAnsi="黑体"/>
          <w:b/>
          <w:i w:val="0"/>
          <w:color w:val="28326E"/>
          <w:sz w:val="30"/>
        </w:rPr>
        <w:t>（二）与台湾“国防安全研究院”（INDSR）的学术嵌合</w:t>
      </w:r>
    </w:p>
    <w:p>
      <w:pPr>
        <w:spacing w:before="0" w:after="80" w:lineRule="auto" w:line="360"/>
        <w:ind w:firstLine="420"/>
        <w:jc w:val="both"/>
      </w:pPr>
      <w:r>
        <w:rPr>
          <w:rFonts w:eastAsia="仿宋"/>
          <w:rFonts w:ascii="Times New Roman" w:hAnsi="Times New Roman"/>
          <w:b w:val="0"/>
          <w:i w:val="0"/>
          <w:sz w:val="24"/>
        </w:rPr>
        <w:t>在台湾地区的防务智库生态中，米切尔研究所与台湾“国防安全研究院”（Institute for National Defense and Security Research, INDSR）形成了深度的学术嵌合与信息共振。要理解这种互动的实质，必须首先明确INDSR的机构属性。</w:t>
      </w:r>
    </w:p>
    <w:p>
      <w:pPr>
        <w:spacing w:before="0" w:after="80" w:lineRule="auto" w:line="360"/>
        <w:ind w:firstLine="420"/>
        <w:jc w:val="both"/>
      </w:pPr>
      <w:r>
        <w:rPr>
          <w:rFonts w:eastAsia="仿宋"/>
          <w:rFonts w:ascii="Times New Roman" w:hAnsi="Times New Roman"/>
          <w:b w:val="0"/>
          <w:i w:val="0"/>
          <w:sz w:val="24"/>
        </w:rPr>
        <w:t>已确证的背景信息显示，INDSR成立于2018年，在法律结构上属于“财团法人”，受台湾地区立法机构监督，但其运营经费几乎全额来自台湾防务部门</w:t>
      </w:r>
      <w:r>
        <w:rPr>
          <w:rFonts w:eastAsia="仿宋"/>
          <w:rFonts w:ascii="Times New Roman" w:hAnsi="Times New Roman"/>
          <w:b w:val="0"/>
          <w:i w:val="0"/>
          <w:color w:val="323296"/>
          <w:sz w:val="16"/>
          <w:vertAlign w:val="superscript"/>
        </w:rPr>
        <w:t>[5]</w:t>
      </w:r>
      <w:r>
        <w:rPr>
          <w:rFonts w:eastAsia="仿宋"/>
          <w:rFonts w:ascii="Times New Roman" w:hAnsi="Times New Roman"/>
          <w:b w:val="0"/>
          <w:i w:val="0"/>
          <w:sz w:val="24"/>
        </w:rPr>
        <w:t>。综合判断，INDSR实质上是台湾防务部门的“白手套”与二轨（Track-2）外交平台，肩负着对内引导防务舆论、对外对接国际安全网络的核心职能。</w:t>
      </w:r>
    </w:p>
    <w:p>
      <w:pPr>
        <w:spacing w:before="0" w:after="80" w:lineRule="auto" w:line="360"/>
        <w:ind w:firstLine="420"/>
        <w:jc w:val="both"/>
      </w:pPr>
      <w:r>
        <w:rPr>
          <w:rFonts w:eastAsia="仿宋"/>
          <w:rFonts w:ascii="Times New Roman" w:hAnsi="Times New Roman"/>
          <w:b w:val="0"/>
          <w:i w:val="0"/>
          <w:sz w:val="24"/>
        </w:rPr>
        <w:t>据公开信息推断，尽管现有公开材料中未发现米切尔研究所与INDSR签署过正式的合作谅解备忘录（MOU）或书面合作协议，但双方在学术产出与人员互动上呈现出高度的“平台型嵌合”特征。这种嵌合主要体现在以下三个维度：</w:t>
      </w:r>
    </w:p>
    <w:p>
      <w:pPr>
        <w:spacing w:before="0" w:after="80" w:lineRule="auto" w:line="360"/>
        <w:ind w:firstLine="420"/>
        <w:jc w:val="both"/>
      </w:pPr>
      <w:r>
        <w:rPr>
          <w:rFonts w:eastAsia="仿宋"/>
          <w:rFonts w:ascii="Times New Roman" w:hAnsi="Times New Roman"/>
          <w:b w:val="0"/>
          <w:i w:val="0"/>
          <w:sz w:val="24"/>
        </w:rPr>
        <w:t>第一，</w:t>
      </w:r>
      <w:r>
        <w:rPr>
          <w:rFonts w:eastAsia="黑体"/>
          <w:rFonts w:ascii="Times New Roman" w:hAnsi="Times New Roman"/>
          <w:b/>
          <w:i w:val="0"/>
          <w:sz w:val="24"/>
        </w:rPr>
        <w:t>高频次的引用共振</w:t>
      </w:r>
      <w:r>
        <w:rPr>
          <w:rFonts w:eastAsia="仿宋"/>
          <w:rFonts w:ascii="Times New Roman" w:hAnsi="Times New Roman"/>
          <w:b w:val="0"/>
          <w:i w:val="0"/>
          <w:sz w:val="24"/>
        </w:rPr>
        <w:t>。在INDSR发布的《国防安全双周报》、年度《中共政军发展评估报告》及各类政策简报中，米切尔研究所的研究产出被高频引用。具体而言，INDSR的研究员在论述解放军无人机蜂群战术与台海防空压力时，大量引述米切尔高级研究员希瑟·彭尼（Heather Penney）关于协同作战飞机（CCA）的论述；在评估解放军东部战区空军部署时，深度依赖迈克尔·达姆（J. Michael Dahm）的开源情报数据；在探讨台湾整体防空反导架构时，则频繁借用院长大卫·德普图拉（David Deptula）的战略轰炸与制空权理论</w:t>
      </w:r>
      <w:r>
        <w:rPr>
          <w:rFonts w:eastAsia="仿宋"/>
          <w:rFonts w:ascii="Times New Roman" w:hAnsi="Times New Roman"/>
          <w:b w:val="0"/>
          <w:i w:val="0"/>
          <w:color w:val="323296"/>
          <w:sz w:val="16"/>
          <w:vertAlign w:val="superscript"/>
        </w:rPr>
        <w:t>[6]</w:t>
      </w:r>
      <w:r>
        <w:rPr>
          <w:rFonts w:eastAsia="仿宋"/>
          <w:rFonts w:ascii="Times New Roman" w:hAnsi="Times New Roman"/>
          <w:b w:val="0"/>
          <w:i w:val="0"/>
          <w:color w:val="323296"/>
          <w:sz w:val="16"/>
          <w:vertAlign w:val="superscript"/>
        </w:rPr>
        <w:t>[7]</w:t>
      </w:r>
      <w:r>
        <w:rPr>
          <w:rFonts w:eastAsia="仿宋"/>
          <w:rFonts w:ascii="Times New Roman" w:hAnsi="Times New Roman"/>
          <w:b w:val="0"/>
          <w:i w:val="0"/>
          <w:sz w:val="24"/>
        </w:rPr>
        <w:t>。这种单向的高频引用，实质上是INDSR利用美国权威军种智库的背书，来强化台湾防务部门内部政策（如增加不对称作战预算）的合法性。</w:t>
      </w:r>
    </w:p>
    <w:p>
      <w:pPr>
        <w:spacing w:before="0" w:after="80" w:lineRule="auto" w:line="360"/>
        <w:ind w:firstLine="420"/>
        <w:jc w:val="both"/>
      </w:pPr>
      <w:r>
        <w:rPr>
          <w:rFonts w:eastAsia="仿宋"/>
          <w:rFonts w:ascii="Times New Roman" w:hAnsi="Times New Roman"/>
          <w:b w:val="0"/>
          <w:i w:val="0"/>
          <w:sz w:val="24"/>
        </w:rPr>
        <w:t>第二，</w:t>
      </w:r>
      <w:r>
        <w:rPr>
          <w:rFonts w:eastAsia="黑体"/>
          <w:rFonts w:ascii="Times New Roman" w:hAnsi="Times New Roman"/>
          <w:b/>
          <w:i w:val="0"/>
          <w:sz w:val="24"/>
        </w:rPr>
        <w:t>人员同框与实地调研</w:t>
      </w:r>
      <w:r>
        <w:rPr>
          <w:rFonts w:eastAsia="仿宋"/>
          <w:rFonts w:ascii="Times New Roman" w:hAnsi="Times New Roman"/>
          <w:b w:val="0"/>
          <w:i w:val="0"/>
          <w:sz w:val="24"/>
        </w:rPr>
        <w:t>。2026年初，米切尔研究所高级研究员达姆完成了对台湾地区的深度实地调研，并在其播客节目《航空航天优势》（The Aerospace Advantage）中详细评估了台湾抵御解放军军事胁迫的能力</w:t>
      </w:r>
      <w:r>
        <w:rPr>
          <w:rFonts w:eastAsia="仿宋"/>
          <w:rFonts w:ascii="Times New Roman" w:hAnsi="Times New Roman"/>
          <w:b w:val="0"/>
          <w:i w:val="0"/>
          <w:color w:val="323296"/>
          <w:sz w:val="16"/>
          <w:vertAlign w:val="superscript"/>
        </w:rPr>
        <w:t>[8]</w:t>
      </w:r>
      <w:r>
        <w:rPr>
          <w:rFonts w:eastAsia="仿宋"/>
          <w:rFonts w:ascii="Times New Roman" w:hAnsi="Times New Roman"/>
          <w:b w:val="0"/>
          <w:i w:val="0"/>
          <w:sz w:val="24"/>
        </w:rPr>
        <w:t>。研判认为，此类高级别研究员的深度访台，必然涉及与INDSR等台湾官方智库的闭门交流与信息对齐。</w:t>
      </w:r>
    </w:p>
    <w:p>
      <w:pPr>
        <w:spacing w:before="0" w:after="80" w:lineRule="auto" w:line="360"/>
        <w:ind w:firstLine="420"/>
        <w:jc w:val="both"/>
      </w:pPr>
      <w:r>
        <w:rPr>
          <w:rFonts w:eastAsia="仿宋"/>
          <w:rFonts w:ascii="Times New Roman" w:hAnsi="Times New Roman"/>
          <w:b w:val="0"/>
          <w:i w:val="0"/>
          <w:sz w:val="24"/>
        </w:rPr>
        <w:t>第三，</w:t>
      </w:r>
      <w:r>
        <w:rPr>
          <w:rFonts w:eastAsia="黑体"/>
          <w:rFonts w:ascii="Times New Roman" w:hAnsi="Times New Roman"/>
          <w:b/>
          <w:i w:val="0"/>
          <w:sz w:val="24"/>
        </w:rPr>
        <w:t>共同会议场域的交集</w:t>
      </w:r>
      <w:r>
        <w:rPr>
          <w:rFonts w:eastAsia="仿宋"/>
          <w:rFonts w:ascii="Times New Roman" w:hAnsi="Times New Roman"/>
          <w:b w:val="0"/>
          <w:i w:val="0"/>
          <w:sz w:val="24"/>
        </w:rPr>
        <w:t>。双方研究人员频繁在多边安全论坛中形成交集。已确证的共同会议场域包括台北安全对话（Taipei Security Dialogue）、哈利法克斯国际安全论坛（Halifax International Security Forum）以及阿斯彭安全论坛（Aspen Security Forum）等</w:t>
      </w:r>
      <w:r>
        <w:rPr>
          <w:rFonts w:eastAsia="仿宋"/>
          <w:rFonts w:ascii="Times New Roman" w:hAnsi="Times New Roman"/>
          <w:b w:val="0"/>
          <w:i w:val="0"/>
          <w:color w:val="323296"/>
          <w:sz w:val="16"/>
          <w:vertAlign w:val="superscript"/>
        </w:rPr>
        <w:t>[9]</w:t>
      </w:r>
      <w:r>
        <w:rPr>
          <w:rFonts w:eastAsia="仿宋"/>
          <w:rFonts w:ascii="Times New Roman" w:hAnsi="Times New Roman"/>
          <w:b w:val="0"/>
          <w:i w:val="0"/>
          <w:sz w:val="24"/>
        </w:rPr>
        <w:t>。在这些二轨外交场合，米切尔研究所的“空天制胜论”与INDSR的“不对称防卫论”形成了互补性的叙事同盟，共同在国际场域放大台海安全焦虑。</w:t>
      </w:r>
    </w:p>
    <w:p>
      <w:pPr>
        <w:spacing w:before="280" w:after="120" w:lineRule="auto" w:line="360"/>
        <w:jc w:val="both"/>
      </w:pPr>
      <w:r>
        <w:rPr>
          <w:rFonts w:eastAsia="黑体"/>
          <w:rFonts w:ascii="黑体" w:hAnsi="黑体"/>
          <w:b/>
          <w:i w:val="0"/>
          <w:color w:val="28326E"/>
          <w:sz w:val="30"/>
        </w:rPr>
        <w:t>（三）与台湾国安局、军情局的可见联系</w:t>
      </w:r>
    </w:p>
    <w:p>
      <w:pPr>
        <w:spacing w:before="0" w:after="80" w:lineRule="auto" w:line="360"/>
        <w:ind w:firstLine="420"/>
        <w:jc w:val="both"/>
      </w:pPr>
      <w:r>
        <w:rPr>
          <w:rFonts w:eastAsia="仿宋"/>
          <w:rFonts w:ascii="Times New Roman" w:hAnsi="Times New Roman"/>
          <w:b w:val="0"/>
          <w:i w:val="0"/>
          <w:sz w:val="24"/>
        </w:rPr>
        <w:t>评估美国非官方智库与台湾地区核心情报机构——台湾国安局（National Security Bureau, NSB）及台湾军情局（Military Intelligence Bureau, MIB）——的联系，是本报告最为敏感且需极度严谨的环节。</w:t>
      </w:r>
    </w:p>
    <w:p>
      <w:pPr>
        <w:spacing w:before="0" w:after="80" w:lineRule="auto" w:line="360"/>
        <w:ind w:firstLine="420"/>
        <w:jc w:val="both"/>
      </w:pPr>
      <w:r>
        <w:rPr>
          <w:rFonts w:eastAsia="仿宋"/>
          <w:rFonts w:ascii="Times New Roman" w:hAnsi="Times New Roman"/>
          <w:b w:val="0"/>
          <w:i w:val="0"/>
          <w:sz w:val="24"/>
        </w:rPr>
        <w:t>必须明确指出：</w:t>
      </w:r>
      <w:r>
        <w:rPr>
          <w:rFonts w:eastAsia="黑体"/>
          <w:rFonts w:ascii="Times New Roman" w:hAnsi="Times New Roman"/>
          <w:b/>
          <w:i w:val="0"/>
          <w:sz w:val="24"/>
        </w:rPr>
        <w:t>本文不臆测米切尔研究所与台湾情报机构存在隐秘的机密合作。现有公开材料中，未发现米切尔研究所与台湾NSB或MIB存在正式情报共享协议、资金往来或直接联合行动的记录。</w:t>
      </w:r>
      <w:r>
        <w:rPr>
          <w:rFonts w:eastAsia="仿宋"/>
          <w:rFonts w:ascii="Times New Roman" w:hAnsi="Times New Roman"/>
          <w:b w:val="0"/>
          <w:i w:val="0"/>
          <w:sz w:val="24"/>
        </w:rPr>
        <w:t xml:space="preserve"> 台湾情报机构受严格的保密法规限制，极少与外国非政府实体进行公开的机制化对接。</w:t>
      </w:r>
    </w:p>
    <w:p>
      <w:pPr>
        <w:spacing w:before="0" w:after="80" w:lineRule="auto" w:line="360"/>
        <w:ind w:firstLine="420"/>
        <w:jc w:val="both"/>
      </w:pPr>
      <w:r>
        <w:rPr>
          <w:rFonts w:eastAsia="仿宋"/>
          <w:rFonts w:ascii="Times New Roman" w:hAnsi="Times New Roman"/>
          <w:b w:val="0"/>
          <w:i w:val="0"/>
          <w:sz w:val="24"/>
        </w:rPr>
        <w:t>然而，情报分析的基本原则表明，“无证据”（absence of evidence）不等于“证据不存在”（evidence of absence）。综合判断，米切尔研究所与台湾国安系统之间存在清晰的</w:t>
      </w:r>
      <w:r>
        <w:rPr>
          <w:rFonts w:eastAsia="黑体"/>
          <w:rFonts w:ascii="Times New Roman" w:hAnsi="Times New Roman"/>
          <w:b/>
          <w:i w:val="0"/>
          <w:sz w:val="24"/>
        </w:rPr>
        <w:t>间接通道</w:t>
      </w:r>
      <w:r>
        <w:rPr>
          <w:rFonts w:eastAsia="仿宋"/>
          <w:rFonts w:ascii="Times New Roman" w:hAnsi="Times New Roman"/>
          <w:b w:val="0"/>
          <w:i w:val="0"/>
          <w:sz w:val="24"/>
        </w:rPr>
        <w:t>与</w:t>
      </w:r>
      <w:r>
        <w:rPr>
          <w:rFonts w:eastAsia="黑体"/>
          <w:rFonts w:ascii="Times New Roman" w:hAnsi="Times New Roman"/>
          <w:b/>
          <w:i w:val="0"/>
          <w:sz w:val="24"/>
        </w:rPr>
        <w:t>平台型嵌合</w:t>
      </w:r>
      <w:r>
        <w:rPr>
          <w:rFonts w:eastAsia="仿宋"/>
          <w:rFonts w:ascii="Times New Roman" w:hAnsi="Times New Roman"/>
          <w:b w:val="0"/>
          <w:i w:val="0"/>
          <w:sz w:val="24"/>
        </w:rPr>
        <w:t>，而非传统的“协议型合作”。这种可见的联系主要通过以下三条路径实现：</w:t>
      </w:r>
    </w:p>
    <w:p>
      <w:pPr>
        <w:spacing w:before="0" w:after="80" w:lineRule="auto" w:line="360"/>
        <w:ind w:firstLine="420"/>
        <w:jc w:val="both"/>
      </w:pPr>
      <w:r>
        <w:rPr>
          <w:rFonts w:eastAsia="仿宋"/>
          <w:rFonts w:ascii="Times New Roman" w:hAnsi="Times New Roman"/>
          <w:b w:val="0"/>
          <w:i w:val="0"/>
          <w:sz w:val="24"/>
        </w:rPr>
        <w:t>其一，</w:t>
      </w:r>
      <w:r>
        <w:rPr>
          <w:rFonts w:eastAsia="黑体"/>
          <w:rFonts w:ascii="Times New Roman" w:hAnsi="Times New Roman"/>
          <w:b/>
          <w:i w:val="0"/>
          <w:sz w:val="24"/>
        </w:rPr>
        <w:t>美国在台协会（AIT）的中介枢纽作用</w:t>
      </w:r>
      <w:r>
        <w:rPr>
          <w:rFonts w:eastAsia="仿宋"/>
          <w:rFonts w:ascii="Times New Roman" w:hAnsi="Times New Roman"/>
          <w:b w:val="0"/>
          <w:i w:val="0"/>
          <w:sz w:val="24"/>
        </w:rPr>
        <w:t>。AIT作为美国在台的实质性官方代表，是连接华盛顿智库与台湾国安高层的关键桥梁。2026年1月，AIT处长谷立言（Raymond Greene）在INDSR发表重要演讲，强调台湾需采取行动恢复防卫信心，并重申美国通过安全援助与防务工业合作支持台湾</w:t>
      </w:r>
      <w:r>
        <w:rPr>
          <w:rFonts w:eastAsia="仿宋"/>
          <w:rFonts w:ascii="Times New Roman" w:hAnsi="Times New Roman"/>
          <w:b w:val="0"/>
          <w:i w:val="0"/>
          <w:color w:val="323296"/>
          <w:sz w:val="16"/>
          <w:vertAlign w:val="superscript"/>
        </w:rPr>
        <w:t>[10]</w:t>
      </w:r>
      <w:r>
        <w:rPr>
          <w:rFonts w:eastAsia="仿宋"/>
          <w:rFonts w:ascii="Times New Roman" w:hAnsi="Times New Roman"/>
          <w:b w:val="0"/>
          <w:i w:val="0"/>
          <w:sz w:val="24"/>
        </w:rPr>
        <w:t>。研判认为，AIT在实际操作中，经常将米切尔研究所等华盛顿智库的非机密威胁评估报告，作为政策沟通的底稿传递给台湾NSB等决策机构，从而在不违反情报纪律的前提下，实现了美台双方在威胁认知上的对齐。</w:t>
      </w:r>
    </w:p>
    <w:p>
      <w:pPr>
        <w:spacing w:before="0" w:after="80" w:lineRule="auto" w:line="360"/>
        <w:ind w:firstLine="420"/>
        <w:jc w:val="both"/>
      </w:pPr>
      <w:r>
        <w:rPr>
          <w:rFonts w:eastAsia="仿宋"/>
          <w:rFonts w:ascii="Times New Roman" w:hAnsi="Times New Roman"/>
          <w:b w:val="0"/>
          <w:i w:val="0"/>
          <w:sz w:val="24"/>
        </w:rPr>
        <w:t>其二，</w:t>
      </w:r>
      <w:r>
        <w:rPr>
          <w:rFonts w:eastAsia="黑体"/>
          <w:rFonts w:ascii="Times New Roman" w:hAnsi="Times New Roman"/>
          <w:b/>
          <w:i w:val="0"/>
          <w:sz w:val="24"/>
        </w:rPr>
        <w:t>国会听证证词与NSB关切的镜像映射</w:t>
      </w:r>
      <w:r>
        <w:rPr>
          <w:rFonts w:eastAsia="仿宋"/>
          <w:rFonts w:ascii="Times New Roman" w:hAnsi="Times New Roman"/>
          <w:b w:val="0"/>
          <w:i w:val="0"/>
          <w:sz w:val="24"/>
        </w:rPr>
        <w:t>。米切尔研究所高级研究员达姆多次在美国国会美中经济与安全评估委员会（USCC）等机构作证。对比达姆的证词内容与台湾NSB向台湾地区立法机构提交的《国家情报工作暨国家安全局业务报告》，可以发现两者在关注焦点（如解放军沿海机场扩建、灰色地带袭扰战术、网络认知作战）上存在高度的镜像映射</w:t>
      </w:r>
      <w:r>
        <w:rPr>
          <w:rFonts w:eastAsia="仿宋"/>
          <w:rFonts w:ascii="Times New Roman" w:hAnsi="Times New Roman"/>
          <w:b w:val="0"/>
          <w:i w:val="0"/>
          <w:color w:val="323296"/>
          <w:sz w:val="16"/>
          <w:vertAlign w:val="superscript"/>
        </w:rPr>
        <w:t>[11]</w:t>
      </w:r>
      <w:r>
        <w:rPr>
          <w:rFonts w:eastAsia="仿宋"/>
          <w:rFonts w:ascii="Times New Roman" w:hAnsi="Times New Roman"/>
          <w:b w:val="0"/>
          <w:i w:val="0"/>
          <w:color w:val="323296"/>
          <w:sz w:val="16"/>
          <w:vertAlign w:val="superscript"/>
        </w:rPr>
        <w:t>[12]</w:t>
      </w:r>
      <w:r>
        <w:rPr>
          <w:rFonts w:eastAsia="仿宋"/>
          <w:rFonts w:ascii="Times New Roman" w:hAnsi="Times New Roman"/>
          <w:b w:val="0"/>
          <w:i w:val="0"/>
          <w:sz w:val="24"/>
        </w:rPr>
        <w:t>。据公开信息推断，台湾NSB的情报研析部门高度关注并系统性地吸收了米切尔研究所的开源情报产出，将其作为印证自身机密情报（SIGINT/HUMINT）的重要外部参考。</w:t>
      </w:r>
    </w:p>
    <w:p>
      <w:pPr>
        <w:spacing w:before="0" w:after="80" w:lineRule="auto" w:line="360"/>
        <w:ind w:firstLine="420"/>
        <w:jc w:val="both"/>
      </w:pPr>
      <w:r>
        <w:rPr>
          <w:rFonts w:eastAsia="仿宋"/>
          <w:rFonts w:ascii="Times New Roman" w:hAnsi="Times New Roman"/>
          <w:b w:val="0"/>
          <w:i w:val="0"/>
          <w:sz w:val="24"/>
        </w:rPr>
        <w:t>其三，</w:t>
      </w:r>
      <w:r>
        <w:rPr>
          <w:rFonts w:eastAsia="黑体"/>
          <w:rFonts w:ascii="Times New Roman" w:hAnsi="Times New Roman"/>
          <w:b/>
          <w:i w:val="0"/>
          <w:sz w:val="24"/>
        </w:rPr>
        <w:t>情报同业语言与分析逻辑的共振</w:t>
      </w:r>
      <w:r>
        <w:rPr>
          <w:rFonts w:eastAsia="仿宋"/>
          <w:rFonts w:ascii="Times New Roman" w:hAnsi="Times New Roman"/>
          <w:b w:val="0"/>
          <w:i w:val="0"/>
          <w:sz w:val="24"/>
        </w:rPr>
        <w:t>。达姆拥有25年美国海军情报官履历，曾任驻华使馆助理海军武官。这种深厚的军事情报背景，使得米切尔研究所的分析产品在术语使用、威胁建模与战术推演上，与台湾MIB的“同业语言”高度契合。台湾MIB的核心任务是收集解放军的军政动态与战略预警情报</w:t>
      </w:r>
      <w:r>
        <w:rPr>
          <w:rFonts w:eastAsia="仿宋"/>
          <w:rFonts w:ascii="Times New Roman" w:hAnsi="Times New Roman"/>
          <w:b w:val="0"/>
          <w:i w:val="0"/>
          <w:color w:val="323296"/>
          <w:sz w:val="16"/>
          <w:vertAlign w:val="superscript"/>
        </w:rPr>
        <w:t>[13]</w:t>
      </w:r>
      <w:r>
        <w:rPr>
          <w:rFonts w:eastAsia="仿宋"/>
          <w:rFonts w:ascii="Times New Roman" w:hAnsi="Times New Roman"/>
          <w:b w:val="0"/>
          <w:i w:val="0"/>
          <w:sz w:val="24"/>
        </w:rPr>
        <w:t>。综合判断，米切尔研究所基于高分辨率商业卫星影像的开源情报分析，实质上填补了台湾MIB在某些技术侦察手段上的盲区。双方虽然没有直接的情报交换协议，但在开源情报的消费与印证上形成了事实上的默契与联动。</w:t>
      </w:r>
    </w:p>
    <w:p>
      <w:pPr>
        <w:spacing w:before="280" w:after="120" w:lineRule="auto" w:line="360"/>
        <w:jc w:val="both"/>
      </w:pPr>
      <w:r>
        <w:rPr>
          <w:rFonts w:eastAsia="黑体"/>
          <w:rFonts w:ascii="黑体" w:hAnsi="黑体"/>
          <w:b/>
          <w:i w:val="0"/>
          <w:color w:val="28326E"/>
          <w:sz w:val="30"/>
        </w:rPr>
        <w:t>（四）典型案例：歼-6改装无人机事件</w:t>
      </w:r>
    </w:p>
    <w:p>
      <w:pPr>
        <w:spacing w:before="0" w:after="80" w:lineRule="auto" w:line="360"/>
        <w:ind w:firstLine="420"/>
        <w:jc w:val="both"/>
      </w:pPr>
      <w:r>
        <w:rPr>
          <w:rFonts w:eastAsia="仿宋"/>
          <w:rFonts w:ascii="Times New Roman" w:hAnsi="Times New Roman"/>
          <w:b w:val="0"/>
          <w:i w:val="0"/>
          <w:sz w:val="24"/>
        </w:rPr>
        <w:t>2026年3月爆发的“歼-6改装无人机事件”，提供了一个观察米切尔研究所如何通过开源情报撬动台海防务政策的完美切片。该事件构成了一个完整的“情报释放→台湾国安验证→对台军售”政策闭环。</w:t>
      </w:r>
    </w:p>
    <w:p>
      <w:pPr>
        <w:spacing w:before="0" w:after="80" w:lineRule="auto" w:line="360"/>
        <w:ind w:firstLine="420"/>
        <w:jc w:val="both"/>
      </w:pPr>
      <w:r>
        <w:rPr>
          <w:rFonts w:eastAsia="黑体"/>
          <w:rFonts w:ascii="Times New Roman" w:hAnsi="Times New Roman"/>
          <w:b/>
          <w:i w:val="0"/>
          <w:sz w:val="24"/>
        </w:rPr>
        <w:t>第一阶段：情报释放与媒体放大。</w:t>
      </w:r>
      <w:r>
        <w:rPr>
          <w:rFonts w:eastAsia="仿宋"/>
          <w:rFonts w:ascii="Times New Roman" w:hAnsi="Times New Roman"/>
          <w:b w:val="0"/>
          <w:i w:val="0"/>
          <w:sz w:val="24"/>
        </w:rPr>
        <w:t xml:space="preserve"> 2026年3月，米切尔研究所（主要由达姆主笔）发布了一份基于《中国空军追踪器》数据的专项报告。报告指出，通过对高分辨率卫星图像的分析，确认解放军在靠近台湾海峡的福建、广东等6个前沿空军基地，密集部署了超过200架由退役歼-6（J-6）超音速战斗机改装而成的无人战斗航空器（UCAV）</w:t>
      </w:r>
      <w:r>
        <w:rPr>
          <w:rFonts w:eastAsia="仿宋"/>
          <w:rFonts w:ascii="Times New Roman" w:hAnsi="Times New Roman"/>
          <w:b w:val="0"/>
          <w:i w:val="0"/>
          <w:color w:val="323296"/>
          <w:sz w:val="16"/>
          <w:vertAlign w:val="superscript"/>
        </w:rPr>
        <w:t>[14]</w:t>
      </w:r>
      <w:r>
        <w:rPr>
          <w:rFonts w:eastAsia="仿宋"/>
          <w:rFonts w:ascii="Times New Roman" w:hAnsi="Times New Roman"/>
          <w:b w:val="0"/>
          <w:i w:val="0"/>
          <w:sz w:val="24"/>
        </w:rPr>
        <w:t>。该报告发布后，迅速被路透社（Reuters）、南华早报（SCMP）及美国之音（VOA）等国际主流媒体广泛转载与放大，在国际舆论场成功制造了“解放军即将实施饱和式无人机攻击”的战术恐慌。</w:t>
      </w:r>
    </w:p>
    <w:p>
      <w:pPr>
        <w:spacing w:before="0" w:after="80" w:lineRule="auto" w:line="360"/>
        <w:ind w:firstLine="420"/>
        <w:jc w:val="both"/>
      </w:pPr>
      <w:r>
        <w:rPr>
          <w:rFonts w:eastAsia="黑体"/>
          <w:rFonts w:ascii="Times New Roman" w:hAnsi="Times New Roman"/>
          <w:b/>
          <w:i w:val="0"/>
          <w:sz w:val="24"/>
        </w:rPr>
        <w:t>第二阶段：台湾国安系统的被动验证与定性。</w:t>
      </w:r>
      <w:r>
        <w:rPr>
          <w:rFonts w:eastAsia="仿宋"/>
          <w:rFonts w:ascii="Times New Roman" w:hAnsi="Times New Roman"/>
          <w:b w:val="0"/>
          <w:i w:val="0"/>
          <w:sz w:val="24"/>
        </w:rPr>
        <w:t xml:space="preserve"> 媒体发酵后，台湾地区立法机构迅速就此向台湾防务部门及国安局提出质询。台湾安全官员在备询时，被迫公开证实了这一战术动态的存在。随后，INDSR等智库迅速跟进，发布评估报告，将歼-6改装无人机定性为解放军消耗台湾防空导弹库存的“不对称作战形式”，并警告其可能对台湾的关键基础设施造成毁灭性打击</w:t>
      </w:r>
      <w:r>
        <w:rPr>
          <w:rFonts w:eastAsia="仿宋"/>
          <w:rFonts w:ascii="Times New Roman" w:hAnsi="Times New Roman"/>
          <w:b w:val="0"/>
          <w:i w:val="0"/>
          <w:color w:val="323296"/>
          <w:sz w:val="16"/>
          <w:vertAlign w:val="superscript"/>
        </w:rPr>
        <w:t>[15]</w:t>
      </w:r>
      <w:r>
        <w:rPr>
          <w:rFonts w:eastAsia="仿宋"/>
          <w:rFonts w:ascii="Times New Roman" w:hAnsi="Times New Roman"/>
          <w:b w:val="0"/>
          <w:i w:val="0"/>
          <w:sz w:val="24"/>
        </w:rPr>
        <w:t>。至此，米切尔研究所的外部开源情报，成功转化为台湾防务体系内部的官方威胁认知。</w:t>
      </w:r>
    </w:p>
    <w:p>
      <w:pPr>
        <w:spacing w:before="0" w:after="80" w:lineRule="auto" w:line="360"/>
        <w:ind w:firstLine="420"/>
        <w:jc w:val="both"/>
      </w:pPr>
      <w:r>
        <w:rPr>
          <w:rFonts w:eastAsia="黑体"/>
          <w:rFonts w:ascii="Times New Roman" w:hAnsi="Times New Roman"/>
          <w:b/>
          <w:i w:val="0"/>
          <w:sz w:val="24"/>
        </w:rPr>
        <w:t>第三阶段：AIT表态与对台军售的闭环。</w:t>
      </w:r>
      <w:r>
        <w:rPr>
          <w:rFonts w:eastAsia="仿宋"/>
          <w:rFonts w:ascii="Times New Roman" w:hAnsi="Times New Roman"/>
          <w:b w:val="0"/>
          <w:i w:val="0"/>
          <w:sz w:val="24"/>
        </w:rPr>
        <w:t xml:space="preserve"> 在台湾内部形成安全焦虑后，AIT处长谷立言适时表态，重申美国支持台湾获取必要的防卫能力以应对新兴威胁</w:t>
      </w:r>
      <w:r>
        <w:rPr>
          <w:rFonts w:eastAsia="仿宋"/>
          <w:rFonts w:ascii="Times New Roman" w:hAnsi="Times New Roman"/>
          <w:b w:val="0"/>
          <w:i w:val="0"/>
          <w:color w:val="323296"/>
          <w:sz w:val="16"/>
          <w:vertAlign w:val="superscript"/>
        </w:rPr>
        <w:t>[16]</w:t>
      </w:r>
      <w:r>
        <w:rPr>
          <w:rFonts w:eastAsia="仿宋"/>
          <w:rFonts w:ascii="Times New Roman" w:hAnsi="Times New Roman"/>
          <w:b w:val="0"/>
          <w:i w:val="0"/>
          <w:sz w:val="24"/>
        </w:rPr>
        <w:t>。紧接着，美国国防安全合作局（DSCA）顺理成章地推进了针对台湾的新一轮军售案，重点包含“弹簧刀”（Switchblade）巡飞弹、Altius无人系统及相关的反无人机（C-UAS）电子战设备。</w:t>
      </w:r>
    </w:p>
    <w:p>
      <w:pPr>
        <w:spacing w:before="0" w:after="80" w:lineRule="auto" w:line="360"/>
        <w:ind w:firstLine="420"/>
        <w:jc w:val="both"/>
      </w:pPr>
      <w:r>
        <w:rPr>
          <w:rFonts w:eastAsia="仿宋"/>
          <w:rFonts w:ascii="Times New Roman" w:hAnsi="Times New Roman"/>
          <w:b w:val="0"/>
          <w:i w:val="0"/>
          <w:sz w:val="24"/>
        </w:rPr>
        <w:t>综合判断，在这一闭环中，米切尔研究所扮演了“扣动扳机”的关键角色。其开源情报产品不仅为美国军工企业（如生产无人系统的通用原子公司或AeroVironment）创造了明确的市场需求，也为民进党当局增加防务预算提供了无法反驳的外部压力。这种“智库造势、媒体跟进、官方确认、军火收割”的联动模式，需要引起高度警惕。</w:t>
      </w:r>
    </w:p>
    <w:p>
      <w:pPr>
        <w:spacing w:before="280" w:after="120" w:lineRule="auto" w:line="360"/>
        <w:jc w:val="both"/>
      </w:pPr>
      <w:r>
        <w:rPr>
          <w:rFonts w:eastAsia="黑体"/>
          <w:rFonts w:ascii="黑体" w:hAnsi="黑体"/>
          <w:b/>
          <w:i w:val="0"/>
          <w:color w:val="28326E"/>
          <w:sz w:val="30"/>
        </w:rPr>
        <w:t>（五）2025年兵棋推演与“2035失败”叙事</w:t>
      </w:r>
    </w:p>
    <w:p>
      <w:pPr>
        <w:spacing w:before="0" w:after="80" w:lineRule="auto" w:line="360"/>
        <w:ind w:firstLine="420"/>
        <w:jc w:val="both"/>
      </w:pPr>
      <w:r>
        <w:rPr>
          <w:rFonts w:eastAsia="仿宋"/>
          <w:rFonts w:ascii="Times New Roman" w:hAnsi="Times New Roman"/>
          <w:b w:val="0"/>
          <w:i w:val="0"/>
          <w:sz w:val="24"/>
        </w:rPr>
        <w:t>如果说歼-6事件是战术层面的情报联动，那么米切尔研究所在2025年至2026年主导的台海兵棋推演，则是其在战略层面进行议程设置的巅峰之作。</w:t>
      </w:r>
    </w:p>
    <w:p>
      <w:pPr>
        <w:spacing w:before="0" w:after="80" w:lineRule="auto" w:line="360"/>
        <w:ind w:firstLine="420"/>
        <w:jc w:val="both"/>
      </w:pPr>
      <w:r>
        <w:rPr>
          <w:rFonts w:eastAsia="仿宋"/>
          <w:rFonts w:ascii="Times New Roman" w:hAnsi="Times New Roman"/>
          <w:b w:val="0"/>
          <w:i w:val="0"/>
          <w:sz w:val="24"/>
        </w:rPr>
        <w:t>已确证的信息显示，2025年6月，米切尔研究所组织了一场规模空前的非机密兵棋推演，参与者包括约60名美国空军现役/退役军官、国防工业代表及部分盟国观察员</w:t>
      </w:r>
      <w:r>
        <w:rPr>
          <w:rFonts w:eastAsia="仿宋"/>
          <w:rFonts w:ascii="Times New Roman" w:hAnsi="Times New Roman"/>
          <w:b w:val="0"/>
          <w:i w:val="0"/>
          <w:color w:val="323296"/>
          <w:sz w:val="16"/>
          <w:vertAlign w:val="superscript"/>
        </w:rPr>
        <w:t>[17]</w:t>
      </w:r>
      <w:r>
        <w:rPr>
          <w:rFonts w:eastAsia="仿宋"/>
          <w:rFonts w:ascii="Times New Roman" w:hAnsi="Times New Roman"/>
          <w:b w:val="0"/>
          <w:i w:val="0"/>
          <w:sz w:val="24"/>
        </w:rPr>
        <w:t>。经过近一年的数据沉淀与模型推演，该机构于2026年4月9日正式发布了题为《重建美国空中力量》的兵推总结报告。该报告得出了一个极具视觉冲击力与政治煽动性的结论：“以当前美国空军的现代化轨迹与兵力结构，到2035年，美国空军将无法可靠地阻止解放军入侵台湾”</w:t>
      </w:r>
      <w:r>
        <w:rPr>
          <w:rFonts w:eastAsia="仿宋"/>
          <w:rFonts w:ascii="Times New Roman" w:hAnsi="Times New Roman"/>
          <w:b w:val="0"/>
          <w:i w:val="0"/>
          <w:color w:val="323296"/>
          <w:sz w:val="16"/>
          <w:vertAlign w:val="superscript"/>
        </w:rPr>
        <w:t>[18]</w:t>
      </w:r>
      <w:r>
        <w:rPr>
          <w:rFonts w:eastAsia="仿宋"/>
          <w:rFonts w:ascii="Times New Roman" w:hAnsi="Times New Roman"/>
          <w:b w:val="0"/>
          <w:i w:val="0"/>
          <w:sz w:val="24"/>
        </w:rPr>
        <w:t>。</w:t>
      </w:r>
    </w:p>
    <w:p>
      <w:pPr>
        <w:spacing w:before="0" w:after="80" w:lineRule="auto" w:line="360"/>
        <w:ind w:firstLine="420"/>
        <w:jc w:val="both"/>
      </w:pPr>
      <w:r>
        <w:rPr>
          <w:rFonts w:eastAsia="仿宋"/>
          <w:rFonts w:ascii="Times New Roman" w:hAnsi="Times New Roman"/>
          <w:b w:val="0"/>
          <w:i w:val="0"/>
          <w:sz w:val="24"/>
        </w:rPr>
        <w:t>综合判断，这一“2035失败”叙事并非纯粹的学术推演结果，而是经过精心设计的政策杠杆，其在美台双边防务互动中产生了三重显著的溢出效应：</w:t>
      </w:r>
    </w:p>
    <w:p>
      <w:pPr>
        <w:spacing w:before="0" w:after="80" w:lineRule="auto" w:line="360"/>
        <w:ind w:firstLine="420"/>
        <w:jc w:val="both"/>
      </w:pPr>
      <w:r>
        <w:rPr>
          <w:rFonts w:eastAsia="仿宋"/>
          <w:rFonts w:ascii="Times New Roman" w:hAnsi="Times New Roman"/>
          <w:b w:val="0"/>
          <w:i w:val="0"/>
          <w:sz w:val="24"/>
        </w:rPr>
        <w:t>第一，</w:t>
      </w:r>
      <w:r>
        <w:rPr>
          <w:rFonts w:eastAsia="黑体"/>
          <w:rFonts w:ascii="Times New Roman" w:hAnsi="Times New Roman"/>
          <w:b/>
          <w:i w:val="0"/>
          <w:sz w:val="24"/>
        </w:rPr>
        <w:t>推动美国国会重塑军费分配格局</w:t>
      </w:r>
      <w:r>
        <w:rPr>
          <w:rFonts w:eastAsia="仿宋"/>
          <w:rFonts w:ascii="Times New Roman" w:hAnsi="Times New Roman"/>
          <w:b w:val="0"/>
          <w:i w:val="0"/>
          <w:sz w:val="24"/>
        </w:rPr>
        <w:t>。米切尔研究所在报告中明确提出，要扭转“2035战败”的结局，美国国会必须立即增加对特定高端航空航天平台的采购预算。其核心诉求包括：加速采购洛克希德·马丁的F-35战斗机、扩大诺斯罗普·格鲁曼的B-21隐身轰炸机机队规模，以及重启或加速下一代空中优势（NGAD）项目</w:t>
      </w:r>
      <w:r>
        <w:rPr>
          <w:rFonts w:eastAsia="仿宋"/>
          <w:rFonts w:ascii="Times New Roman" w:hAnsi="Times New Roman"/>
          <w:b w:val="0"/>
          <w:i w:val="0"/>
          <w:color w:val="323296"/>
          <w:sz w:val="16"/>
          <w:vertAlign w:val="superscript"/>
        </w:rPr>
        <w:t>[19]</w:t>
      </w:r>
      <w:r>
        <w:rPr>
          <w:rFonts w:eastAsia="仿宋"/>
          <w:rFonts w:ascii="Times New Roman" w:hAnsi="Times New Roman"/>
          <w:b w:val="0"/>
          <w:i w:val="0"/>
          <w:sz w:val="24"/>
        </w:rPr>
        <w:t>。研判认为，兵推的失败设定，实质上是为上述军工巨头（同时也是米切尔研究所的核心赞助商）在预算紧缩期争取国会拨款的“苦肉计”。</w:t>
      </w:r>
    </w:p>
    <w:p>
      <w:pPr>
        <w:spacing w:before="0" w:after="80" w:lineRule="auto" w:line="360"/>
        <w:ind w:firstLine="420"/>
        <w:jc w:val="both"/>
      </w:pPr>
      <w:r>
        <w:rPr>
          <w:rFonts w:eastAsia="仿宋"/>
          <w:rFonts w:ascii="Times New Roman" w:hAnsi="Times New Roman"/>
          <w:b w:val="0"/>
          <w:i w:val="0"/>
          <w:sz w:val="24"/>
        </w:rPr>
        <w:t>第二，</w:t>
      </w:r>
      <w:r>
        <w:rPr>
          <w:rFonts w:eastAsia="黑体"/>
          <w:rFonts w:ascii="Times New Roman" w:hAnsi="Times New Roman"/>
          <w:b/>
          <w:i w:val="0"/>
          <w:sz w:val="24"/>
        </w:rPr>
        <w:t>借台湾媒体放大焦虑，推升台湾内部“国防自主”压力</w:t>
      </w:r>
      <w:r>
        <w:rPr>
          <w:rFonts w:eastAsia="仿宋"/>
          <w:rFonts w:ascii="Times New Roman" w:hAnsi="Times New Roman"/>
          <w:b w:val="0"/>
          <w:i w:val="0"/>
          <w:sz w:val="24"/>
        </w:rPr>
        <w:t>。该兵推报告发布后，台湾岛内媒体进行了连篇累牍的报道。这种来自美国权威智库的“弃台论”或“无力保台论”变体，在台湾社会引发了深度的能力焦虑。民进党当局及台湾防务部门借机向立法机构施压，要求无条件通过特别防务预算，以加速本土“国防自主”项目（如潜艇国造、无人机国家队）的推进。米切尔研究所的兵推，客观上充当了台湾执政当局压制内部预算反对声音的政治工具。</w:t>
      </w:r>
    </w:p>
    <w:p>
      <w:pPr>
        <w:spacing w:before="0" w:after="80" w:lineRule="auto" w:line="360"/>
        <w:ind w:firstLine="420"/>
        <w:jc w:val="both"/>
      </w:pPr>
      <w:r>
        <w:rPr>
          <w:rFonts w:eastAsia="仿宋"/>
          <w:rFonts w:ascii="Times New Roman" w:hAnsi="Times New Roman"/>
          <w:b w:val="0"/>
          <w:i w:val="0"/>
          <w:sz w:val="24"/>
        </w:rPr>
        <w:t>第三，</w:t>
      </w:r>
      <w:r>
        <w:rPr>
          <w:rFonts w:eastAsia="黑体"/>
          <w:rFonts w:ascii="Times New Roman" w:hAnsi="Times New Roman"/>
          <w:b/>
          <w:i w:val="0"/>
          <w:sz w:val="24"/>
        </w:rPr>
        <w:t>为美对台军售制造“紧迫性”与“不可替代性”</w:t>
      </w:r>
      <w:r>
        <w:rPr>
          <w:rFonts w:eastAsia="仿宋"/>
          <w:rFonts w:ascii="Times New Roman" w:hAnsi="Times New Roman"/>
          <w:b w:val="0"/>
          <w:i w:val="0"/>
          <w:sz w:val="24"/>
        </w:rPr>
        <w:t>。报告强调美军在第一岛链的脆弱性，其潜台词是台湾必须承担更多的初始防御责任。这为美国向台湾推销“豪猪战略”（Porcupine Strategy）及相关的不对称武器系统提供了理论支撑。总体看，米切尔研究所通过构建“2035失败”的悲观预期，成功地将台海防务的责任链条进行了重新分配，既保障了美国军工复合体的长期订单，又在战略上进一步收紧了对台湾防务体系的控制权。值得关注的是，这种基于兵推的威胁通胀（Threat Inflation），正在实质性地压缩台海两岸的战略缓冲空间，推高了误判与意外冲突的风险。</w:t>
      </w:r>
    </w:p>
    <w:p>
      <w:pPr>
        <w:spacing w:before="400" w:after="200" w:lineRule="auto" w:line="360"/>
        <w:jc w:val="both"/>
      </w:pPr>
      <w:r>
        <w:rPr>
          <w:rFonts w:eastAsia="黑体"/>
          <w:rFonts w:ascii="黑体" w:hAnsi="黑体"/>
          <w:b/>
          <w:i w:val="0"/>
          <w:color w:val="141E50"/>
          <w:sz w:val="36"/>
        </w:rPr>
        <w:t>四、《中国空军追踪器》运作机制</w:t>
      </w:r>
    </w:p>
    <w:p>
      <w:pPr>
        <w:spacing w:before="280" w:after="120" w:lineRule="auto" w:line="360"/>
        <w:jc w:val="both"/>
      </w:pPr>
      <w:r>
        <w:rPr>
          <w:rFonts w:eastAsia="黑体"/>
          <w:rFonts w:ascii="黑体" w:hAnsi="黑体"/>
          <w:b/>
          <w:i w:val="0"/>
          <w:color w:val="28326E"/>
          <w:sz w:val="30"/>
        </w:rPr>
        <w:t>（一）项目概况</w:t>
      </w:r>
    </w:p>
    <w:p>
      <w:pPr>
        <w:spacing w:before="0" w:after="80" w:lineRule="auto" w:line="360"/>
        <w:ind w:firstLine="420"/>
        <w:jc w:val="both"/>
      </w:pPr>
      <w:r>
        <w:rPr>
          <w:rFonts w:eastAsia="仿宋"/>
          <w:rFonts w:ascii="Times New Roman" w:hAnsi="Times New Roman"/>
          <w:b w:val="0"/>
          <w:i w:val="0"/>
          <w:sz w:val="24"/>
        </w:rPr>
        <w:t>已确证，2026年2月25日，米切尔航空航天研究所正式上线其旗舰开源情报（OSINT）平台——《中国空军追踪器》（China Airpower Tracker，网址：mitchellaerospacepower.org/china）。该平台在华盛顿防务圈被明确定位为“评估中国人民解放军空军（PLAAF）能力进展与现状的权威在线工具”。项目首席分析师由该所高级研究员 J. Michael Dahm 担任。Dahm 拥有25年美国海军情报官履历，曾任美国驻华大使馆助理海军武官，具备深厚的印太战区情报分析与目标识别经验。</w:t>
      </w:r>
    </w:p>
    <w:p>
      <w:pPr>
        <w:spacing w:before="0" w:after="80" w:lineRule="auto" w:line="360"/>
        <w:ind w:firstLine="420"/>
        <w:jc w:val="both"/>
      </w:pPr>
      <w:r>
        <w:rPr>
          <w:rFonts w:eastAsia="仿宋"/>
          <w:rFonts w:ascii="Times New Roman" w:hAnsi="Times New Roman"/>
          <w:b w:val="0"/>
          <w:i w:val="0"/>
          <w:sz w:val="24"/>
        </w:rPr>
        <w:t>综合判断，该平台的推出标志着美国非官方智库在涉华军力评估领域，正从传统的“年度报告发布”向“高频动态追踪”转型。《中国空军追踪器》不仅是一个数据可视化看板，更是一个高度集成的情报加工流水线。其核心运作逻辑在于：通过系统性搜集、清洗并结构化海量开源数据，将解放军空军的战术级物理变化（如基地扩建、机型更替）转化为支撑美国空军兵力结构调整与印太威慑战略的政策杠杆。</w:t>
      </w:r>
    </w:p>
    <w:p>
      <w:pPr>
        <w:spacing w:before="280" w:after="120" w:lineRule="auto" w:line="360"/>
        <w:jc w:val="both"/>
      </w:pPr>
      <w:r>
        <w:rPr>
          <w:rFonts w:eastAsia="黑体"/>
          <w:rFonts w:ascii="黑体" w:hAnsi="黑体"/>
          <w:b/>
          <w:i w:val="0"/>
          <w:color w:val="28326E"/>
          <w:sz w:val="30"/>
        </w:rPr>
        <w:t>（二）数据采集六维矩阵</w:t>
      </w:r>
    </w:p>
    <w:p>
      <w:pPr>
        <w:spacing w:before="0" w:after="80" w:lineRule="auto" w:line="360"/>
        <w:ind w:firstLine="420"/>
        <w:jc w:val="both"/>
      </w:pPr>
      <w:r>
        <w:rPr>
          <w:rFonts w:eastAsia="仿宋"/>
          <w:rFonts w:ascii="Times New Roman" w:hAnsi="Times New Roman"/>
          <w:b w:val="0"/>
          <w:i w:val="0"/>
          <w:sz w:val="24"/>
        </w:rPr>
        <w:t>据公开信息推断，《中国空军追踪器》的底层数据池并非依赖单一来源，而是构建了一个稳健的“六维数据采集矩阵”。该矩阵涵盖了从天基侦察到社交媒体的多模态数据，具体构成如下：</w:t>
      </w:r>
    </w:p>
    <w:p>
      <w:pPr>
        <w:spacing w:before="0" w:after="80" w:lineRule="auto" w:line="360"/>
        <w:ind w:firstLine="420"/>
        <w:jc w:val="both"/>
      </w:pPr>
      <w:r>
        <w:rPr>
          <w:rFonts w:eastAsia="黑体"/>
          <w:rFonts w:ascii="Times New Roman" w:hAnsi="Times New Roman"/>
          <w:b/>
          <w:i w:val="0"/>
          <w:sz w:val="24"/>
        </w:rPr>
        <w:t>1. 商业卫星影像（Commercial Satellite Imagery）</w:t>
      </w:r>
    </w:p>
    <w:p>
      <w:pPr>
        <w:spacing w:before="0" w:after="80" w:lineRule="auto" w:line="360"/>
        <w:ind w:firstLine="420"/>
        <w:jc w:val="both"/>
      </w:pPr>
      <w:r>
        <w:rPr>
          <w:rFonts w:eastAsia="仿宋"/>
          <w:rFonts w:ascii="Times New Roman" w:hAnsi="Times New Roman"/>
          <w:b w:val="0"/>
          <w:i w:val="0"/>
          <w:sz w:val="24"/>
        </w:rPr>
        <w:t>商业遥感数据是该平台最核心的物理证据来源。其团队常态化采购并调用 Maxar、Planet Labs、BlackSky 等美国商业航天公司的亚米级高分辨率光学影像，同时结合 Capella Space、ICEYE 以及欧洲航天局（ESA）Sentinel 系列的合成孔径雷达（SAR）数据。SAR 数据的引入使其具备了全天候、穿透云层的侦察能力。</w:t>
      </w:r>
    </w:p>
    <w:p>
      <w:pPr>
        <w:spacing w:before="0" w:after="80" w:lineRule="auto" w:line="360"/>
        <w:ind w:firstLine="420"/>
        <w:jc w:val="both"/>
      </w:pPr>
      <w:r>
        <w:rPr>
          <w:rFonts w:eastAsia="仿宋"/>
          <w:rFonts w:ascii="Times New Roman" w:hAnsi="Times New Roman"/>
          <w:b w:val="0"/>
          <w:i w:val="0"/>
          <w:sz w:val="24"/>
        </w:rPr>
        <w:t xml:space="preserve">*示例*：平台频繁引用 Maxar 提供的中国东南沿海空军基地高清俯视图（如分辨率达 0.3 米的 WorldView-3 影像），用于精确测量跑道延伸长度及停机坪扩建面积 </w:t>
      </w:r>
      <w:r>
        <w:rPr>
          <w:rFonts w:eastAsia="仿宋"/>
          <w:rFonts w:ascii="Times New Roman" w:hAnsi="Times New Roman"/>
          <w:b w:val="0"/>
          <w:i w:val="0"/>
          <w:color w:val="323296"/>
          <w:sz w:val="16"/>
          <w:vertAlign w:val="superscript"/>
        </w:rPr>
        <w:t>[1]</w:t>
      </w:r>
      <w:r>
        <w:rPr>
          <w:rFonts w:eastAsia="仿宋"/>
          <w:rFonts w:ascii="Times New Roman" w:hAnsi="Times New Roman"/>
          <w:b w:val="0"/>
          <w:i w:val="0"/>
          <w:sz w:val="24"/>
        </w:rPr>
        <w:t>。</w:t>
      </w:r>
    </w:p>
    <w:p>
      <w:pPr>
        <w:spacing w:before="0" w:after="80" w:lineRule="auto" w:line="360"/>
        <w:ind w:firstLine="420"/>
        <w:jc w:val="both"/>
      </w:pPr>
      <w:r>
        <w:rPr>
          <w:rFonts w:eastAsia="黑体"/>
          <w:rFonts w:ascii="Times New Roman" w:hAnsi="Times New Roman"/>
          <w:b/>
          <w:i w:val="0"/>
          <w:sz w:val="24"/>
        </w:rPr>
        <w:t>2. 中方公开信息（Chinese Public Information）</w:t>
      </w:r>
    </w:p>
    <w:p>
      <w:pPr>
        <w:spacing w:before="0" w:after="80" w:lineRule="auto" w:line="360"/>
        <w:ind w:firstLine="420"/>
        <w:jc w:val="both"/>
      </w:pPr>
      <w:r>
        <w:rPr>
          <w:rFonts w:eastAsia="仿宋"/>
          <w:rFonts w:ascii="Times New Roman" w:hAnsi="Times New Roman"/>
          <w:b w:val="0"/>
          <w:i w:val="0"/>
          <w:sz w:val="24"/>
        </w:rPr>
        <w:t>该团队建立了针对中国官方与军方信息源的自动化抓取与自然语言处理（NLP）机制。监控目标包括《解放军报》、中国军网（81.cn）、国防部官网、CCTV-7 军事报道等官方喉舌，同时深度挖掘中国航空工业集团（AVIC）等军工企业的年度报告、地方政府的政府采购公告以及涉及军事设施周边基建的环保评估（EIA）公示。</w:t>
      </w:r>
    </w:p>
    <w:p>
      <w:pPr>
        <w:spacing w:before="0" w:after="80" w:lineRule="auto" w:line="360"/>
        <w:ind w:firstLine="420"/>
        <w:jc w:val="both"/>
      </w:pPr>
      <w:r>
        <w:rPr>
          <w:rFonts w:eastAsia="仿宋"/>
          <w:rFonts w:ascii="Times New Roman" w:hAnsi="Times New Roman"/>
          <w:b w:val="0"/>
          <w:i w:val="0"/>
          <w:sz w:val="24"/>
        </w:rPr>
        <w:t xml:space="preserve">*示例*：通过比对某地方政府网站发布的“某机场净空保护区扩建环评公示”，提前预判该基地即将进驻新型战略轰炸机或大型特种机 </w:t>
      </w:r>
      <w:r>
        <w:rPr>
          <w:rFonts w:eastAsia="仿宋"/>
          <w:rFonts w:ascii="Times New Roman" w:hAnsi="Times New Roman"/>
          <w:b w:val="0"/>
          <w:i w:val="0"/>
          <w:color w:val="323296"/>
          <w:sz w:val="16"/>
          <w:vertAlign w:val="superscript"/>
        </w:rPr>
        <w:t>[2]</w:t>
      </w:r>
      <w:r>
        <w:rPr>
          <w:rFonts w:eastAsia="仿宋"/>
          <w:rFonts w:ascii="Times New Roman" w:hAnsi="Times New Roman"/>
          <w:b w:val="0"/>
          <w:i w:val="0"/>
          <w:sz w:val="24"/>
        </w:rPr>
        <w:t>。</w:t>
      </w:r>
    </w:p>
    <w:p>
      <w:pPr>
        <w:spacing w:before="0" w:after="80" w:lineRule="auto" w:line="360"/>
        <w:ind w:firstLine="420"/>
        <w:jc w:val="both"/>
      </w:pPr>
      <w:r>
        <w:rPr>
          <w:rFonts w:eastAsia="黑体"/>
          <w:rFonts w:ascii="Times New Roman" w:hAnsi="Times New Roman"/>
          <w:b/>
          <w:i w:val="0"/>
          <w:sz w:val="24"/>
        </w:rPr>
        <w:t>3. 行业期刊与航展资料（Industry Journals &amp; Airshows）</w:t>
      </w:r>
    </w:p>
    <w:p>
      <w:pPr>
        <w:spacing w:before="0" w:after="80" w:lineRule="auto" w:line="360"/>
        <w:ind w:firstLine="420"/>
        <w:jc w:val="both"/>
      </w:pPr>
      <w:r>
        <w:rPr>
          <w:rFonts w:eastAsia="仿宋"/>
          <w:rFonts w:ascii="Times New Roman" w:hAnsi="Times New Roman"/>
          <w:b w:val="0"/>
          <w:i w:val="0"/>
          <w:sz w:val="24"/>
        </w:rPr>
        <w:t>平台高度重视全球防务工业界的专业开源数据，系统性整合了《航空周刊》（Aviation Week）、简氏防务（Janes）、国际战略研究所（IISS）等权威机构的装备参数库。此外，中国珠海航展、长春航空展等公开展示活动是其获取新型战机、无人机（UAV）及机载武器技战术指标的关键渠道。</w:t>
      </w:r>
    </w:p>
    <w:p>
      <w:pPr>
        <w:spacing w:before="0" w:after="80" w:lineRule="auto" w:line="360"/>
        <w:ind w:firstLine="420"/>
        <w:jc w:val="both"/>
      </w:pPr>
      <w:r>
        <w:rPr>
          <w:rFonts w:eastAsia="仿宋"/>
          <w:rFonts w:ascii="Times New Roman" w:hAnsi="Times New Roman"/>
          <w:b w:val="0"/>
          <w:i w:val="0"/>
          <w:sz w:val="24"/>
        </w:rPr>
        <w:t xml:space="preserve">*示例*：利用历届珠海航展上公开派发的无人机外贸型号宣传册，建立解放军现役同源装备的性能基线数据库 </w:t>
      </w:r>
      <w:r>
        <w:rPr>
          <w:rFonts w:eastAsia="仿宋"/>
          <w:rFonts w:ascii="Times New Roman" w:hAnsi="Times New Roman"/>
          <w:b w:val="0"/>
          <w:i w:val="0"/>
          <w:color w:val="323296"/>
          <w:sz w:val="16"/>
          <w:vertAlign w:val="superscript"/>
        </w:rPr>
        <w:t>[3]</w:t>
      </w:r>
      <w:r>
        <w:rPr>
          <w:rFonts w:eastAsia="仿宋"/>
          <w:rFonts w:ascii="Times New Roman" w:hAnsi="Times New Roman"/>
          <w:b w:val="0"/>
          <w:i w:val="0"/>
          <w:sz w:val="24"/>
        </w:rPr>
        <w:t>。</w:t>
      </w:r>
    </w:p>
    <w:p>
      <w:pPr>
        <w:spacing w:before="0" w:after="80" w:lineRule="auto" w:line="360"/>
        <w:ind w:firstLine="420"/>
        <w:jc w:val="both"/>
      </w:pPr>
      <w:r>
        <w:rPr>
          <w:rFonts w:eastAsia="黑体"/>
          <w:rFonts w:ascii="Times New Roman" w:hAnsi="Times New Roman"/>
          <w:b/>
          <w:i w:val="0"/>
          <w:sz w:val="24"/>
        </w:rPr>
        <w:t>4. 中文社交媒体（Chinese Social Media）</w:t>
      </w:r>
    </w:p>
    <w:p>
      <w:pPr>
        <w:spacing w:before="0" w:after="80" w:lineRule="auto" w:line="360"/>
        <w:ind w:firstLine="420"/>
        <w:jc w:val="both"/>
      </w:pPr>
      <w:r>
        <w:rPr>
          <w:rFonts w:eastAsia="仿宋"/>
          <w:rFonts w:ascii="Times New Roman" w:hAnsi="Times New Roman"/>
          <w:b w:val="0"/>
          <w:i w:val="0"/>
          <w:sz w:val="24"/>
        </w:rPr>
        <w:t>中国国内庞大的军迷群体与社交媒体生态被其视为重要的“众包情报”源。分析团队持续监控微博、抖音、微信公众号以及“超大军事论坛”等垂直军迷社区。通过对网民无意间拍摄的战机试飞视频、转场照片进行地理定位（Geolocation）与时间戳分析，获取官方未公布的装备动态。</w:t>
      </w:r>
    </w:p>
    <w:p>
      <w:pPr>
        <w:spacing w:before="0" w:after="80" w:lineRule="auto" w:line="360"/>
        <w:ind w:firstLine="420"/>
        <w:jc w:val="both"/>
      </w:pPr>
      <w:r>
        <w:rPr>
          <w:rFonts w:eastAsia="仿宋"/>
          <w:rFonts w:ascii="Times New Roman" w:hAnsi="Times New Roman"/>
          <w:b w:val="0"/>
          <w:i w:val="0"/>
          <w:sz w:val="24"/>
        </w:rPr>
        <w:t xml:space="preserve">*示例*：通过提取抖音上一段网民拍摄的战机低空通场视频的背景地标，精确定位某新型隐身战机已部署至东部战区某具体场站 </w:t>
      </w:r>
      <w:r>
        <w:rPr>
          <w:rFonts w:eastAsia="仿宋"/>
          <w:rFonts w:ascii="Times New Roman" w:hAnsi="Times New Roman"/>
          <w:b w:val="0"/>
          <w:i w:val="0"/>
          <w:color w:val="323296"/>
          <w:sz w:val="16"/>
          <w:vertAlign w:val="superscript"/>
        </w:rPr>
        <w:t>[4]</w:t>
      </w:r>
      <w:r>
        <w:rPr>
          <w:rFonts w:eastAsia="仿宋"/>
          <w:rFonts w:ascii="Times New Roman" w:hAnsi="Times New Roman"/>
          <w:b w:val="0"/>
          <w:i w:val="0"/>
          <w:sz w:val="24"/>
        </w:rPr>
        <w:t>。</w:t>
      </w:r>
    </w:p>
    <w:p>
      <w:pPr>
        <w:spacing w:before="0" w:after="80" w:lineRule="auto" w:line="360"/>
        <w:ind w:firstLine="420"/>
        <w:jc w:val="both"/>
      </w:pPr>
      <w:r>
        <w:rPr>
          <w:rFonts w:eastAsia="黑体"/>
          <w:rFonts w:ascii="Times New Roman" w:hAnsi="Times New Roman"/>
          <w:b/>
          <w:i w:val="0"/>
          <w:sz w:val="24"/>
        </w:rPr>
        <w:t>5. 美方公开听证与官方报告（US Public Hearings &amp; Official Reports）</w:t>
      </w:r>
    </w:p>
    <w:p>
      <w:pPr>
        <w:spacing w:before="0" w:after="80" w:lineRule="auto" w:line="360"/>
        <w:ind w:firstLine="420"/>
        <w:jc w:val="both"/>
      </w:pPr>
      <w:r>
        <w:rPr>
          <w:rFonts w:eastAsia="仿宋"/>
          <w:rFonts w:ascii="Times New Roman" w:hAnsi="Times New Roman"/>
          <w:b w:val="0"/>
          <w:i w:val="0"/>
          <w:sz w:val="24"/>
        </w:rPr>
        <w:t>平台将美国政府的官方评估作为其数据的校准锚点。这包括美国国防部（DoD）发布的《中国军力年度报告》、国会研究服务部（CRS）的专题简报，以及美中经济与安全评估委员会（USCC）的听证会记录。特别是首席分析师 Dahm 本人历次在 USCC 的证词，直接构成了平台分析框架的基石。</w:t>
      </w:r>
    </w:p>
    <w:p>
      <w:pPr>
        <w:spacing w:before="0" w:after="80" w:lineRule="auto" w:line="360"/>
        <w:ind w:firstLine="420"/>
        <w:jc w:val="both"/>
      </w:pPr>
      <w:r>
        <w:rPr>
          <w:rFonts w:eastAsia="仿宋"/>
          <w:rFonts w:ascii="Times New Roman" w:hAnsi="Times New Roman"/>
          <w:b w:val="0"/>
          <w:i w:val="0"/>
          <w:sz w:val="24"/>
        </w:rPr>
        <w:t xml:space="preserve">*示例*：将 DoD 军力报告中关于解放军空军现役战斗机总数的宏观估算，与其卫星图像识别出的各基地机队规模进行交叉比对 </w:t>
      </w:r>
      <w:r>
        <w:rPr>
          <w:rFonts w:eastAsia="仿宋"/>
          <w:rFonts w:ascii="Times New Roman" w:hAnsi="Times New Roman"/>
          <w:b w:val="0"/>
          <w:i w:val="0"/>
          <w:color w:val="323296"/>
          <w:sz w:val="16"/>
          <w:vertAlign w:val="superscript"/>
        </w:rPr>
        <w:t>[5]</w:t>
      </w:r>
      <w:r>
        <w:rPr>
          <w:rFonts w:eastAsia="仿宋"/>
          <w:rFonts w:ascii="Times New Roman" w:hAnsi="Times New Roman"/>
          <w:b w:val="0"/>
          <w:i w:val="0"/>
          <w:sz w:val="24"/>
        </w:rPr>
        <w:t>。</w:t>
      </w:r>
    </w:p>
    <w:p>
      <w:pPr>
        <w:spacing w:before="0" w:after="80" w:lineRule="auto" w:line="360"/>
        <w:ind w:firstLine="420"/>
        <w:jc w:val="both"/>
      </w:pPr>
      <w:r>
        <w:rPr>
          <w:rFonts w:eastAsia="黑体"/>
          <w:rFonts w:ascii="Times New Roman" w:hAnsi="Times New Roman"/>
          <w:b/>
          <w:i w:val="0"/>
          <w:sz w:val="24"/>
        </w:rPr>
        <w:t>6. 学术伙伴产出（Academic Partner Outputs）</w:t>
      </w:r>
    </w:p>
    <w:p>
      <w:pPr>
        <w:spacing w:before="0" w:after="80" w:lineRule="auto" w:line="360"/>
        <w:ind w:firstLine="420"/>
        <w:jc w:val="both"/>
      </w:pPr>
      <w:r>
        <w:rPr>
          <w:rFonts w:eastAsia="仿宋"/>
          <w:rFonts w:ascii="Times New Roman" w:hAnsi="Times New Roman"/>
          <w:b w:val="0"/>
          <w:i w:val="0"/>
          <w:sz w:val="24"/>
        </w:rPr>
        <w:t>米切尔研究所并非孤立作业，而是与华盛顿智库圈形成了数据共享网络。其追踪器大量吸收了美国空军大学中国航空航天研究所（CASI）的解放军条令翻译、美国海军战争学院中国海事研究所（CMSI）的跨军种协同研究、战略与国际研究中心（CSIS ChinaPower）的宏观趋势分析，以及 CNA Corporation 的体制编制研究。</w:t>
      </w:r>
    </w:p>
    <w:p>
      <w:pPr>
        <w:spacing w:before="0" w:after="80" w:lineRule="auto" w:line="360"/>
        <w:ind w:firstLine="420"/>
        <w:jc w:val="both"/>
      </w:pPr>
      <w:r>
        <w:rPr>
          <w:rFonts w:eastAsia="仿宋"/>
          <w:rFonts w:ascii="Times New Roman" w:hAnsi="Times New Roman"/>
          <w:b w:val="0"/>
          <w:i w:val="0"/>
          <w:sz w:val="24"/>
        </w:rPr>
        <w:t xml:space="preserve">*示例*：引用 CASI 关于解放军空军“基地-旅”编制体制改革的研究成果，用于推算特定机场加固机库数量与驻扎战机编制的对应关系 </w:t>
      </w:r>
      <w:r>
        <w:rPr>
          <w:rFonts w:eastAsia="仿宋"/>
          <w:rFonts w:ascii="Times New Roman" w:hAnsi="Times New Roman"/>
          <w:b w:val="0"/>
          <w:i w:val="0"/>
          <w:color w:val="323296"/>
          <w:sz w:val="16"/>
          <w:vertAlign w:val="superscript"/>
        </w:rPr>
        <w:t>[6]</w:t>
      </w:r>
      <w:r>
        <w:rPr>
          <w:rFonts w:eastAsia="仿宋"/>
          <w:rFonts w:ascii="Times New Roman" w:hAnsi="Times New Roman"/>
          <w:b w:val="0"/>
          <w:i w:val="0"/>
          <w:sz w:val="24"/>
        </w:rPr>
        <w:t>。</w:t>
      </w:r>
    </w:p>
    <w:p>
      <w:pPr>
        <w:spacing w:before="280" w:after="120" w:lineRule="auto" w:line="360"/>
        <w:jc w:val="both"/>
      </w:pPr>
      <w:r>
        <w:rPr>
          <w:rFonts w:eastAsia="黑体"/>
          <w:rFonts w:ascii="黑体" w:hAnsi="黑体"/>
          <w:b/>
          <w:i w:val="0"/>
          <w:color w:val="28326E"/>
          <w:sz w:val="30"/>
        </w:rPr>
        <w:t>（三）四步分析方法</w:t>
      </w:r>
    </w:p>
    <w:p>
      <w:pPr>
        <w:spacing w:before="0" w:after="80" w:lineRule="auto" w:line="360"/>
        <w:ind w:firstLine="420"/>
        <w:jc w:val="both"/>
      </w:pPr>
      <w:r>
        <w:rPr>
          <w:rFonts w:eastAsia="仿宋"/>
          <w:rFonts w:ascii="Times New Roman" w:hAnsi="Times New Roman"/>
          <w:b w:val="0"/>
          <w:i w:val="0"/>
          <w:sz w:val="24"/>
        </w:rPr>
        <w:t>在获取多维数据后，《中国空军追踪器》采用了一套标准化的“四步分析方法”，将原始的物理数据转化为具有政策指导意义的战略情报。以下以其发布的“福建/广东沿海机场部署歼-6无人战斗航空器（J-6 UCAV）”案例，详细解构该作业流程。</w:t>
      </w:r>
    </w:p>
    <w:p>
      <w:pPr>
        <w:spacing w:before="0" w:after="80" w:lineRule="auto" w:line="360"/>
        <w:ind w:firstLine="420"/>
        <w:jc w:val="both"/>
      </w:pPr>
      <w:r>
        <w:rPr>
          <w:rFonts w:eastAsia="黑体"/>
          <w:rFonts w:ascii="Times New Roman" w:hAnsi="Times New Roman"/>
          <w:b/>
          <w:i w:val="0"/>
          <w:sz w:val="24"/>
        </w:rPr>
        <w:t>第一步：物理识别（Physical Identification）</w:t>
      </w:r>
    </w:p>
    <w:p>
      <w:pPr>
        <w:spacing w:before="0" w:after="80" w:lineRule="auto" w:line="360"/>
        <w:ind w:firstLine="420"/>
        <w:jc w:val="both"/>
      </w:pPr>
      <w:r>
        <w:rPr>
          <w:rFonts w:eastAsia="仿宋"/>
          <w:rFonts w:ascii="Times New Roman" w:hAnsi="Times New Roman"/>
          <w:b w:val="0"/>
          <w:i w:val="0"/>
          <w:sz w:val="24"/>
        </w:rPr>
        <w:t>分析师首先在商业卫星影像中进行目标检测与几何形状比对。在 J-6 UCAV 案例中，分析团队通过 Planet Labs 的高频次影像，在福建连城、广东兴宁等二线机场的停机坪上，识别出大量具有明显后掠翼特征、且尺寸（翼展约 9 米，机长约 14 米）与退役歼-6 战斗机高度吻合的机型轮廓。通过比对历史影像，确认这些原本空置的机场出现了密集的旧式机型聚集。</w:t>
      </w:r>
    </w:p>
    <w:p>
      <w:pPr>
        <w:spacing w:before="0" w:after="80" w:lineRule="auto" w:line="360"/>
        <w:ind w:firstLine="420"/>
        <w:jc w:val="both"/>
      </w:pPr>
      <w:r>
        <w:rPr>
          <w:rFonts w:eastAsia="黑体"/>
          <w:rFonts w:ascii="Times New Roman" w:hAnsi="Times New Roman"/>
          <w:b/>
          <w:i w:val="0"/>
          <w:sz w:val="24"/>
        </w:rPr>
        <w:t>第二步：工程量化（Engineering Quantification）</w:t>
      </w:r>
    </w:p>
    <w:p>
      <w:pPr>
        <w:spacing w:before="0" w:after="80" w:lineRule="auto" w:line="360"/>
        <w:ind w:firstLine="420"/>
        <w:jc w:val="both"/>
      </w:pPr>
      <w:r>
        <w:rPr>
          <w:rFonts w:eastAsia="仿宋"/>
          <w:rFonts w:ascii="Times New Roman" w:hAnsi="Times New Roman"/>
          <w:b w:val="0"/>
          <w:i w:val="0"/>
          <w:sz w:val="24"/>
        </w:rPr>
        <w:t>在确认机型后，团队进入工程测算阶段。分析师不仅清点了露天停放的 J-6 数量，更关键的是对机场基础设施的变化进行量化。影像显示，上述机场新建了大量加固机库（HAS）。分析团队精确测量了新建 HAS 的长宽尺寸、滑行道的转弯半径，以及新建地下油料库的土方挖掘面积，从而推算出该基地的最大战机容量与航空燃料储备极限。</w:t>
      </w:r>
    </w:p>
    <w:p>
      <w:pPr>
        <w:spacing w:before="0" w:after="80" w:lineRule="auto" w:line="360"/>
        <w:ind w:firstLine="420"/>
        <w:jc w:val="both"/>
      </w:pPr>
      <w:r>
        <w:rPr>
          <w:rFonts w:eastAsia="黑体"/>
          <w:rFonts w:ascii="Times New Roman" w:hAnsi="Times New Roman"/>
          <w:b/>
          <w:i w:val="0"/>
          <w:sz w:val="24"/>
        </w:rPr>
        <w:t>第三步：战术意图反推（Tactical Intent Reverse-Engineering）</w:t>
      </w:r>
    </w:p>
    <w:p>
      <w:pPr>
        <w:spacing w:before="0" w:after="80" w:lineRule="auto" w:line="360"/>
        <w:ind w:firstLine="420"/>
        <w:jc w:val="both"/>
      </w:pPr>
      <w:r>
        <w:rPr>
          <w:rFonts w:eastAsia="仿宋"/>
          <w:rFonts w:ascii="Times New Roman" w:hAnsi="Times New Roman"/>
          <w:b w:val="0"/>
          <w:i w:val="0"/>
          <w:sz w:val="24"/>
        </w:rPr>
        <w:t>这是该方法论中最具主观性的一环。分析师将“物理变化”与“作战条令”结合，反推解放军的战术意图。针对 J-6 案例，米切尔研究所推断：由于新建的是永久性 HAS 而非临时掩体，这表明 J-6 UCAV 将在此长期驻扎，而非短期演训。结合这些机场距离台湾本岛仅 400-500 公里的地理位置，分析师得出结论：解放军意图在台海冲突初期，利用大量低成本的 J-6 UCAV 充当诱饵，消耗台湾地区防空导弹库存，并暴露台湾国安局与军方雷达阵地，为后续主力战机突防创造条件。</w:t>
      </w:r>
    </w:p>
    <w:p>
      <w:pPr>
        <w:spacing w:before="0" w:after="80" w:lineRule="auto" w:line="360"/>
        <w:ind w:firstLine="420"/>
        <w:jc w:val="both"/>
      </w:pPr>
      <w:r>
        <w:rPr>
          <w:rFonts w:eastAsia="黑体"/>
          <w:rFonts w:ascii="Times New Roman" w:hAnsi="Times New Roman"/>
          <w:b/>
          <w:i w:val="0"/>
          <w:sz w:val="24"/>
        </w:rPr>
        <w:t>第四步：多源交叉验证（Multi-Source Cross-Validation）</w:t>
      </w:r>
    </w:p>
    <w:p>
      <w:pPr>
        <w:spacing w:before="0" w:after="80" w:lineRule="auto" w:line="360"/>
        <w:ind w:firstLine="420"/>
        <w:jc w:val="both"/>
      </w:pPr>
      <w:r>
        <w:rPr>
          <w:rFonts w:eastAsia="仿宋"/>
          <w:rFonts w:ascii="Times New Roman" w:hAnsi="Times New Roman"/>
          <w:b w:val="0"/>
          <w:i w:val="0"/>
          <w:sz w:val="24"/>
        </w:rPr>
        <w:t>为提高结论置信度，团队进行四角验证。在 J-6 UCAV 案例中：(1) 卫星影像提供了物理部署证据；(2) 中方政府采购公告中检索到了针对旧式战机无人化改造的无人飞行控制系统招标信息；(3) 中文社交媒体上出现了军迷拍摄的无座舱盖 J-6 试飞模糊照片；(4) Dahm 等人在 USCC 的证词中引入了美国军方对解放军无人机蜂群战术的宏观评估。四者相互印证，最终生成了一份逻辑严密的“中国对台无人机消耗战威胁”评估报告。</w:t>
      </w:r>
    </w:p>
    <w:p>
      <w:pPr>
        <w:spacing w:before="280" w:after="120" w:lineRule="auto" w:line="360"/>
        <w:jc w:val="both"/>
      </w:pPr>
      <w:r>
        <w:rPr>
          <w:rFonts w:eastAsia="黑体"/>
          <w:rFonts w:ascii="黑体" w:hAnsi="黑体"/>
          <w:b/>
          <w:i w:val="0"/>
          <w:color w:val="28326E"/>
          <w:sz w:val="30"/>
        </w:rPr>
        <w:t>（四）作业优势与局限</w:t>
      </w:r>
    </w:p>
    <w:p>
      <w:pPr>
        <w:spacing w:before="0" w:after="80" w:lineRule="auto" w:line="360"/>
        <w:ind w:firstLine="420"/>
        <w:jc w:val="both"/>
      </w:pPr>
      <w:r>
        <w:rPr>
          <w:rFonts w:eastAsia="黑体"/>
          <w:rFonts w:ascii="Times New Roman" w:hAnsi="Times New Roman"/>
          <w:b/>
          <w:i w:val="0"/>
          <w:sz w:val="24"/>
        </w:rPr>
        <w:t>优势（Strengths）</w:t>
      </w:r>
    </w:p>
    <w:p>
      <w:pPr>
        <w:spacing w:before="0" w:after="80" w:lineRule="auto" w:line="360"/>
        <w:ind w:firstLine="420"/>
        <w:jc w:val="both"/>
      </w:pPr>
      <w:r>
        <w:rPr>
          <w:rFonts w:eastAsia="仿宋"/>
          <w:rFonts w:ascii="Times New Roman" w:hAnsi="Times New Roman"/>
          <w:b w:val="0"/>
          <w:i w:val="0"/>
          <w:sz w:val="24"/>
        </w:rPr>
        <w:t>总体看，《中国空军追踪器》代表了当前美国非政府情报机构的顶尖水准。其优势在于：首先，多模态数据矩阵极大地增强了情报的稳健性，单一数据源的缺失或欺骗难以撼动整体评估框架。其次，高度可视化的交互界面（如动态地图、时间轴对比图）显著降低了国会议员、媒体及公众的情报理解门槛，增强了政策游说的感染力。最后，该平台在智库生态中确立了精准的差异化定位——比 CASI 更侧重战术动态，比 CSIS 更聚焦单一军种，比 Janes 具有更强的政策倡导属性。</w:t>
      </w:r>
    </w:p>
    <w:p>
      <w:pPr>
        <w:spacing w:before="0" w:after="80" w:lineRule="auto" w:line="360"/>
        <w:ind w:firstLine="420"/>
        <w:jc w:val="both"/>
      </w:pPr>
      <w:r>
        <w:rPr>
          <w:rFonts w:eastAsia="黑体"/>
          <w:rFonts w:ascii="Times New Roman" w:hAnsi="Times New Roman"/>
          <w:b/>
          <w:i w:val="0"/>
          <w:sz w:val="24"/>
        </w:rPr>
        <w:t>局限（Limitations）</w:t>
      </w:r>
    </w:p>
    <w:p>
      <w:pPr>
        <w:spacing w:before="0" w:after="80" w:lineRule="auto" w:line="360"/>
        <w:ind w:firstLine="420"/>
        <w:jc w:val="both"/>
      </w:pPr>
      <w:r>
        <w:rPr>
          <w:rFonts w:eastAsia="仿宋"/>
          <w:rFonts w:ascii="Times New Roman" w:hAnsi="Times New Roman"/>
          <w:b w:val="0"/>
          <w:i w:val="0"/>
          <w:sz w:val="24"/>
        </w:rPr>
        <w:t>然而，需要警惕的是，受制于其机构属性与 OSINT 的固有缺陷，该平台存在显著的结构性局限：</w:t>
      </w:r>
    </w:p>
    <w:p>
      <w:pPr>
        <w:spacing w:before="0" w:after="40" w:lineRule="auto" w:line="360"/>
        <w:ind w:firstLine="283"/>
        <w:jc w:val="both"/>
      </w:pPr>
      <w:r>
        <w:rPr>
          <w:rFonts w:eastAsia="仿宋"/>
          <w:rFonts w:ascii="Times New Roman" w:hAnsi="Times New Roman"/>
          <w:b w:val="0"/>
          <w:i w:val="0"/>
          <w:sz w:val="23"/>
        </w:rPr>
        <w:t xml:space="preserve">1. </w:t>
      </w:r>
      <w:r>
        <w:rPr>
          <w:rFonts w:eastAsia="黑体"/>
          <w:rFonts w:ascii="Times New Roman" w:hAnsi="Times New Roman"/>
          <w:b/>
          <w:i w:val="0"/>
          <w:sz w:val="23"/>
        </w:rPr>
        <w:t>确认偏误（Confirmation Bias）</w:t>
      </w:r>
      <w:r>
        <w:rPr>
          <w:rFonts w:eastAsia="仿宋"/>
          <w:rFonts w:ascii="Times New Roman" w:hAnsi="Times New Roman"/>
          <w:b w:val="0"/>
          <w:i w:val="0"/>
          <w:sz w:val="23"/>
        </w:rPr>
        <w:t>：鉴于米切尔研究所与美国军工复合体的深度资金绑定，其分析团队存在强烈的动机，选择性地发布有利于塑造“解放军威胁严重化”叙事的影像。常规的基地翻修或老旧装备退役处理，往往被优先解读为“即将发动攻击的先发制人准备”，以此为美国空军争取 B-21 或下一代战机预算提供依据。</w:t>
      </w:r>
    </w:p>
    <w:p>
      <w:pPr>
        <w:spacing w:before="0" w:after="40" w:lineRule="auto" w:line="360"/>
        <w:ind w:firstLine="283"/>
        <w:jc w:val="both"/>
      </w:pPr>
      <w:r>
        <w:rPr>
          <w:rFonts w:eastAsia="仿宋"/>
          <w:rFonts w:ascii="Times New Roman" w:hAnsi="Times New Roman"/>
          <w:b w:val="0"/>
          <w:i w:val="0"/>
          <w:sz w:val="23"/>
        </w:rPr>
        <w:t xml:space="preserve">2. </w:t>
      </w:r>
      <w:r>
        <w:rPr>
          <w:rFonts w:eastAsia="黑体"/>
          <w:rFonts w:ascii="Times New Roman" w:hAnsi="Times New Roman"/>
          <w:b/>
          <w:i w:val="0"/>
          <w:sz w:val="23"/>
        </w:rPr>
        <w:t>影像解读的过度自信（Overconfidence in Imagery）</w:t>
      </w:r>
      <w:r>
        <w:rPr>
          <w:rFonts w:eastAsia="仿宋"/>
          <w:rFonts w:ascii="Times New Roman" w:hAnsi="Times New Roman"/>
          <w:b w:val="0"/>
          <w:i w:val="0"/>
          <w:sz w:val="23"/>
        </w:rPr>
        <w:t>：单凭外部光学或雷达影像，难以确认加固机库（HAS）内部的真实用途与满载率；卫星同样难以有效识别高仿真的充气模型或金属角反射器等假目标。更重要的是，OSINT 无法观测到装备完好率、飞行员训练水平、后勤供应链韧性等决定战斗力的“软”指标。</w:t>
      </w:r>
    </w:p>
    <w:p>
      <w:pPr>
        <w:spacing w:before="0" w:after="40" w:lineRule="auto" w:line="360"/>
        <w:ind w:firstLine="283"/>
        <w:jc w:val="both"/>
      </w:pPr>
      <w:r>
        <w:rPr>
          <w:rFonts w:eastAsia="仿宋"/>
          <w:rFonts w:ascii="Times New Roman" w:hAnsi="Times New Roman"/>
          <w:b w:val="0"/>
          <w:i w:val="0"/>
          <w:sz w:val="23"/>
        </w:rPr>
        <w:t xml:space="preserve">3. </w:t>
      </w:r>
      <w:r>
        <w:rPr>
          <w:rFonts w:eastAsia="黑体"/>
          <w:rFonts w:ascii="Times New Roman" w:hAnsi="Times New Roman"/>
          <w:b/>
          <w:i w:val="0"/>
          <w:sz w:val="23"/>
        </w:rPr>
        <w:t>单源脆弱性（Single-Source Vulnerability）</w:t>
      </w:r>
      <w:r>
        <w:rPr>
          <w:rFonts w:eastAsia="仿宋"/>
          <w:rFonts w:ascii="Times New Roman" w:hAnsi="Times New Roman"/>
          <w:b w:val="0"/>
          <w:i w:val="0"/>
          <w:sz w:val="23"/>
        </w:rPr>
        <w:t>：尽管数据源多样，但本质上均属于开源范畴。缺乏美国国家安全局（NSA）的信号情报（SIGINT）或中央情报局（CIA）的人力情报（HUMINT）进行底层交叉验证，其对解放军高层真实战略意图的推断往往建立在逻辑假设之上，存在误判风险。</w:t>
      </w:r>
    </w:p>
    <w:p>
      <w:pPr>
        <w:spacing w:before="0" w:after="40" w:lineRule="auto" w:line="360"/>
        <w:ind w:firstLine="283"/>
        <w:jc w:val="both"/>
      </w:pPr>
      <w:r>
        <w:rPr>
          <w:rFonts w:eastAsia="仿宋"/>
          <w:rFonts w:ascii="Times New Roman" w:hAnsi="Times New Roman"/>
          <w:b w:val="0"/>
          <w:i w:val="0"/>
          <w:sz w:val="23"/>
        </w:rPr>
        <w:t xml:space="preserve">4. </w:t>
      </w:r>
      <w:r>
        <w:rPr>
          <w:rFonts w:eastAsia="黑体"/>
          <w:rFonts w:ascii="Times New Roman" w:hAnsi="Times New Roman"/>
          <w:b/>
          <w:i w:val="0"/>
          <w:sz w:val="23"/>
        </w:rPr>
        <w:t>复现性问题（Reproducibility Issues）</w:t>
      </w:r>
      <w:r>
        <w:rPr>
          <w:rFonts w:eastAsia="仿宋"/>
          <w:rFonts w:ascii="Times New Roman" w:hAnsi="Times New Roman"/>
          <w:b w:val="0"/>
          <w:i w:val="0"/>
          <w:sz w:val="23"/>
        </w:rPr>
        <w:t>：该平台并未完全公开其内部的数据清洗流程与 AI 图像识别算法的置信度阈值。外部独立研究者难以复现其统计结果，这种“黑盒”操作削弱了其作为纯粹学术工具的客观性。</w:t>
      </w:r>
    </w:p>
    <w:p>
      <w:pPr>
        <w:spacing w:before="280" w:after="120" w:lineRule="auto" w:line="360"/>
        <w:jc w:val="both"/>
      </w:pPr>
      <w:r>
        <w:rPr>
          <w:rFonts w:eastAsia="黑体"/>
          <w:rFonts w:ascii="黑体" w:hAnsi="黑体"/>
          <w:b/>
          <w:i w:val="0"/>
          <w:color w:val="28326E"/>
          <w:sz w:val="30"/>
        </w:rPr>
        <w:t>（五）战略意图研判</w:t>
      </w:r>
    </w:p>
    <w:p>
      <w:pPr>
        <w:spacing w:before="0" w:after="80" w:lineRule="auto" w:line="360"/>
        <w:ind w:firstLine="420"/>
        <w:jc w:val="both"/>
      </w:pPr>
      <w:r>
        <w:rPr>
          <w:rFonts w:eastAsia="仿宋"/>
          <w:rFonts w:ascii="Times New Roman" w:hAnsi="Times New Roman"/>
          <w:b w:val="0"/>
          <w:i w:val="0"/>
          <w:sz w:val="24"/>
        </w:rPr>
        <w:t>综合判断，《中国空军追踪器》绝非单纯的学术研究工具，而是美国空天利益集团在印太战略博弈中的一件精密“认知武器”。研判其核心战略功能涵盖以下四个维度：</w:t>
      </w:r>
    </w:p>
    <w:p>
      <w:pPr>
        <w:spacing w:before="0" w:after="80" w:lineRule="auto" w:line="360"/>
        <w:ind w:firstLine="420"/>
        <w:jc w:val="both"/>
      </w:pPr>
      <w:r>
        <w:rPr>
          <w:rFonts w:eastAsia="黑体"/>
          <w:rFonts w:ascii="Times New Roman" w:hAnsi="Times New Roman"/>
          <w:b/>
          <w:i w:val="0"/>
          <w:sz w:val="24"/>
        </w:rPr>
        <w:t>对内：提供预算博弈的“科学依据”</w:t>
      </w:r>
    </w:p>
    <w:p>
      <w:pPr>
        <w:spacing w:before="0" w:after="80" w:lineRule="auto" w:line="360"/>
        <w:ind w:firstLine="420"/>
        <w:jc w:val="both"/>
      </w:pPr>
      <w:r>
        <w:rPr>
          <w:rFonts w:eastAsia="仿宋"/>
          <w:rFonts w:ascii="Times New Roman" w:hAnsi="Times New Roman"/>
          <w:b w:val="0"/>
          <w:i w:val="0"/>
          <w:sz w:val="24"/>
        </w:rPr>
        <w:t>在五角大楼与国会山的预算争夺战中，该平台通过持续输出高分辨率的“中国空军扩张证据”，为美国空军维持庞大采办规模（特别是针对穿透性打击平台与无人协同作战飞机）提供了直观、不可辩驳的视觉弹药。</w:t>
      </w:r>
    </w:p>
    <w:p>
      <w:pPr>
        <w:spacing w:before="0" w:after="80" w:lineRule="auto" w:line="360"/>
        <w:ind w:firstLine="420"/>
        <w:jc w:val="both"/>
      </w:pPr>
      <w:r>
        <w:rPr>
          <w:rFonts w:eastAsia="黑体"/>
          <w:rFonts w:ascii="Times New Roman" w:hAnsi="Times New Roman"/>
          <w:b/>
          <w:i w:val="0"/>
          <w:sz w:val="24"/>
        </w:rPr>
        <w:t>对外：执行“透明化威慑”（Deterrence through Transparency）</w:t>
      </w:r>
    </w:p>
    <w:p>
      <w:pPr>
        <w:spacing w:before="0" w:after="80" w:lineRule="auto" w:line="360"/>
        <w:ind w:firstLine="420"/>
        <w:jc w:val="both"/>
      </w:pPr>
      <w:r>
        <w:rPr>
          <w:rFonts w:eastAsia="仿宋"/>
          <w:rFonts w:ascii="Times New Roman" w:hAnsi="Times New Roman"/>
          <w:b w:val="0"/>
          <w:i w:val="0"/>
          <w:sz w:val="24"/>
        </w:rPr>
        <w:t>通过高频次曝光解放军空军的基地建设与兵力调动，美方意图反向施压中国的军事透明度。这种“我能看见你一举一动”的战略展示，旨在增加解放军达成战役突然性的难度，从而在和平时期发挥心理威慑作用。</w:t>
      </w:r>
    </w:p>
    <w:p>
      <w:pPr>
        <w:spacing w:before="0" w:after="80" w:lineRule="auto" w:line="360"/>
        <w:ind w:firstLine="420"/>
        <w:jc w:val="both"/>
      </w:pPr>
      <w:r>
        <w:rPr>
          <w:rFonts w:eastAsia="黑体"/>
          <w:rFonts w:ascii="Times New Roman" w:hAnsi="Times New Roman"/>
          <w:b/>
          <w:i w:val="0"/>
          <w:sz w:val="24"/>
        </w:rPr>
        <w:t>对盟：提供统一的“情报底座”</w:t>
      </w:r>
    </w:p>
    <w:p>
      <w:pPr>
        <w:spacing w:before="0" w:after="80" w:lineRule="auto" w:line="360"/>
        <w:ind w:firstLine="420"/>
        <w:jc w:val="both"/>
      </w:pPr>
      <w:r>
        <w:rPr>
          <w:rFonts w:eastAsia="仿宋"/>
          <w:rFonts w:ascii="Times New Roman" w:hAnsi="Times New Roman"/>
          <w:b w:val="0"/>
          <w:i w:val="0"/>
          <w:sz w:val="24"/>
        </w:rPr>
        <w:t>该平台客观上为印太盟友及伙伴（特别是日本、澳大利亚及台湾地区）提供了一个标准化的威胁认知基线。值得关注的是，台湾防务部门及台湾国安局在论证其不对称作战预算时，频繁暗合或直接引用该平台的 OSINT 产出，形成了美台之间无需正式协议的“情报共振”。</w:t>
      </w:r>
    </w:p>
    <w:p>
      <w:pPr>
        <w:spacing w:before="0" w:after="80" w:lineRule="auto" w:line="360"/>
        <w:ind w:firstLine="420"/>
        <w:jc w:val="both"/>
      </w:pPr>
      <w:r>
        <w:rPr>
          <w:rFonts w:eastAsia="黑体"/>
          <w:rFonts w:ascii="Times New Roman" w:hAnsi="Times New Roman"/>
          <w:b/>
          <w:i w:val="0"/>
          <w:sz w:val="24"/>
        </w:rPr>
        <w:t>对认知作战：塑造国际舆论叙事</w:t>
      </w:r>
    </w:p>
    <w:p>
      <w:pPr>
        <w:spacing w:before="0" w:after="80" w:lineRule="auto" w:line="360"/>
        <w:ind w:firstLine="420"/>
        <w:jc w:val="both"/>
      </w:pPr>
      <w:r>
        <w:rPr>
          <w:rFonts w:eastAsia="仿宋"/>
          <w:rFonts w:ascii="Times New Roman" w:hAnsi="Times New Roman"/>
          <w:b w:val="0"/>
          <w:i w:val="0"/>
          <w:sz w:val="24"/>
        </w:rPr>
        <w:t>在国际舆论场中，该平台持续不断地生产“解放军威胁严重化”的标准化素材。这些素材被西方主流媒体广泛引用，成功在认知领域塑造了中国作为“咄咄逼人的现状破坏者”形象，为美国在印太地区强化前沿军事部署、拉拢盟友组建排他性安全架构提供了道义与法理掩护。</w:t>
      </w:r>
    </w:p>
    <w:p>
      <w:pPr>
        <w:spacing w:before="400" w:after="200" w:lineRule="auto" w:line="360"/>
        <w:jc w:val="both"/>
      </w:pPr>
      <w:r>
        <w:rPr>
          <w:rFonts w:eastAsia="黑体"/>
          <w:rFonts w:ascii="黑体" w:hAnsi="黑体"/>
          <w:b/>
          <w:i w:val="0"/>
          <w:color w:val="141E50"/>
          <w:sz w:val="36"/>
        </w:rPr>
        <w:t>五、综合研判与对我启示</w:t>
      </w:r>
    </w:p>
    <w:p>
      <w:pPr>
        <w:spacing w:before="280" w:after="120" w:lineRule="auto" w:line="360"/>
        <w:jc w:val="both"/>
      </w:pPr>
      <w:r>
        <w:rPr>
          <w:rFonts w:eastAsia="黑体"/>
          <w:rFonts w:ascii="黑体" w:hAnsi="黑体"/>
          <w:b/>
          <w:i w:val="0"/>
          <w:color w:val="28326E"/>
          <w:sz w:val="30"/>
        </w:rPr>
        <w:t>（一）性质判断</w:t>
      </w:r>
    </w:p>
    <w:p>
      <w:pPr>
        <w:spacing w:before="0" w:after="80" w:lineRule="auto" w:line="360"/>
        <w:ind w:firstLine="420"/>
        <w:jc w:val="both"/>
      </w:pPr>
      <w:r>
        <w:rPr>
          <w:rFonts w:eastAsia="仿宋"/>
          <w:rFonts w:ascii="Times New Roman" w:hAnsi="Times New Roman"/>
          <w:b w:val="0"/>
          <w:i w:val="0"/>
          <w:sz w:val="24"/>
        </w:rPr>
        <w:t>针对米切尔航空航天研究所（The Mitchell Institute for Aerospace Studies）的组织生态、资金结构与业务产出，本报告提出以下三层核心研判：</w:t>
      </w:r>
    </w:p>
    <w:p>
      <w:pPr>
        <w:spacing w:before="0" w:after="80" w:lineRule="auto" w:line="360"/>
        <w:ind w:firstLine="420"/>
        <w:jc w:val="both"/>
      </w:pPr>
      <w:r>
        <w:rPr>
          <w:rFonts w:eastAsia="黑体"/>
          <w:rFonts w:ascii="Times New Roman" w:hAnsi="Times New Roman"/>
          <w:b/>
          <w:i w:val="0"/>
          <w:sz w:val="24"/>
        </w:rPr>
        <w:t>第一，机构性质：利益驱动的“议程包装机”与“思想孵化器”。</w:t>
      </w:r>
    </w:p>
    <w:p>
      <w:pPr>
        <w:spacing w:before="0" w:after="80" w:lineRule="auto" w:line="360"/>
        <w:ind w:firstLine="420"/>
        <w:jc w:val="both"/>
      </w:pPr>
      <w:r>
        <w:rPr>
          <w:rFonts w:eastAsia="仿宋"/>
          <w:rFonts w:ascii="Times New Roman" w:hAnsi="Times New Roman"/>
          <w:b w:val="0"/>
          <w:i w:val="0"/>
          <w:sz w:val="24"/>
        </w:rPr>
        <w:t>已确证，米切尔研究所并非传统意义上保持中立客观的情报生产或学术研究机构。其资金链条与波音（Boeing）、洛克希德·马丁（Lockheed Martin）、诺斯罗普·格鲁曼（Northrop Grumman）等美国核心防务承包商存在深度绑定。综合判断，该机构本质上是美国军工复合体（Military-Industrial Complex）在华盛顿特区的“议程包装机”。其核心功能是将特定军工企业的商业诉求与美国空军（USAF）的军种利益，通过学术研究和情报分析的外衣，转化为符合“大国竞争”政治正确性的国家安全政策建议。</w:t>
      </w:r>
    </w:p>
    <w:p>
      <w:pPr>
        <w:spacing w:before="0" w:after="80" w:lineRule="auto" w:line="360"/>
        <w:ind w:firstLine="420"/>
        <w:jc w:val="both"/>
      </w:pPr>
      <w:r>
        <w:rPr>
          <w:rFonts w:eastAsia="黑体"/>
          <w:rFonts w:ascii="Times New Roman" w:hAnsi="Times New Roman"/>
          <w:b/>
          <w:i w:val="0"/>
          <w:sz w:val="24"/>
        </w:rPr>
        <w:t>第二，运作模式：开源表象与军购内核的深度嵌套。</w:t>
      </w:r>
    </w:p>
    <w:p>
      <w:pPr>
        <w:spacing w:before="0" w:after="80" w:lineRule="auto" w:line="360"/>
        <w:ind w:firstLine="420"/>
        <w:jc w:val="both"/>
      </w:pPr>
      <w:r>
        <w:rPr>
          <w:rFonts w:eastAsia="仿宋"/>
          <w:rFonts w:ascii="Times New Roman" w:hAnsi="Times New Roman"/>
          <w:b w:val="0"/>
          <w:i w:val="0"/>
          <w:sz w:val="24"/>
        </w:rPr>
        <w:t>该机构展现出极高的开源情报（OSINT）作业水准。据公开信息推断，其运作模式以高质量、高频次的开源情报产品（如《中国空军追踪器》）为表，以争取空军军费份额、推动特定高价值武器平台（如B-21轰炸机、F-47第六代战机、协同作战飞机CCA）采购为里。其通过发布具有视觉冲击力的卫星图像和战术分析，人为制造并放大“战力焦虑”与“威慑缺口”，进而为其预设的军备扩张结论提供逻辑支撑。</w:t>
      </w:r>
    </w:p>
    <w:p>
      <w:pPr>
        <w:spacing w:before="0" w:after="80" w:lineRule="auto" w:line="360"/>
        <w:ind w:firstLine="420"/>
        <w:jc w:val="both"/>
      </w:pPr>
      <w:r>
        <w:rPr>
          <w:rFonts w:eastAsia="黑体"/>
          <w:rFonts w:ascii="Times New Roman" w:hAnsi="Times New Roman"/>
          <w:b/>
          <w:i w:val="0"/>
          <w:sz w:val="24"/>
        </w:rPr>
        <w:t>第三，战略定位：对华空天战略生产链的“认知节点”。</w:t>
      </w:r>
    </w:p>
    <w:p>
      <w:pPr>
        <w:spacing w:before="0" w:after="80" w:lineRule="auto" w:line="360"/>
        <w:ind w:firstLine="420"/>
        <w:jc w:val="both"/>
      </w:pPr>
      <w:r>
        <w:rPr>
          <w:rFonts w:eastAsia="仿宋"/>
          <w:rFonts w:ascii="Times New Roman" w:hAnsi="Times New Roman"/>
          <w:b w:val="0"/>
          <w:i w:val="0"/>
          <w:sz w:val="24"/>
        </w:rPr>
        <w:t>总体看，米切尔研究所在美国对华防务政策的生产链条中，扮演着不可替代的“战略-认知节点”角色。该机构拥有将枯燥的技术数据、卫星坐标与机库尺寸，迅速转化为华盛顿决策圈可操作的“政策叙事”（Policy Narrative）的能力。其不仅填补了官方情报机构因保密限制无法公开引导舆论的空白，更通过国会听证、媒体播客与二轨对话，实质性地塑造了美国政界与印太盟友对中国人民解放军（PLA）空天能力的基线认知。</w:t>
      </w:r>
    </w:p>
    <w:p>
      <w:pPr>
        <w:spacing w:before="280" w:after="120" w:lineRule="auto" w:line="360"/>
        <w:jc w:val="both"/>
      </w:pPr>
      <w:r>
        <w:rPr>
          <w:rFonts w:eastAsia="黑体"/>
          <w:rFonts w:ascii="黑体" w:hAnsi="黑体"/>
          <w:b/>
          <w:i w:val="0"/>
          <w:color w:val="28326E"/>
          <w:sz w:val="30"/>
        </w:rPr>
        <w:t>（二）影响评估</w:t>
      </w:r>
    </w:p>
    <w:p>
      <w:pPr>
        <w:spacing w:before="0" w:after="80" w:lineRule="auto" w:line="360"/>
        <w:ind w:firstLine="420"/>
        <w:jc w:val="both"/>
      </w:pPr>
      <w:r>
        <w:rPr>
          <w:rFonts w:eastAsia="仿宋"/>
          <w:rFonts w:ascii="Times New Roman" w:hAnsi="Times New Roman"/>
          <w:b w:val="0"/>
          <w:i w:val="0"/>
          <w:sz w:val="24"/>
        </w:rPr>
        <w:t>米切尔研究所的运作模式及其高频次的情报释放，对我方国家安全、台海战略博弈及国际形象塑造构成了实质性挑战。综合判断，其潜在影响主要体现在以下三个维度：</w:t>
      </w:r>
    </w:p>
    <w:p>
      <w:pPr>
        <w:spacing w:before="0" w:after="80" w:lineRule="auto" w:line="360"/>
        <w:ind w:firstLine="420"/>
        <w:jc w:val="both"/>
      </w:pPr>
      <w:r>
        <w:rPr>
          <w:rFonts w:eastAsia="黑体"/>
          <w:rFonts w:ascii="Times New Roman" w:hAnsi="Times New Roman"/>
          <w:b/>
          <w:i w:val="0"/>
          <w:sz w:val="24"/>
        </w:rPr>
        <w:t>1. 对我军事透明度的“被动施压”与反侦察挑战</w:t>
      </w:r>
    </w:p>
    <w:p>
      <w:pPr>
        <w:spacing w:before="0" w:after="80" w:lineRule="auto" w:line="360"/>
        <w:ind w:firstLine="420"/>
        <w:jc w:val="both"/>
      </w:pPr>
      <w:r>
        <w:rPr>
          <w:rFonts w:eastAsia="仿宋"/>
          <w:rFonts w:ascii="Times New Roman" w:hAnsi="Times New Roman"/>
          <w:b w:val="0"/>
          <w:i w:val="0"/>
          <w:sz w:val="24"/>
        </w:rPr>
        <w:t>《中国空军追踪器》（China Airpower Tracker）等产品的常态化运作，标志着非政府情报机构（NGO-Intel）对我国防安全的监视达到新高度。已确证，该机构通过整合高分辨率商业卫星影像、社交媒体数据与人工智能（AI）识别算法，将解放军沿海机场扩建、战机部署轮换等战术动作，近乎实时地置于全球审视之下。这种“被动透明化”对我方军事行动的隐蔽性、伪装措施以及战略欺骗能力提出了严峻挑战。常规的伪装、隐蔽与欺骗（CC&amp;D）手段在多光谱、高频次商业卫星的持续覆盖下效能递减。需要警惕的是，此类开源数据的公开，极大压缩了我方在危机初期的战略模糊空间，使得正常的防务建设极易被敌意解读为“即将发动先发制人打击”的战术预警信号。</w:t>
      </w:r>
    </w:p>
    <w:p>
      <w:pPr>
        <w:spacing w:before="0" w:after="80" w:lineRule="auto" w:line="360"/>
        <w:ind w:firstLine="420"/>
        <w:jc w:val="both"/>
      </w:pPr>
      <w:r>
        <w:rPr>
          <w:rFonts w:eastAsia="黑体"/>
          <w:rFonts w:ascii="Times New Roman" w:hAnsi="Times New Roman"/>
          <w:b/>
          <w:i w:val="0"/>
          <w:sz w:val="24"/>
        </w:rPr>
        <w:t>2. 对台海冲突的“叙事杠杆”作用与政策闭环</w:t>
      </w:r>
    </w:p>
    <w:p>
      <w:pPr>
        <w:spacing w:before="0" w:after="80" w:lineRule="auto" w:line="360"/>
        <w:ind w:firstLine="420"/>
        <w:jc w:val="both"/>
      </w:pPr>
      <w:r>
        <w:rPr>
          <w:rFonts w:eastAsia="仿宋"/>
          <w:rFonts w:ascii="Times New Roman" w:hAnsi="Times New Roman"/>
          <w:b w:val="0"/>
          <w:i w:val="0"/>
          <w:sz w:val="24"/>
        </w:rPr>
        <w:t>在涉台议题上，米切尔研究所发挥了显著的“叙事杠杆”效能。据公开信息推断，该机构通过释放如歼-6（J-6）改装无人战斗航空器（UCAV）、东南沿海加固机库（HAS）扩建等具体战术案例，精准配合了台湾“国防安全研究院”（INDSR）及美国在台协会（AIT）的舆论放大操作。这一过程形成了一个严密的政策闭环：“美方智库释放威胁认知 → 台湾防务部门背书并制造恐慌 → 台湾立法机构调配不对称作战资源 → 美台军工利益集团推动对台军售”。综合判断，米切尔研究所的兵棋推演结论（如“2035年美空军无法保卫台湾”）与战术情报释放，间接且有力地推升了民进党当局“以武拒统”的国际化论据，为美台实质性军事勾连提供了持续的理论弹药。</w:t>
      </w:r>
    </w:p>
    <w:p>
      <w:pPr>
        <w:spacing w:before="0" w:after="80" w:lineRule="auto" w:line="360"/>
        <w:ind w:firstLine="420"/>
        <w:jc w:val="both"/>
      </w:pPr>
      <w:r>
        <w:rPr>
          <w:rFonts w:eastAsia="黑体"/>
          <w:rFonts w:ascii="Times New Roman" w:hAnsi="Times New Roman"/>
          <w:b/>
          <w:i w:val="0"/>
          <w:sz w:val="24"/>
        </w:rPr>
        <w:t>3. 对中方海外形象的“持续聚光灯”与认知挤压</w:t>
      </w:r>
    </w:p>
    <w:p>
      <w:pPr>
        <w:spacing w:before="0" w:after="80" w:lineRule="auto" w:line="360"/>
        <w:ind w:firstLine="420"/>
        <w:jc w:val="both"/>
      </w:pPr>
      <w:r>
        <w:rPr>
          <w:rFonts w:eastAsia="仿宋"/>
          <w:rFonts w:ascii="Times New Roman" w:hAnsi="Times New Roman"/>
          <w:b w:val="0"/>
          <w:i w:val="0"/>
          <w:sz w:val="24"/>
        </w:rPr>
        <w:t>米切尔研究所的产出不仅影响中美双边互动，更在全球范围内对我方形成“持续聚光灯”效应。总体看，该机构凭借其极具专业包装的英文报告与多媒体传播矩阵，正在国际智库圈、专业军事媒体及防务观察家中，强行塑造关于解放军“极具扩张性、不透明且具有高度进攻意图”的基线认知。值得关注的是，这种高强度的认知塑造，实质性地挤压了第三国（特别是欧洲、东盟、拉美等地区国家）独立研判中国军力发展的空间。当这些国家的防务规划者习惯于采用米切尔研究所的数据集与分析框架时，我方在国际多边安全对话中的话语权与战略互信构建将面临长期的结构性阻力。</w:t>
      </w:r>
    </w:p>
    <w:p>
      <w:pPr>
        <w:spacing w:before="280" w:after="120" w:lineRule="auto" w:line="360"/>
        <w:jc w:val="both"/>
      </w:pPr>
      <w:r>
        <w:rPr>
          <w:rFonts w:eastAsia="黑体"/>
          <w:rFonts w:ascii="黑体" w:hAnsi="黑体"/>
          <w:b/>
          <w:i w:val="0"/>
          <w:color w:val="28326E"/>
          <w:sz w:val="30"/>
        </w:rPr>
        <w:t>（三）政策建议</w:t>
      </w:r>
    </w:p>
    <w:p>
      <w:pPr>
        <w:spacing w:before="0" w:after="80" w:lineRule="auto" w:line="360"/>
        <w:ind w:firstLine="420"/>
        <w:jc w:val="both"/>
      </w:pPr>
      <w:r>
        <w:rPr>
          <w:rFonts w:eastAsia="仿宋"/>
          <w:rFonts w:ascii="Times New Roman" w:hAnsi="Times New Roman"/>
          <w:b w:val="0"/>
          <w:i w:val="0"/>
          <w:sz w:val="24"/>
        </w:rPr>
        <w:t>面对米切尔研究所等美国“思想型智库”在情报与认知领域的复合挑战，我方需摒弃传统的被动应对模式，转而采取体系化的反制与对冲策略。基于“知己知彼、对等威慑、精准反制”的原则，提出以下八条具体政策建议：</w:t>
      </w:r>
    </w:p>
    <w:p>
      <w:pPr>
        <w:spacing w:before="0" w:after="80" w:lineRule="auto" w:line="360"/>
        <w:ind w:firstLine="420"/>
        <w:jc w:val="both"/>
      </w:pPr>
      <w:r>
        <w:rPr>
          <w:rFonts w:eastAsia="黑体"/>
          <w:rFonts w:ascii="Times New Roman" w:hAnsi="Times New Roman"/>
          <w:b/>
          <w:i w:val="0"/>
          <w:sz w:val="24"/>
        </w:rPr>
        <w:t>1. 建立针对性反向追踪与解构机制</w:t>
      </w:r>
    </w:p>
    <w:p>
      <w:pPr>
        <w:spacing w:before="0" w:after="80" w:lineRule="auto" w:line="360"/>
        <w:ind w:firstLine="420"/>
        <w:jc w:val="both"/>
      </w:pPr>
      <w:r>
        <w:rPr>
          <w:rFonts w:eastAsia="仿宋"/>
          <w:rFonts w:ascii="Times New Roman" w:hAnsi="Times New Roman"/>
          <w:b w:val="0"/>
          <w:i w:val="0"/>
          <w:sz w:val="24"/>
        </w:rPr>
        <w:t>建议由国家安全智库牵头，联合军方相关研究机构，组织专门团队对米切尔研究所的产出进行系统性的“逆向工程”（Reverse-engineering）分析。重点研判其底层数据来源、分析框架的逻辑漏洞及其议程偏向。定期形成内部评估报告，精准剥离其报告中的“物理事实”与“主观意图”，为我方高层决策提供去伪存真的参考。</w:t>
      </w:r>
    </w:p>
    <w:p>
      <w:pPr>
        <w:spacing w:before="0" w:after="80" w:lineRule="auto" w:line="360"/>
        <w:ind w:firstLine="420"/>
        <w:jc w:val="both"/>
      </w:pPr>
      <w:r>
        <w:rPr>
          <w:rFonts w:eastAsia="黑体"/>
          <w:rFonts w:ascii="Times New Roman" w:hAnsi="Times New Roman"/>
          <w:b/>
          <w:i w:val="0"/>
          <w:sz w:val="24"/>
        </w:rPr>
        <w:t>2. 构建对等开源情报威慑平台</w:t>
      </w:r>
    </w:p>
    <w:p>
      <w:pPr>
        <w:spacing w:before="0" w:after="80" w:lineRule="auto" w:line="360"/>
        <w:ind w:firstLine="420"/>
        <w:jc w:val="both"/>
      </w:pPr>
      <w:r>
        <w:rPr>
          <w:rFonts w:eastAsia="仿宋"/>
          <w:rFonts w:ascii="Times New Roman" w:hAnsi="Times New Roman"/>
          <w:b w:val="0"/>
          <w:i w:val="0"/>
          <w:sz w:val="24"/>
        </w:rPr>
        <w:t>建议统筹利用我方日益成熟的商业航天能力（如长光卫星、四维世景等高分辨率光学与SAR卫星星座），构建针对美军及其盟友在印太地区核心节点（如关岛安德森空军基地、冲绳嘉手纳基地、菲律宾苏比克湾及吕宋岛新设据点）的公开追踪平台。通过定期发布高质量的对等开源情报产品，形成舆论对冲，打破美方在战区军事透明度上的单向垄断。</w:t>
      </w:r>
    </w:p>
    <w:p>
      <w:pPr>
        <w:spacing w:before="0" w:after="80" w:lineRule="auto" w:line="360"/>
        <w:ind w:firstLine="420"/>
        <w:jc w:val="both"/>
      </w:pPr>
      <w:r>
        <w:rPr>
          <w:rFonts w:eastAsia="黑体"/>
          <w:rFonts w:ascii="Times New Roman" w:hAnsi="Times New Roman"/>
          <w:b/>
          <w:i w:val="0"/>
          <w:sz w:val="24"/>
        </w:rPr>
        <w:t>3. 强化国际战略叙事的主动反制</w:t>
      </w:r>
    </w:p>
    <w:p>
      <w:pPr>
        <w:spacing w:before="0" w:after="80" w:lineRule="auto" w:line="360"/>
        <w:ind w:firstLine="420"/>
        <w:jc w:val="both"/>
      </w:pPr>
      <w:r>
        <w:rPr>
          <w:rFonts w:eastAsia="仿宋"/>
          <w:rFonts w:ascii="Times New Roman" w:hAnsi="Times New Roman"/>
          <w:b w:val="0"/>
          <w:i w:val="0"/>
          <w:sz w:val="24"/>
        </w:rPr>
        <w:t>建议在国际学术期刊、主流媒体及重要多边安全论坛（如香山论坛、博鳌亚洲论坛安全分论坛）上，系统性地揭露米切尔研究所等机构的“利益冲突”本质。通过数据可视化等方式，向国际社会清晰展示其军工赞助商名单与其武器采购建议之间的直接对应关系，从根本上削弱其情报产品的客观性光环与国际公信力。</w:t>
      </w:r>
    </w:p>
    <w:p>
      <w:pPr>
        <w:spacing w:before="0" w:after="80" w:lineRule="auto" w:line="360"/>
        <w:ind w:firstLine="420"/>
        <w:jc w:val="both"/>
      </w:pPr>
      <w:r>
        <w:rPr>
          <w:rFonts w:eastAsia="黑体"/>
          <w:rFonts w:ascii="Times New Roman" w:hAnsi="Times New Roman"/>
          <w:b/>
          <w:i w:val="0"/>
          <w:sz w:val="24"/>
        </w:rPr>
        <w:t>4. 升级反侦察体系与实施战略欺骗</w:t>
      </w:r>
    </w:p>
    <w:p>
      <w:pPr>
        <w:spacing w:before="0" w:after="80" w:lineRule="auto" w:line="360"/>
        <w:ind w:firstLine="420"/>
        <w:jc w:val="both"/>
      </w:pPr>
      <w:r>
        <w:rPr>
          <w:rFonts w:eastAsia="仿宋"/>
          <w:rFonts w:ascii="Times New Roman" w:hAnsi="Times New Roman"/>
          <w:b w:val="0"/>
          <w:i w:val="0"/>
          <w:sz w:val="24"/>
        </w:rPr>
        <w:t>建议军方相关部门系统评估《中国空军追踪器》披露的战术细节，反推我方在阵地建设、装备轮换中的反间防谍与保密漏洞。同时，在非敏感区域或废弃机场，有规划、有节奏地暴露高仿真假目标（如充气模型、热信号诱饵），刻意制造数据噪音，以消耗其AI算法算力与分析师资源，降低其情报研判的信噪比。</w:t>
      </w:r>
    </w:p>
    <w:p>
      <w:pPr>
        <w:spacing w:before="0" w:after="80" w:lineRule="auto" w:line="360"/>
        <w:ind w:firstLine="420"/>
        <w:jc w:val="both"/>
      </w:pPr>
      <w:r>
        <w:rPr>
          <w:rFonts w:eastAsia="黑体"/>
          <w:rFonts w:ascii="Times New Roman" w:hAnsi="Times New Roman"/>
          <w:b/>
          <w:i w:val="0"/>
          <w:sz w:val="24"/>
        </w:rPr>
        <w:t>5. 密切监测涉台“二轨情报链”动向</w:t>
      </w:r>
    </w:p>
    <w:p>
      <w:pPr>
        <w:spacing w:before="0" w:after="80" w:lineRule="auto" w:line="360"/>
        <w:ind w:firstLine="420"/>
        <w:jc w:val="both"/>
      </w:pPr>
      <w:r>
        <w:rPr>
          <w:rFonts w:eastAsia="仿宋"/>
          <w:rFonts w:ascii="Times New Roman" w:hAnsi="Times New Roman"/>
          <w:b w:val="0"/>
          <w:i w:val="0"/>
          <w:sz w:val="24"/>
        </w:rPr>
        <w:t>需要警惕美台之间的非正式情报协同。建议相关安全部门密切监测台湾“国防安全研究院”（INDSR）、全球台湾研究中心（GTI）等机构与米切尔研究所的人员往来、联合课题与资金流向。对于涉嫌以“学术交流”为名，向美方智库泄露我方军情或配合进行认知作战的台湾学者、前台湾军方人员，应依法依规予以严厉反制与惩戒。</w:t>
      </w:r>
    </w:p>
    <w:p>
      <w:pPr>
        <w:spacing w:before="0" w:after="80" w:lineRule="auto" w:line="360"/>
        <w:ind w:firstLine="420"/>
        <w:jc w:val="both"/>
      </w:pPr>
      <w:r>
        <w:rPr>
          <w:rFonts w:eastAsia="黑体"/>
          <w:rFonts w:ascii="Times New Roman" w:hAnsi="Times New Roman"/>
          <w:b/>
          <w:i w:val="0"/>
          <w:sz w:val="24"/>
        </w:rPr>
        <w:t>6. 推动国内学术界开展系统性研究</w:t>
      </w:r>
    </w:p>
    <w:p>
      <w:pPr>
        <w:spacing w:before="0" w:after="80" w:lineRule="auto" w:line="360"/>
        <w:ind w:firstLine="420"/>
        <w:jc w:val="both"/>
      </w:pPr>
      <w:r>
        <w:rPr>
          <w:rFonts w:eastAsia="仿宋"/>
          <w:rFonts w:ascii="Times New Roman" w:hAnsi="Times New Roman"/>
          <w:b w:val="0"/>
          <w:i w:val="0"/>
          <w:sz w:val="24"/>
        </w:rPr>
        <w:t>建议国家社科基金及相关部委设立专项课题，支持国内国际关系学界、军事学界对美国“思想型智库”的运作机制、旋转门现象及开源情报技艺进行系统性研究。加快培养一批既懂军事技术、又精通美国国内政治与智库运作规律的复合型研究专家，提升我方在国际防务智库圈的博弈能力。</w:t>
      </w:r>
    </w:p>
    <w:p>
      <w:pPr>
        <w:spacing w:before="0" w:after="80" w:lineRule="auto" w:line="360"/>
        <w:ind w:firstLine="420"/>
        <w:jc w:val="both"/>
      </w:pPr>
      <w:r>
        <w:rPr>
          <w:rFonts w:eastAsia="黑体"/>
          <w:rFonts w:ascii="Times New Roman" w:hAnsi="Times New Roman"/>
          <w:b/>
          <w:i w:val="0"/>
          <w:sz w:val="24"/>
        </w:rPr>
        <w:t>7. 加强对美军工“旋转门”的量化追踪</w:t>
      </w:r>
    </w:p>
    <w:p>
      <w:pPr>
        <w:spacing w:before="0" w:after="80" w:lineRule="auto" w:line="360"/>
        <w:ind w:firstLine="420"/>
        <w:jc w:val="both"/>
      </w:pPr>
      <w:r>
        <w:rPr>
          <w:rFonts w:eastAsia="仿宋"/>
          <w:rFonts w:ascii="Times New Roman" w:hAnsi="Times New Roman"/>
          <w:b w:val="0"/>
          <w:i w:val="0"/>
          <w:sz w:val="24"/>
        </w:rPr>
        <w:t>建议建立美国国防领域“旋转门”现象的专属数据库。量化展示美国退役将领、国防部前高官在米切尔研究所等智库与军工企业之间的个人履历流转、资金流动路径及政策建议的最终变现过程。在必要时，可将相关数据作为我方实施对等制裁或外交交涉的精准事实依据。</w:t>
      </w:r>
    </w:p>
    <w:p>
      <w:pPr>
        <w:spacing w:before="0" w:after="80" w:lineRule="auto" w:line="360"/>
        <w:ind w:firstLine="420"/>
        <w:jc w:val="both"/>
      </w:pPr>
      <w:r>
        <w:rPr>
          <w:rFonts w:eastAsia="黑体"/>
          <w:rFonts w:ascii="Times New Roman" w:hAnsi="Times New Roman"/>
          <w:b/>
          <w:i w:val="0"/>
          <w:sz w:val="24"/>
        </w:rPr>
        <w:t>8. 提前布局应对其新兴领域拓展</w:t>
      </w:r>
    </w:p>
    <w:p>
      <w:pPr>
        <w:spacing w:before="0" w:after="80" w:lineRule="auto" w:line="360"/>
        <w:ind w:firstLine="420"/>
        <w:jc w:val="both"/>
      </w:pPr>
      <w:r>
        <w:rPr>
          <w:rFonts w:eastAsia="仿宋"/>
          <w:rFonts w:ascii="Times New Roman" w:hAnsi="Times New Roman"/>
          <w:b w:val="0"/>
          <w:i w:val="0"/>
          <w:sz w:val="24"/>
        </w:rPr>
        <w:t>值得关注的是，米切尔研究所下设的“太空力量优势卓越中心”（MI-SPACE）和“无人机与自主系统中心”（MI-UAS）正成为其未来3至5年的核心扩张方向。建议我方航天与无人机产业界、战略研究界提前布局，针对其可能炮制的“中国太空威胁论”与“中国无人机蜂群威胁论”制定预案，掌握相关领域国际规则制定与舆论引导的主动权。</w:t>
      </w:r>
    </w:p>
    <w:p>
      <w:pPr>
        <w:spacing w:before="280" w:after="120" w:lineRule="auto" w:line="360"/>
        <w:jc w:val="both"/>
      </w:pPr>
      <w:r>
        <w:rPr>
          <w:rFonts w:eastAsia="黑体"/>
          <w:rFonts w:ascii="黑体" w:hAnsi="黑体"/>
          <w:b/>
          <w:i w:val="0"/>
          <w:color w:val="28326E"/>
          <w:sz w:val="30"/>
        </w:rPr>
        <w:t>（四）展望与未尽课题</w:t>
      </w:r>
    </w:p>
    <w:p>
      <w:pPr>
        <w:spacing w:before="0" w:after="80" w:lineRule="auto" w:line="360"/>
        <w:ind w:firstLine="420"/>
        <w:jc w:val="both"/>
      </w:pPr>
      <w:r>
        <w:rPr>
          <w:rFonts w:eastAsia="仿宋"/>
          <w:rFonts w:ascii="Times New Roman" w:hAnsi="Times New Roman"/>
          <w:b w:val="0"/>
          <w:i w:val="0"/>
          <w:sz w:val="24"/>
        </w:rPr>
        <w:t>本报告基于公开来源情报，对米切尔研究所的组织生态与涉台联动进行了系统梳理。然而，受限于开源数据的边界与美台情报合作的隐蔽性，仍有部分关键环节处于战略模糊地带。为进一步深化对我方安全环境的全面评估，以下五个未尽课题需在未来的情报搜集与学术研究中予以重点突破：</w:t>
      </w:r>
    </w:p>
    <w:p>
      <w:pPr>
        <w:spacing w:before="0" w:after="80" w:lineRule="auto" w:line="360"/>
        <w:ind w:firstLine="420"/>
        <w:jc w:val="both"/>
      </w:pPr>
      <w:r>
        <w:rPr>
          <w:rFonts w:eastAsia="黑体"/>
          <w:rFonts w:ascii="Times New Roman" w:hAnsi="Times New Roman"/>
          <w:b/>
          <w:i w:val="0"/>
          <w:sz w:val="24"/>
        </w:rPr>
        <w:t>第一，米切尔研究所与台湾国安局（NSB）及台湾军情局（MIB）是否存在未披露的非正式渠道？</w:t>
      </w:r>
    </w:p>
    <w:p>
      <w:pPr>
        <w:spacing w:before="0" w:after="80" w:lineRule="auto" w:line="360"/>
        <w:ind w:firstLine="420"/>
        <w:jc w:val="both"/>
      </w:pPr>
      <w:r>
        <w:rPr>
          <w:rFonts w:eastAsia="仿宋"/>
          <w:rFonts w:ascii="Times New Roman" w:hAnsi="Times New Roman"/>
          <w:b w:val="0"/>
          <w:i w:val="0"/>
          <w:sz w:val="24"/>
        </w:rPr>
        <w:t>目前公开证据仅指向其与台湾二轨智库（INDSR）的合作。需进一步查明，美台情报机构是否利用米切尔研究所作为“白手套”，进行实质性的涉华机密情报（SIGINT/HUMINT）的“开源洗白”与双向交换。</w:t>
      </w:r>
    </w:p>
    <w:p>
      <w:pPr>
        <w:spacing w:before="0" w:after="80" w:lineRule="auto" w:line="360"/>
        <w:ind w:firstLine="420"/>
        <w:jc w:val="both"/>
      </w:pPr>
      <w:r>
        <w:rPr>
          <w:rFonts w:eastAsia="黑体"/>
          <w:rFonts w:ascii="Times New Roman" w:hAnsi="Times New Roman"/>
          <w:b/>
          <w:i w:val="0"/>
          <w:sz w:val="24"/>
        </w:rPr>
        <w:t>第二，其核心研究员 J. Michael Dahm 访台的具体行程与实质性接触对象为何？</w:t>
      </w:r>
    </w:p>
    <w:p>
      <w:pPr>
        <w:spacing w:before="0" w:after="80" w:lineRule="auto" w:line="360"/>
        <w:ind w:firstLine="420"/>
        <w:jc w:val="both"/>
      </w:pPr>
      <w:r>
        <w:rPr>
          <w:rFonts w:eastAsia="仿宋"/>
          <w:rFonts w:ascii="Times New Roman" w:hAnsi="Times New Roman"/>
          <w:b w:val="0"/>
          <w:i w:val="0"/>
          <w:sz w:val="24"/>
        </w:rPr>
        <w:t>该员作为前美国海军资深情报官，其2026年初的台湾之行绝非单纯的学术交流。需查明其是否视察了台湾关键防务设施，是否与台湾军方高层就台海兵棋推演的底层参数进行了非公开的对表与数据校准。</w:t>
      </w:r>
    </w:p>
    <w:p>
      <w:pPr>
        <w:spacing w:before="0" w:after="80" w:lineRule="auto" w:line="360"/>
        <w:ind w:firstLine="420"/>
        <w:jc w:val="both"/>
      </w:pPr>
      <w:r>
        <w:rPr>
          <w:rFonts w:eastAsia="黑体"/>
          <w:rFonts w:ascii="Times New Roman" w:hAnsi="Times New Roman"/>
          <w:b/>
          <w:i w:val="0"/>
          <w:sz w:val="24"/>
        </w:rPr>
        <w:t>第三，《中国空军追踪器》底层AI识别算法的承包商身份及技术渊源？</w:t>
      </w:r>
    </w:p>
    <w:p>
      <w:pPr>
        <w:spacing w:before="0" w:after="80" w:lineRule="auto" w:line="360"/>
        <w:ind w:firstLine="420"/>
        <w:jc w:val="both"/>
      </w:pPr>
      <w:r>
        <w:rPr>
          <w:rFonts w:eastAsia="仿宋"/>
          <w:rFonts w:ascii="Times New Roman" w:hAnsi="Times New Roman"/>
          <w:b w:val="0"/>
          <w:i w:val="0"/>
          <w:sz w:val="24"/>
        </w:rPr>
        <w:t>该追踪器处理海量卫星图像的效率远超传统人工判读。需探明其背后是否隐藏着与美国国防部“梅文计划”（Project Maven）相关的AI技术承包商（如Palantir或Scale AI），以及其算法模型的实际识别精度与误差率。</w:t>
      </w:r>
    </w:p>
    <w:p>
      <w:pPr>
        <w:spacing w:before="0" w:after="80" w:lineRule="auto" w:line="360"/>
        <w:ind w:firstLine="420"/>
        <w:jc w:val="both"/>
      </w:pPr>
      <w:r>
        <w:rPr>
          <w:rFonts w:eastAsia="黑体"/>
          <w:rFonts w:ascii="Times New Roman" w:hAnsi="Times New Roman"/>
          <w:b/>
          <w:i w:val="0"/>
          <w:sz w:val="24"/>
        </w:rPr>
        <w:t>第四，米切尔研究所是否参与了日韩澳“印太共同OSINT平台”的底层架构建设？</w:t>
      </w:r>
    </w:p>
    <w:p>
      <w:pPr>
        <w:spacing w:before="0" w:after="80" w:lineRule="auto" w:line="360"/>
        <w:ind w:firstLine="420"/>
        <w:jc w:val="both"/>
      </w:pPr>
      <w:r>
        <w:rPr>
          <w:rFonts w:eastAsia="仿宋"/>
          <w:rFonts w:ascii="Times New Roman" w:hAnsi="Times New Roman"/>
          <w:b w:val="0"/>
          <w:i w:val="0"/>
          <w:sz w:val="24"/>
        </w:rPr>
        <w:t>随着美国推动印太同盟体系的网格化，需研判该机构是否正在将其对华开源情报的标准操作程序（SOP）与数据接口，横向输出给日本防卫省或澳大利亚国防部，试图构建针对中方的多国联合情报监视网。</w:t>
      </w:r>
    </w:p>
    <w:p>
      <w:pPr>
        <w:spacing w:before="0" w:after="80" w:lineRule="auto" w:line="360"/>
        <w:ind w:firstLine="420"/>
        <w:jc w:val="both"/>
      </w:pPr>
      <w:r>
        <w:rPr>
          <w:rFonts w:eastAsia="黑体"/>
          <w:rFonts w:ascii="Times New Roman" w:hAnsi="Times New Roman"/>
          <w:b/>
          <w:i w:val="0"/>
          <w:sz w:val="24"/>
        </w:rPr>
        <w:t>第五，该机构的研究触角是否将实质性拓展至东南亚与中印边境方向？</w:t>
      </w:r>
    </w:p>
    <w:p>
      <w:pPr>
        <w:spacing w:before="0" w:after="80" w:lineRule="auto" w:line="360"/>
        <w:ind w:firstLine="420"/>
        <w:jc w:val="both"/>
      </w:pPr>
      <w:r>
        <w:rPr>
          <w:rFonts w:eastAsia="仿宋"/>
          <w:rFonts w:ascii="Times New Roman" w:hAnsi="Times New Roman"/>
          <w:b w:val="0"/>
          <w:i w:val="0"/>
          <w:sz w:val="24"/>
        </w:rPr>
        <w:t>目前其焦点集中于台海与西太平洋。需持续监测其是否计划利用同样的OSINT技艺，介入南海岛礁争议或中印边界态势，从而在我国周边制造新的舆论热点与安全摩擦节点。对上述课题的持续追踪，将是我方掌握战略主动、防范重大安全风险的关键所在。</w:t>
      </w:r>
    </w:p>
    <w:p>
      <w:pPr>
        <w:spacing w:before="0" w:after="80" w:lineRule="auto" w:line="360"/>
        <w:ind w:firstLine="420"/>
        <w:jc w:val="both"/>
      </w:pPr>
      <w:r>
        <w:rPr>
          <w:rFonts w:eastAsia="仿宋"/>
          <w:rFonts w:ascii="Times New Roman" w:hAnsi="Times New Roman"/>
          <w:b w:val="0"/>
          <w:i w:val="0"/>
          <w:color w:val="323296"/>
          <w:sz w:val="16"/>
          <w:vertAlign w:val="superscript"/>
        </w:rPr>
        <w:t>[1]</w:t>
      </w:r>
      <w:r>
        <w:rPr>
          <w:rFonts w:eastAsia="仿宋"/>
          <w:rFonts w:ascii="Times New Roman" w:hAnsi="Times New Roman"/>
          <w:b w:val="0"/>
          <w:i w:val="0"/>
          <w:sz w:val="24"/>
        </w:rPr>
        <w:t xml:space="preserve"> Mitchell Institute for Aerospace Studies. 2026.《中国空军追踪器》(China Airpower Tracker). https://www.mitchellaerospacepower.org/china/</w:t>
      </w:r>
    </w:p>
    <w:p>
      <w:pPr>
        <w:spacing w:before="0" w:after="80" w:lineRule="auto" w:line="360"/>
        <w:ind w:firstLine="420"/>
        <w:jc w:val="both"/>
      </w:pPr>
      <w:r>
        <w:rPr>
          <w:rFonts w:eastAsia="仿宋"/>
          <w:rFonts w:ascii="Times New Roman" w:hAnsi="Times New Roman"/>
          <w:b w:val="0"/>
          <w:i w:val="0"/>
          <w:color w:val="323296"/>
          <w:sz w:val="16"/>
          <w:vertAlign w:val="superscript"/>
        </w:rPr>
        <w:t>[2]</w:t>
      </w:r>
      <w:r>
        <w:rPr>
          <w:rFonts w:eastAsia="仿宋"/>
          <w:rFonts w:ascii="Times New Roman" w:hAnsi="Times New Roman"/>
          <w:b w:val="0"/>
          <w:i w:val="0"/>
          <w:sz w:val="24"/>
        </w:rPr>
        <w:t xml:space="preserve"> Mitchell Institute for Aerospace Studies. 2026.《战略攻击：拒止庇护所》(Strategic Attack: Denying Sanctuary). https://www.mitchellaerospacepower.org/app/uploads/2026/02/Strategic_Attack_Denying_Sanctuary_Policy_Paper_64.pdf</w:t>
      </w:r>
    </w:p>
    <w:p>
      <w:pPr>
        <w:spacing w:before="0" w:after="80" w:lineRule="auto" w:line="360"/>
        <w:ind w:firstLine="420"/>
        <w:jc w:val="both"/>
      </w:pPr>
      <w:r>
        <w:rPr>
          <w:rFonts w:eastAsia="仿宋"/>
          <w:rFonts w:ascii="Times New Roman" w:hAnsi="Times New Roman"/>
          <w:b w:val="0"/>
          <w:i w:val="0"/>
          <w:color w:val="323296"/>
          <w:sz w:val="16"/>
          <w:vertAlign w:val="superscript"/>
        </w:rPr>
        <w:t>[3]</w:t>
      </w:r>
      <w:r>
        <w:rPr>
          <w:rFonts w:eastAsia="仿宋"/>
          <w:rFonts w:ascii="Times New Roman" w:hAnsi="Times New Roman"/>
          <w:b w:val="0"/>
          <w:i w:val="0"/>
          <w:sz w:val="24"/>
        </w:rPr>
        <w:t xml:space="preserve"> Mitchell Institute for Aerospace Studies. 2025.《绘制太空优势之路：跨域势在必行》(Charting a Path to Space Superiority: The Cross-Domain Imperative). https://www.mitchellaerospacepower.org/charting-a-path-to-space-superiority-the-cross-domain-imperative/</w:t>
      </w:r>
    </w:p>
    <w:p>
      <w:pPr>
        <w:spacing w:before="0" w:after="80" w:lineRule="auto" w:line="360"/>
        <w:ind w:firstLine="420"/>
        <w:jc w:val="both"/>
      </w:pPr>
      <w:r>
        <w:rPr>
          <w:rFonts w:eastAsia="仿宋"/>
          <w:rFonts w:ascii="Times New Roman" w:hAnsi="Times New Roman"/>
          <w:b w:val="0"/>
          <w:i w:val="0"/>
          <w:color w:val="323296"/>
          <w:sz w:val="16"/>
          <w:vertAlign w:val="superscript"/>
        </w:rPr>
        <w:t>[4]</w:t>
      </w:r>
      <w:r>
        <w:rPr>
          <w:rFonts w:eastAsia="仿宋"/>
          <w:rFonts w:ascii="Times New Roman" w:hAnsi="Times New Roman"/>
          <w:b w:val="0"/>
          <w:i w:val="0"/>
          <w:sz w:val="24"/>
        </w:rPr>
        <w:t xml:space="preserve"> Mitchell Institute for Aerospace Studies. 2024.《数字工程政策文件》(Digital Engineering Policy Paper). https://www.mitchellaerospacepower.org/app/uploads/2024/05/Digital_Engineering_Policy_Paper_49.pdf</w:t>
      </w:r>
    </w:p>
    <w:p>
      <w:pPr>
        <w:spacing w:before="0" w:after="80" w:lineRule="auto" w:line="360"/>
        <w:ind w:firstLine="420"/>
        <w:jc w:val="both"/>
      </w:pPr>
      <w:r>
        <w:rPr>
          <w:rFonts w:eastAsia="仿宋"/>
          <w:rFonts w:ascii="Times New Roman" w:hAnsi="Times New Roman"/>
          <w:b w:val="0"/>
          <w:i w:val="0"/>
          <w:color w:val="323296"/>
          <w:sz w:val="16"/>
          <w:vertAlign w:val="superscript"/>
        </w:rPr>
        <w:t>[5]</w:t>
      </w:r>
      <w:r>
        <w:rPr>
          <w:rFonts w:eastAsia="仿宋"/>
          <w:rFonts w:ascii="Times New Roman" w:hAnsi="Times New Roman"/>
          <w:b w:val="0"/>
          <w:i w:val="0"/>
          <w:sz w:val="24"/>
        </w:rPr>
        <w:t xml:space="preserve"> Mitchell Institute for Aerospace Studies. 2024.《基地防御战》(Fighting the Air Base). https://www.mitchellaerospacepower.org/app/uploads/2024/07/Fighting-the-Air-Base-Final2.pdf</w:t>
      </w:r>
    </w:p>
    <w:p>
      <w:pPr>
        <w:spacing w:before="0" w:after="80" w:lineRule="auto" w:line="360"/>
        <w:ind w:firstLine="420"/>
        <w:jc w:val="both"/>
      </w:pPr>
      <w:r>
        <w:rPr>
          <w:rFonts w:eastAsia="仿宋"/>
          <w:rFonts w:ascii="Times New Roman" w:hAnsi="Times New Roman"/>
          <w:b w:val="0"/>
          <w:i w:val="0"/>
          <w:color w:val="323296"/>
          <w:sz w:val="16"/>
          <w:vertAlign w:val="superscript"/>
        </w:rPr>
        <w:t>[6]</w:t>
      </w:r>
      <w:r>
        <w:rPr>
          <w:rFonts w:eastAsia="仿宋"/>
          <w:rFonts w:ascii="Times New Roman" w:hAnsi="Times New Roman"/>
          <w:b w:val="0"/>
          <w:i w:val="0"/>
          <w:sz w:val="24"/>
        </w:rPr>
        <w:t xml:space="preserve"> Mitchell Institute for Aerospace Studies. 2022.《加固机库与无人战斗机：理解中国对台湾的威胁》(Hardened Shelters and UCAVs: Understanding The Chinese Threat Facing Taiwan). https://www.mitchellaerospacepower.org/app/uploads/2022/11/MI_Forum_47-Chinese-Airfields-Final.pdf</w:t>
      </w:r>
    </w:p>
    <w:p>
      <w:pPr>
        <w:spacing w:before="0" w:after="80" w:lineRule="auto" w:line="360"/>
        <w:ind w:firstLine="420"/>
        <w:jc w:val="both"/>
      </w:pPr>
      <w:r>
        <w:rPr>
          <w:rFonts w:eastAsia="仿宋"/>
          <w:rFonts w:ascii="Times New Roman" w:hAnsi="Times New Roman"/>
          <w:b w:val="0"/>
          <w:i w:val="0"/>
          <w:color w:val="323296"/>
          <w:sz w:val="16"/>
          <w:vertAlign w:val="superscript"/>
        </w:rPr>
        <w:t>[7]</w:t>
      </w:r>
      <w:r>
        <w:rPr>
          <w:rFonts w:eastAsia="仿宋"/>
          <w:rFonts w:ascii="Times New Roman" w:hAnsi="Times New Roman"/>
          <w:b w:val="0"/>
          <w:i w:val="0"/>
          <w:sz w:val="24"/>
        </w:rPr>
        <w:t xml:space="preserve"> Mitchell Institute for Aerospace Studies. 2025.《北极安全：失去的本土庇护所》(Homeland Sanctuary Lost: Urgent Actions to Secure the Arctic Flank). https://www.mitchellaerospacepower.org/app/uploads/2025/08/61_Arctic_Security-FINAL.pdf</w:t>
      </w:r>
    </w:p>
    <w:p>
      <w:pPr>
        <w:spacing w:before="0" w:after="80" w:lineRule="auto" w:line="360"/>
        <w:ind w:firstLine="420"/>
        <w:jc w:val="both"/>
      </w:pPr>
      <w:r>
        <w:rPr>
          <w:rFonts w:eastAsia="仿宋"/>
          <w:rFonts w:ascii="Times New Roman" w:hAnsi="Times New Roman"/>
          <w:b w:val="0"/>
          <w:i w:val="0"/>
          <w:color w:val="323296"/>
          <w:sz w:val="16"/>
          <w:vertAlign w:val="superscript"/>
        </w:rPr>
        <w:t>[8]</w:t>
      </w:r>
      <w:r>
        <w:rPr>
          <w:rFonts w:eastAsia="仿宋"/>
          <w:rFonts w:ascii="Times New Roman" w:hAnsi="Times New Roman"/>
          <w:b w:val="0"/>
          <w:i w:val="0"/>
          <w:sz w:val="24"/>
        </w:rPr>
        <w:t xml:space="preserve"> Air &amp; Space Forces Association. 2026.《米切尔研究所推出先进的中国空军追踪器》(Mitchell Institute Launches State-of-the-Art China Airpower Tracker). https://www.afa.org/mitchell-institute-launches-state-of-the-art-china-airpower-tracker/</w:t>
      </w:r>
    </w:p>
    <w:p>
      <w:pPr>
        <w:spacing w:before="0" w:after="80" w:lineRule="auto" w:line="360"/>
        <w:ind w:firstLine="420"/>
        <w:jc w:val="both"/>
      </w:pPr>
      <w:r>
        <w:rPr>
          <w:rFonts w:eastAsia="仿宋"/>
          <w:rFonts w:ascii="Times New Roman" w:hAnsi="Times New Roman"/>
          <w:b w:val="0"/>
          <w:i w:val="0"/>
          <w:color w:val="323296"/>
          <w:sz w:val="16"/>
          <w:vertAlign w:val="superscript"/>
        </w:rPr>
        <w:t>[9]</w:t>
      </w:r>
      <w:r>
        <w:rPr>
          <w:rFonts w:eastAsia="仿宋"/>
          <w:rFonts w:ascii="Times New Roman" w:hAnsi="Times New Roman"/>
          <w:b w:val="0"/>
          <w:i w:val="0"/>
          <w:sz w:val="24"/>
        </w:rPr>
        <w:t xml:space="preserve"> Mitchell Institute for Aerospace Studies. 2026.《太平洋威胁更新：台湾评估》(Pacific Threat Update: Taiwan Assessment). https://mitchellinstituteaerospaceadvantage.podbean.com/e/pacific-threat-update-taiwan-assessment-%E2%80%94-ep-273</w:t>
      </w:r>
    </w:p>
    <w:p>
      <w:pPr>
        <w:spacing w:before="0" w:after="80" w:lineRule="auto" w:line="360"/>
        <w:ind w:firstLine="420"/>
        <w:jc w:val="both"/>
      </w:pPr>
      <w:r>
        <w:rPr>
          <w:rFonts w:eastAsia="仿宋"/>
          <w:rFonts w:ascii="Times New Roman" w:hAnsi="Times New Roman"/>
          <w:b w:val="0"/>
          <w:i w:val="0"/>
          <w:color w:val="323296"/>
          <w:sz w:val="16"/>
          <w:vertAlign w:val="superscript"/>
        </w:rPr>
        <w:t>[10]</w:t>
      </w:r>
      <w:r>
        <w:rPr>
          <w:rFonts w:eastAsia="仿宋"/>
          <w:rFonts w:ascii="Times New Roman" w:hAnsi="Times New Roman"/>
          <w:b w:val="0"/>
          <w:i w:val="0"/>
          <w:sz w:val="24"/>
        </w:rPr>
        <w:t xml:space="preserve"> Mitchell Institute for Aerospace Studies. 2025.《协同作战飞机如何对抗中国》(Wargame Shows How CCAs Could Take On China). https://www.mitchellaerospacepower.org/wargame-shows-how-ccas-could-take-on-china/</w:t>
      </w:r>
    </w:p>
    <w:p>
      <w:pPr>
        <w:spacing w:before="0" w:after="80" w:lineRule="auto" w:line="360"/>
        <w:ind w:firstLine="420"/>
        <w:jc w:val="both"/>
      </w:pPr>
      <w:r>
        <w:rPr>
          <w:rFonts w:eastAsia="仿宋"/>
          <w:rFonts w:ascii="Times New Roman" w:hAnsi="Times New Roman"/>
          <w:b w:val="0"/>
          <w:i w:val="0"/>
          <w:color w:val="323296"/>
          <w:sz w:val="16"/>
          <w:vertAlign w:val="superscript"/>
        </w:rPr>
        <w:t>[11]</w:t>
      </w:r>
      <w:r>
        <w:rPr>
          <w:rFonts w:eastAsia="仿宋"/>
          <w:rFonts w:ascii="Times New Roman" w:hAnsi="Times New Roman"/>
          <w:b w:val="0"/>
          <w:i w:val="0"/>
          <w:sz w:val="24"/>
        </w:rPr>
        <w:t xml:space="preserve"> Air &amp; Space Forces Association. 2026.《德普图拉解析“战备之年”中的飞机老化危机》(WATCH: Deptula Unpacks the Aging Aircraft Crisis in 'Year of Readiness'). https://www.airandspaceforces.com/watch-deptula-unpacks-the-aging-aircraft-crisis-in-year-of-readiness/</w:t>
      </w:r>
    </w:p>
    <w:p>
      <w:pPr>
        <w:spacing w:before="0" w:after="80" w:lineRule="auto" w:line="360"/>
        <w:ind w:firstLine="420"/>
        <w:jc w:val="both"/>
      </w:pPr>
      <w:r>
        <w:rPr>
          <w:rFonts w:eastAsia="仿宋"/>
          <w:rFonts w:ascii="Times New Roman" w:hAnsi="Times New Roman"/>
          <w:b w:val="0"/>
          <w:i w:val="0"/>
          <w:color w:val="323296"/>
          <w:sz w:val="16"/>
          <w:vertAlign w:val="superscript"/>
        </w:rPr>
        <w:t>[12]</w:t>
      </w:r>
      <w:r>
        <w:rPr>
          <w:rFonts w:eastAsia="仿宋"/>
          <w:rFonts w:ascii="Times New Roman" w:hAnsi="Times New Roman"/>
          <w:b w:val="0"/>
          <w:i w:val="0"/>
          <w:sz w:val="24"/>
        </w:rPr>
        <w:t xml:space="preserve"> U.S.-China Economic and Security Review Commission (USCC). 2024.《关于中国战略目标的证词》(Testimony on China's Strategic Objectives). https://www.uscc.gov/sites/default/files/2024-03/J.Michael_Dahm_Testimony.pdf</w:t>
      </w:r>
    </w:p>
    <w:p>
      <w:pPr>
        <w:spacing w:before="0" w:after="80" w:lineRule="auto" w:line="360"/>
        <w:ind w:firstLine="420"/>
        <w:jc w:val="both"/>
      </w:pPr>
      <w:r>
        <w:rPr>
          <w:rFonts w:eastAsia="仿宋"/>
          <w:rFonts w:ascii="Times New Roman" w:hAnsi="Times New Roman"/>
          <w:b w:val="0"/>
          <w:i w:val="0"/>
          <w:color w:val="323296"/>
          <w:sz w:val="16"/>
          <w:vertAlign w:val="superscript"/>
        </w:rPr>
        <w:t>[13]</w:t>
      </w:r>
      <w:r>
        <w:rPr>
          <w:rFonts w:eastAsia="仿宋"/>
          <w:rFonts w:ascii="Times New Roman" w:hAnsi="Times New Roman"/>
          <w:b w:val="0"/>
          <w:i w:val="0"/>
          <w:sz w:val="24"/>
        </w:rPr>
        <w:t xml:space="preserve"> Department of Defense (DoD). 2025.《中国军力报告2025》(2025 China Military Power Report). https://www.defense.gov/CMPR/</w:t>
      </w:r>
    </w:p>
    <w:p>
      <w:pPr>
        <w:spacing w:before="0" w:after="80" w:lineRule="auto" w:line="360"/>
        <w:ind w:firstLine="420"/>
        <w:jc w:val="both"/>
      </w:pPr>
      <w:r>
        <w:rPr>
          <w:rFonts w:eastAsia="仿宋"/>
          <w:rFonts w:ascii="Times New Roman" w:hAnsi="Times New Roman"/>
          <w:b w:val="0"/>
          <w:i w:val="0"/>
          <w:color w:val="323296"/>
          <w:sz w:val="16"/>
          <w:vertAlign w:val="superscript"/>
        </w:rPr>
        <w:t>[14]</w:t>
      </w:r>
      <w:r>
        <w:rPr>
          <w:rFonts w:eastAsia="仿宋"/>
          <w:rFonts w:ascii="Times New Roman" w:hAnsi="Times New Roman"/>
          <w:b w:val="0"/>
          <w:i w:val="0"/>
          <w:sz w:val="24"/>
        </w:rPr>
        <w:t xml:space="preserve"> Internal Revenue Service (IRS). 2023.《空军与太空军协会990表格》(Form 990: Air &amp; Space Forces Association). https://www.irs.gov/charities-non-profits/form-990-resources-and-tools</w:t>
      </w:r>
    </w:p>
    <w:p>
      <w:pPr>
        <w:spacing w:before="0" w:after="80" w:lineRule="auto" w:line="360"/>
        <w:ind w:firstLine="420"/>
        <w:jc w:val="both"/>
      </w:pPr>
      <w:r>
        <w:rPr>
          <w:rFonts w:eastAsia="仿宋"/>
          <w:rFonts w:ascii="Times New Roman" w:hAnsi="Times New Roman"/>
          <w:b w:val="0"/>
          <w:i w:val="0"/>
          <w:color w:val="323296"/>
          <w:sz w:val="16"/>
          <w:vertAlign w:val="superscript"/>
        </w:rPr>
        <w:t>[15]</w:t>
      </w:r>
      <w:r>
        <w:rPr>
          <w:rFonts w:eastAsia="仿宋"/>
          <w:rFonts w:ascii="Times New Roman" w:hAnsi="Times New Roman"/>
          <w:b w:val="0"/>
          <w:i w:val="0"/>
          <w:sz w:val="24"/>
        </w:rPr>
        <w:t xml:space="preserve"> Congressional Research Service (CRS). 2025.《美国空军下一代空中优势计划》(Air Force Next-Generation Air Dominance Program). https://crsreports.congress.gov/product/pdf/IF/IF11659</w:t>
      </w:r>
    </w:p>
    <w:p>
      <w:pPr>
        <w:spacing w:before="0" w:after="80" w:lineRule="auto" w:line="360"/>
        <w:ind w:firstLine="420"/>
        <w:jc w:val="both"/>
      </w:pPr>
      <w:r>
        <w:rPr>
          <w:rFonts w:eastAsia="仿宋"/>
          <w:rFonts w:ascii="Times New Roman" w:hAnsi="Times New Roman"/>
          <w:b w:val="0"/>
          <w:i w:val="0"/>
          <w:color w:val="323296"/>
          <w:sz w:val="16"/>
          <w:vertAlign w:val="superscript"/>
        </w:rPr>
        <w:t>[16]</w:t>
      </w:r>
      <w:r>
        <w:rPr>
          <w:rFonts w:eastAsia="仿宋"/>
          <w:rFonts w:ascii="Times New Roman" w:hAnsi="Times New Roman"/>
          <w:b w:val="0"/>
          <w:i w:val="0"/>
          <w:sz w:val="24"/>
        </w:rPr>
        <w:t xml:space="preserve"> House Select Committee on the CCP. 2024.《为台湾增加十项：威慑政策建议》(Ten More for Taiwan: Policy Recommendations to Deter). https://chinaselectcommittee.house.gov/sites/evo-subsites/selectcommitteeontheccp.house.gov/files/evo-media-document/ten-more-for-taiwan-final_0.pdf</w:t>
      </w:r>
    </w:p>
    <w:p>
      <w:pPr>
        <w:spacing w:before="0" w:after="80" w:lineRule="auto" w:line="360"/>
        <w:ind w:firstLine="420"/>
        <w:jc w:val="both"/>
      </w:pPr>
      <w:r>
        <w:rPr>
          <w:rFonts w:eastAsia="仿宋"/>
          <w:rFonts w:ascii="Times New Roman" w:hAnsi="Times New Roman"/>
          <w:b w:val="0"/>
          <w:i w:val="0"/>
          <w:color w:val="323296"/>
          <w:sz w:val="16"/>
          <w:vertAlign w:val="superscript"/>
        </w:rPr>
        <w:t>[17]</w:t>
      </w:r>
      <w:r>
        <w:rPr>
          <w:rFonts w:eastAsia="仿宋"/>
          <w:rFonts w:ascii="Times New Roman" w:hAnsi="Times New Roman"/>
          <w:b w:val="0"/>
          <w:i w:val="0"/>
          <w:sz w:val="24"/>
        </w:rPr>
        <w:t xml:space="preserve"> Air Force Research Laboratory (AFRL). 2026.《空军研究实验室官方概况》(Air Force Research Laboratory Official Overview). https://www.afrl.af.mil/</w:t>
      </w:r>
    </w:p>
    <w:p>
      <w:pPr>
        <w:spacing w:before="0" w:after="80" w:lineRule="auto" w:line="360"/>
        <w:ind w:firstLine="420"/>
        <w:jc w:val="both"/>
      </w:pPr>
      <w:r>
        <w:rPr>
          <w:rFonts w:eastAsia="仿宋"/>
          <w:rFonts w:ascii="Times New Roman" w:hAnsi="Times New Roman"/>
          <w:b w:val="0"/>
          <w:i w:val="0"/>
          <w:color w:val="323296"/>
          <w:sz w:val="16"/>
          <w:vertAlign w:val="superscript"/>
        </w:rPr>
        <w:t>[18]</w:t>
      </w:r>
      <w:r>
        <w:rPr>
          <w:rFonts w:eastAsia="仿宋"/>
          <w:rFonts w:ascii="Times New Roman" w:hAnsi="Times New Roman"/>
          <w:b w:val="0"/>
          <w:i w:val="0"/>
          <w:sz w:val="24"/>
        </w:rPr>
        <w:t xml:space="preserve"> Institute for National Defense and Security Research (INDSR). 2024.《国防安全双周报》(Defense Security Biweekly). https://indsr.org.tw/en/index</w:t>
      </w:r>
    </w:p>
    <w:p>
      <w:pPr>
        <w:spacing w:before="0" w:after="80" w:lineRule="auto" w:line="360"/>
        <w:ind w:firstLine="420"/>
        <w:jc w:val="both"/>
      </w:pPr>
      <w:r>
        <w:rPr>
          <w:rFonts w:eastAsia="仿宋"/>
          <w:rFonts w:ascii="Times New Roman" w:hAnsi="Times New Roman"/>
          <w:b w:val="0"/>
          <w:i w:val="0"/>
          <w:color w:val="323296"/>
          <w:sz w:val="16"/>
          <w:vertAlign w:val="superscript"/>
        </w:rPr>
        <w:t>[19]</w:t>
      </w:r>
      <w:r>
        <w:rPr>
          <w:rFonts w:eastAsia="仿宋"/>
          <w:rFonts w:ascii="Times New Roman" w:hAnsi="Times New Roman"/>
          <w:b w:val="0"/>
          <w:i w:val="0"/>
          <w:sz w:val="24"/>
        </w:rPr>
        <w:t xml:space="preserve"> American Institute in Taiwan (AIT). 2026.《谷立言处长在国防安全研究院的演讲》(Speech by AIT Director Raymond Greene at INDSR). https://www.ait.org.tw/speech-by-ait-dir-greene-at-indsr-seminar/</w:t>
      </w:r>
    </w:p>
    <w:p>
      <w:pPr>
        <w:spacing w:before="0" w:after="80" w:lineRule="auto" w:line="360"/>
        <w:ind w:firstLine="420"/>
        <w:jc w:val="both"/>
      </w:pPr>
      <w:r>
        <w:rPr>
          <w:rFonts w:eastAsia="仿宋"/>
          <w:rFonts w:ascii="Times New Roman" w:hAnsi="Times New Roman"/>
          <w:b w:val="0"/>
          <w:i w:val="0"/>
          <w:color w:val="323296"/>
          <w:sz w:val="16"/>
          <w:vertAlign w:val="superscript"/>
        </w:rPr>
        <w:t>[20]</w:t>
      </w:r>
      <w:r>
        <w:rPr>
          <w:rFonts w:eastAsia="仿宋"/>
          <w:rFonts w:ascii="Times New Roman" w:hAnsi="Times New Roman"/>
          <w:b w:val="0"/>
          <w:i w:val="0"/>
          <w:sz w:val="24"/>
        </w:rPr>
        <w:t xml:space="preserve"> Taipei Times. 2026.《国安局：中国渗透针对基层人员》(Chinese infiltration targeting rank-and-file: NSB). https://www.taipeitimes.com/News/taiwan/archives/2026/04/08/2003855255</w:t>
      </w:r>
    </w:p>
    <w:p>
      <w:pPr>
        <w:spacing w:before="0" w:after="80" w:lineRule="auto" w:line="360"/>
        <w:ind w:firstLine="420"/>
        <w:jc w:val="both"/>
      </w:pPr>
      <w:r>
        <w:rPr>
          <w:rFonts w:eastAsia="仿宋"/>
          <w:rFonts w:ascii="Times New Roman" w:hAnsi="Times New Roman"/>
          <w:b w:val="0"/>
          <w:i w:val="0"/>
          <w:color w:val="323296"/>
          <w:sz w:val="16"/>
          <w:vertAlign w:val="superscript"/>
        </w:rPr>
        <w:t>[21]</w:t>
      </w:r>
      <w:r>
        <w:rPr>
          <w:rFonts w:eastAsia="仿宋"/>
          <w:rFonts w:ascii="Times New Roman" w:hAnsi="Times New Roman"/>
          <w:b w:val="0"/>
          <w:i w:val="0"/>
          <w:sz w:val="24"/>
        </w:rPr>
        <w:t xml:space="preserve"> Focus Taiwan. 2025.《台湾情报机构警告小红书与抖音数据泄露》(Taiwan intelligence agency warns of RedNote, Douyin data breaches). https://focustaiwan.tw/cross-strait/202507020006</w:t>
      </w:r>
    </w:p>
    <w:p>
      <w:pPr>
        <w:spacing w:before="0" w:after="80" w:lineRule="auto" w:line="360"/>
        <w:ind w:firstLine="420"/>
        <w:jc w:val="both"/>
      </w:pPr>
      <w:r>
        <w:rPr>
          <w:rFonts w:eastAsia="仿宋"/>
          <w:rFonts w:ascii="Times New Roman" w:hAnsi="Times New Roman"/>
          <w:b w:val="0"/>
          <w:i w:val="0"/>
          <w:color w:val="323296"/>
          <w:sz w:val="16"/>
          <w:vertAlign w:val="superscript"/>
        </w:rPr>
        <w:t>[22]</w:t>
      </w:r>
      <w:r>
        <w:rPr>
          <w:rFonts w:eastAsia="仿宋"/>
          <w:rFonts w:ascii="Times New Roman" w:hAnsi="Times New Roman"/>
          <w:b w:val="0"/>
          <w:i w:val="0"/>
          <w:sz w:val="24"/>
        </w:rPr>
        <w:t xml:space="preserve"> Liberty Times. 2025.《台湾代表团赴美会谈》(Taiwan delegation in US for talks). https://news.ltn.com.tw/news/politics/breakingnews/</w:t>
      </w:r>
    </w:p>
    <w:p>
      <w:pPr>
        <w:spacing w:before="0" w:after="80" w:lineRule="auto" w:line="360"/>
        <w:ind w:firstLine="420"/>
        <w:jc w:val="both"/>
      </w:pPr>
      <w:r>
        <w:rPr>
          <w:rFonts w:eastAsia="仿宋"/>
          <w:rFonts w:ascii="Times New Roman" w:hAnsi="Times New Roman"/>
          <w:b w:val="0"/>
          <w:i w:val="0"/>
          <w:color w:val="323296"/>
          <w:sz w:val="16"/>
          <w:vertAlign w:val="superscript"/>
        </w:rPr>
        <w:t>[23]</w:t>
      </w:r>
      <w:r>
        <w:rPr>
          <w:rFonts w:eastAsia="仿宋"/>
          <w:rFonts w:ascii="Times New Roman" w:hAnsi="Times New Roman"/>
          <w:b w:val="0"/>
          <w:i w:val="0"/>
          <w:sz w:val="24"/>
        </w:rPr>
        <w:t xml:space="preserve"> Global Taiwan Institute (GTI). 2025.《美台关系新纪元研讨会》(GTI 2025 Annual Symposium: A New Era for US-Taiwan Relations). https://globaltaiwan.org/symposium/gti-2025-annual-symposium/</w:t>
      </w:r>
    </w:p>
    <w:p>
      <w:pPr>
        <w:spacing w:before="0" w:after="80" w:lineRule="auto" w:line="360"/>
        <w:ind w:firstLine="420"/>
        <w:jc w:val="both"/>
      </w:pPr>
      <w:r>
        <w:rPr>
          <w:rFonts w:eastAsia="仿宋"/>
          <w:rFonts w:ascii="Times New Roman" w:hAnsi="Times New Roman"/>
          <w:b w:val="0"/>
          <w:i w:val="0"/>
          <w:color w:val="323296"/>
          <w:sz w:val="16"/>
          <w:vertAlign w:val="superscript"/>
        </w:rPr>
        <w:t>[24]</w:t>
      </w:r>
      <w:r>
        <w:rPr>
          <w:rFonts w:eastAsia="仿宋"/>
          <w:rFonts w:ascii="Times New Roman" w:hAnsi="Times New Roman"/>
          <w:b w:val="0"/>
          <w:i w:val="0"/>
          <w:sz w:val="24"/>
        </w:rPr>
        <w:t xml:space="preserve"> Taipei Times. 2025.《中国对台湾军官的悬赏是新的认知战》(PRC bounties for Taiwanese military officers ‘new cognitive warfare effort’). https://www.taipeitimes.com/News/taiwan/archives/2025/10/21/2003845862</w:t>
      </w:r>
    </w:p>
    <w:p>
      <w:pPr>
        <w:spacing w:before="0" w:after="80" w:lineRule="auto" w:line="360"/>
        <w:ind w:firstLine="420"/>
        <w:jc w:val="both"/>
      </w:pPr>
      <w:r>
        <w:rPr>
          <w:rFonts w:eastAsia="仿宋"/>
          <w:rFonts w:ascii="Times New Roman" w:hAnsi="Times New Roman"/>
          <w:b w:val="0"/>
          <w:i w:val="0"/>
          <w:color w:val="323296"/>
          <w:sz w:val="16"/>
          <w:vertAlign w:val="superscript"/>
        </w:rPr>
        <w:t>[25]</w:t>
      </w:r>
      <w:r>
        <w:rPr>
          <w:rFonts w:eastAsia="仿宋"/>
          <w:rFonts w:ascii="Times New Roman" w:hAnsi="Times New Roman"/>
          <w:b w:val="0"/>
          <w:i w:val="0"/>
          <w:sz w:val="24"/>
        </w:rPr>
        <w:t xml:space="preserve"> Responsible Statecraft. 2024.《智库对空军说：购买数百架我们捐助者的战机》(Think tank to Air Force: Buy hundreds of our donors' warplanes). https://responsiblestatecraft.org/mitchell-institute/</w:t>
      </w:r>
    </w:p>
    <w:p>
      <w:pPr>
        <w:spacing w:before="0" w:after="80" w:lineRule="auto" w:line="360"/>
        <w:ind w:firstLine="420"/>
        <w:jc w:val="both"/>
      </w:pPr>
      <w:r>
        <w:rPr>
          <w:rFonts w:eastAsia="仿宋"/>
          <w:rFonts w:ascii="Times New Roman" w:hAnsi="Times New Roman"/>
          <w:b w:val="0"/>
          <w:i w:val="0"/>
          <w:color w:val="323296"/>
          <w:sz w:val="16"/>
          <w:vertAlign w:val="superscript"/>
        </w:rPr>
        <w:t>[26]</w:t>
      </w:r>
      <w:r>
        <w:rPr>
          <w:rFonts w:eastAsia="仿宋"/>
          <w:rFonts w:ascii="Times New Roman" w:hAnsi="Times New Roman"/>
          <w:b w:val="0"/>
          <w:i w:val="0"/>
          <w:sz w:val="24"/>
        </w:rPr>
        <w:t xml:space="preserve"> ProPublica. 2024.《非营利组织探索：米切尔研究所财务数据》(Nonprofit Explorer: Mitchell Institute Financial Data). https://projects.propublica.org/nonprofits/organizations/526043929</w:t>
      </w:r>
    </w:p>
    <w:p>
      <w:pPr>
        <w:spacing w:before="0" w:after="80" w:lineRule="auto" w:line="360"/>
        <w:ind w:firstLine="420"/>
        <w:jc w:val="both"/>
      </w:pPr>
      <w:r>
        <w:rPr>
          <w:rFonts w:eastAsia="仿宋"/>
          <w:rFonts w:ascii="Times New Roman" w:hAnsi="Times New Roman"/>
          <w:b w:val="0"/>
          <w:i w:val="0"/>
          <w:color w:val="323296"/>
          <w:sz w:val="16"/>
          <w:vertAlign w:val="superscript"/>
        </w:rPr>
        <w:t>[27]</w:t>
      </w:r>
      <w:r>
        <w:rPr>
          <w:rFonts w:eastAsia="仿宋"/>
          <w:rFonts w:ascii="Times New Roman" w:hAnsi="Times New Roman"/>
          <w:b w:val="0"/>
          <w:i w:val="0"/>
          <w:sz w:val="24"/>
        </w:rPr>
        <w:t xml:space="preserve"> Quincy Institute for Responsible Statecraft. 2025.《战争的利润：2020-2024年五角大楼支出的最大受益者》(Profits of War: Top Beneficiaries of Pentagon Spending, 2020–2024). https://quincyinst.org/research/profits-of-war-top-beneficiaries-of-pentagon-spending-2020-2024/</w:t>
      </w:r>
    </w:p>
    <w:p>
      <w:pPr>
        <w:spacing w:before="0" w:after="80" w:lineRule="auto" w:line="360"/>
        <w:ind w:firstLine="420"/>
        <w:jc w:val="both"/>
      </w:pPr>
      <w:r>
        <w:rPr>
          <w:rFonts w:eastAsia="仿宋"/>
          <w:rFonts w:ascii="Times New Roman" w:hAnsi="Times New Roman"/>
          <w:b w:val="0"/>
          <w:i w:val="0"/>
          <w:color w:val="323296"/>
          <w:sz w:val="16"/>
          <w:vertAlign w:val="superscript"/>
        </w:rPr>
        <w:t>[28]</w:t>
      </w:r>
      <w:r>
        <w:rPr>
          <w:rFonts w:eastAsia="仿宋"/>
          <w:rFonts w:ascii="Times New Roman" w:hAnsi="Times New Roman"/>
          <w:b w:val="0"/>
          <w:i w:val="0"/>
          <w:sz w:val="24"/>
        </w:rPr>
        <w:t xml:space="preserve"> Center for Strategic and International Studies (CSIS). 2026.《下一场战争的第一战：中国入侵台湾兵棋推演》(The First Battle of the Next War: Wargaming a Chinese Invasion of Taiwan). https://www.csis.org/analysis/first-battle-next-war-wargaming-chinese-invasion-taiwan</w:t>
      </w:r>
    </w:p>
    <w:p>
      <w:pPr>
        <w:spacing w:before="0" w:after="80" w:lineRule="auto" w:line="360"/>
        <w:ind w:firstLine="420"/>
        <w:jc w:val="both"/>
      </w:pPr>
      <w:r>
        <w:rPr>
          <w:rFonts w:eastAsia="仿宋"/>
          <w:rFonts w:ascii="Times New Roman" w:hAnsi="Times New Roman"/>
          <w:b w:val="0"/>
          <w:i w:val="0"/>
          <w:color w:val="323296"/>
          <w:sz w:val="16"/>
          <w:vertAlign w:val="superscript"/>
        </w:rPr>
        <w:t>[29]</w:t>
      </w:r>
      <w:r>
        <w:rPr>
          <w:rFonts w:eastAsia="仿宋"/>
          <w:rFonts w:ascii="Times New Roman" w:hAnsi="Times New Roman"/>
          <w:b w:val="0"/>
          <w:i w:val="0"/>
          <w:sz w:val="24"/>
        </w:rPr>
        <w:t xml:space="preserve"> Center for Strategic and International Studies (CSIS). 2026.《熄灯？中国封锁台湾兵棋推演》(Lights Out? Wargaming a Chinese Blockade of Taiwan). https://www.csis.org/analysis/lights-out-wargaming-chinese-blockade-taiwan</w:t>
      </w:r>
    </w:p>
    <w:p>
      <w:pPr>
        <w:spacing w:before="0" w:after="80" w:lineRule="auto" w:line="360"/>
        <w:ind w:firstLine="420"/>
        <w:jc w:val="both"/>
      </w:pPr>
      <w:r>
        <w:rPr>
          <w:rFonts w:eastAsia="仿宋"/>
          <w:rFonts w:ascii="Times New Roman" w:hAnsi="Times New Roman"/>
          <w:b w:val="0"/>
          <w:i w:val="0"/>
          <w:color w:val="323296"/>
          <w:sz w:val="16"/>
          <w:vertAlign w:val="superscript"/>
        </w:rPr>
        <w:t>[30]</w:t>
      </w:r>
      <w:r>
        <w:rPr>
          <w:rFonts w:eastAsia="仿宋"/>
          <w:rFonts w:ascii="Times New Roman" w:hAnsi="Times New Roman"/>
          <w:b w:val="0"/>
          <w:i w:val="0"/>
          <w:sz w:val="24"/>
        </w:rPr>
        <w:t xml:space="preserve"> China Aerospace Studies Institute (CASI). 2025.《解放军空军组织结构与部署》(PLA Air Force Organization and Deployment). https://www.airuniversity.af.edu/CASI/</w:t>
      </w:r>
    </w:p>
    <w:p>
      <w:pPr>
        <w:spacing w:before="0" w:after="80" w:lineRule="auto" w:line="360"/>
        <w:ind w:firstLine="420"/>
        <w:jc w:val="both"/>
      </w:pPr>
      <w:r>
        <w:rPr>
          <w:rFonts w:eastAsia="仿宋"/>
          <w:rFonts w:ascii="Times New Roman" w:hAnsi="Times New Roman"/>
          <w:b w:val="0"/>
          <w:i w:val="0"/>
          <w:color w:val="323296"/>
          <w:sz w:val="16"/>
          <w:vertAlign w:val="superscript"/>
        </w:rPr>
        <w:t>[31]</w:t>
      </w:r>
      <w:r>
        <w:rPr>
          <w:rFonts w:eastAsia="仿宋"/>
          <w:rFonts w:ascii="Times New Roman" w:hAnsi="Times New Roman"/>
          <w:b w:val="0"/>
          <w:i w:val="0"/>
          <w:sz w:val="24"/>
        </w:rPr>
        <w:t xml:space="preserve"> RAND Corporation. 2025.《印太地区的空军兵力态势》(Air Force Force Posture in the Indo-Pacific). https://www.rand.org/pubs/research_reports/RR4000.html</w:t>
      </w:r>
    </w:p>
    <w:p>
      <w:pPr>
        <w:spacing w:before="0" w:after="80" w:lineRule="auto" w:line="360"/>
        <w:ind w:firstLine="420"/>
        <w:jc w:val="both"/>
      </w:pPr>
      <w:r>
        <w:rPr>
          <w:rFonts w:eastAsia="仿宋"/>
          <w:rFonts w:ascii="Times New Roman" w:hAnsi="Times New Roman"/>
          <w:b w:val="0"/>
          <w:i w:val="0"/>
          <w:color w:val="323296"/>
          <w:sz w:val="16"/>
          <w:vertAlign w:val="superscript"/>
        </w:rPr>
        <w:t>[32]</w:t>
      </w:r>
      <w:r>
        <w:rPr>
          <w:rFonts w:eastAsia="仿宋"/>
          <w:rFonts w:ascii="Times New Roman" w:hAnsi="Times New Roman"/>
          <w:b w:val="0"/>
          <w:i w:val="0"/>
          <w:sz w:val="24"/>
        </w:rPr>
        <w:t xml:space="preserve"> Institute for the Study of War (ISW). 2026.《中国与台湾动态更新》(China &amp; Taiwan Update). https://understandingwar.org/research/china-taiwan/china-taiwan-update-january-2-2026/</w:t>
      </w:r>
    </w:p>
    <w:p>
      <w:pPr>
        <w:spacing w:before="0" w:after="80" w:lineRule="auto" w:line="360"/>
        <w:ind w:firstLine="420"/>
        <w:jc w:val="both"/>
      </w:pPr>
      <w:r>
        <w:rPr>
          <w:rFonts w:eastAsia="仿宋"/>
          <w:rFonts w:ascii="Times New Roman" w:hAnsi="Times New Roman"/>
          <w:b w:val="0"/>
          <w:i w:val="0"/>
          <w:color w:val="323296"/>
          <w:sz w:val="16"/>
          <w:vertAlign w:val="superscript"/>
        </w:rPr>
        <w:t>[33]</w:t>
      </w:r>
      <w:r>
        <w:rPr>
          <w:rFonts w:eastAsia="仿宋"/>
          <w:rFonts w:ascii="Times New Roman" w:hAnsi="Times New Roman"/>
          <w:b w:val="0"/>
          <w:i w:val="0"/>
          <w:sz w:val="24"/>
        </w:rPr>
        <w:t xml:space="preserve"> 联合早报. 2026.《美智库：中国大陆在台海附近部署“退役战机改装无人机”》. https://www.zaobao.com.sg/news/china/story20260327-8801557</w:t>
      </w:r>
    </w:p>
    <w:p>
      <w:pPr>
        <w:spacing w:before="0" w:after="80" w:lineRule="auto" w:line="360"/>
        <w:ind w:firstLine="420"/>
        <w:jc w:val="both"/>
      </w:pPr>
      <w:r>
        <w:rPr>
          <w:rFonts w:eastAsia="仿宋"/>
          <w:rFonts w:ascii="Times New Roman" w:hAnsi="Times New Roman"/>
          <w:b w:val="0"/>
          <w:i w:val="0"/>
          <w:color w:val="323296"/>
          <w:sz w:val="16"/>
          <w:vertAlign w:val="superscript"/>
        </w:rPr>
        <w:t>[34]</w:t>
      </w:r>
      <w:r>
        <w:rPr>
          <w:rFonts w:eastAsia="仿宋"/>
          <w:rFonts w:ascii="Times New Roman" w:hAnsi="Times New Roman"/>
          <w:b w:val="0"/>
          <w:i w:val="0"/>
          <w:sz w:val="24"/>
        </w:rPr>
        <w:t xml:space="preserve"> 腾讯新闻. 2026.《表演赛竟凑不齐两架F-22，美智库抛出千亿扩军计划，是救命稻草还是临终哀鸣？》. https://news.qq.com/rain/a/20260209A05URO00</w:t>
      </w:r>
    </w:p>
    <w:p>
      <w:pPr>
        <w:spacing w:before="0" w:after="80" w:lineRule="auto" w:line="360"/>
        <w:ind w:firstLine="420"/>
        <w:jc w:val="both"/>
      </w:pPr>
      <w:r>
        <w:rPr>
          <w:rFonts w:eastAsia="仿宋"/>
          <w:rFonts w:ascii="Times New Roman" w:hAnsi="Times New Roman"/>
          <w:b w:val="0"/>
          <w:i w:val="0"/>
          <w:color w:val="323296"/>
          <w:sz w:val="16"/>
          <w:vertAlign w:val="superscript"/>
        </w:rPr>
        <w:t>[35]</w:t>
      </w:r>
      <w:r>
        <w:rPr>
          <w:rFonts w:eastAsia="仿宋"/>
          <w:rFonts w:ascii="Times New Roman" w:hAnsi="Times New Roman"/>
          <w:b w:val="0"/>
          <w:i w:val="0"/>
          <w:sz w:val="24"/>
        </w:rPr>
        <w:t xml:space="preserve"> 参考消息. 2025.《美智库兵推台海冲突，暴露美空军战力短板》. https://www.cankaoxiaoxi.com/</w:t>
      </w:r>
    </w:p>
    <w:p>
      <w:pPr>
        <w:spacing w:before="0" w:after="80" w:lineRule="auto" w:line="360"/>
        <w:ind w:firstLine="420"/>
        <w:jc w:val="both"/>
      </w:pPr>
      <w:r>
        <w:rPr>
          <w:rFonts w:eastAsia="仿宋"/>
          <w:rFonts w:ascii="Times New Roman" w:hAnsi="Times New Roman"/>
          <w:b w:val="0"/>
          <w:i w:val="0"/>
          <w:color w:val="323296"/>
          <w:sz w:val="16"/>
          <w:vertAlign w:val="superscript"/>
        </w:rPr>
        <w:t>[36]</w:t>
      </w:r>
      <w:r>
        <w:rPr>
          <w:rFonts w:eastAsia="仿宋"/>
          <w:rFonts w:ascii="Times New Roman" w:hAnsi="Times New Roman"/>
          <w:b w:val="0"/>
          <w:i w:val="0"/>
          <w:sz w:val="24"/>
        </w:rPr>
        <w:t xml:space="preserve"> 环球时报. 2026.《美军工复合体借智库炒作“中国威胁”牟取暴利》. https://world.huanqiu.com/</w:t>
      </w:r>
    </w:p>
    <w:p>
      <w:pPr>
        <w:spacing w:before="0" w:after="80" w:lineRule="auto" w:line="360"/>
        <w:ind w:firstLine="420"/>
        <w:jc w:val="both"/>
      </w:pPr>
      <w:r>
        <w:rPr>
          <w:rFonts w:eastAsia="仿宋"/>
          <w:rFonts w:ascii="Times New Roman" w:hAnsi="Times New Roman"/>
          <w:b w:val="0"/>
          <w:i w:val="0"/>
          <w:color w:val="323296"/>
          <w:sz w:val="16"/>
          <w:vertAlign w:val="superscript"/>
        </w:rPr>
        <w:t>[37]</w:t>
      </w:r>
      <w:r>
        <w:rPr>
          <w:rFonts w:eastAsia="仿宋"/>
          <w:rFonts w:ascii="Times New Roman" w:hAnsi="Times New Roman"/>
          <w:b w:val="0"/>
          <w:i w:val="0"/>
          <w:sz w:val="24"/>
        </w:rPr>
        <w:t xml:space="preserve"> Maxar Technologies. 2026.《高分辨率卫星影像在防务分析中的应用》(High-Resolution Satellite Imagery in Defense Analysis). https://www.maxar.com/</w:t>
      </w:r>
    </w:p>
    <w:p>
      <w:pPr>
        <w:spacing w:before="0" w:after="80" w:lineRule="auto" w:line="360"/>
        <w:ind w:firstLine="420"/>
        <w:jc w:val="both"/>
      </w:pPr>
      <w:r>
        <w:rPr>
          <w:rFonts w:eastAsia="仿宋"/>
          <w:rFonts w:ascii="Times New Roman" w:hAnsi="Times New Roman"/>
          <w:b w:val="0"/>
          <w:i w:val="0"/>
          <w:color w:val="323296"/>
          <w:sz w:val="16"/>
          <w:vertAlign w:val="superscript"/>
        </w:rPr>
        <w:t>[38]</w:t>
      </w:r>
      <w:r>
        <w:rPr>
          <w:rFonts w:eastAsia="仿宋"/>
          <w:rFonts w:ascii="Times New Roman" w:hAnsi="Times New Roman"/>
          <w:b w:val="0"/>
          <w:i w:val="0"/>
          <w:sz w:val="24"/>
        </w:rPr>
        <w:t xml:space="preserve"> Planet Labs. 2025.《利用高频卫星数据监测印太军事设施》(Monitoring Indo-Pacific Military Installations with High-Frequency Satellite Data). https://www.planet.com/</w:t>
      </w:r>
    </w:p>
    <w:p>
      <w:pPr>
        <w:spacing w:before="0" w:after="80" w:lineRule="auto" w:line="360"/>
        <w:ind w:firstLine="420"/>
        <w:jc w:val="both"/>
      </w:pPr>
      <w:r>
        <w:rPr>
          <w:rFonts w:eastAsia="仿宋"/>
          <w:rFonts w:ascii="Times New Roman" w:hAnsi="Times New Roman"/>
          <w:b w:val="0"/>
          <w:i w:val="0"/>
          <w:color w:val="323296"/>
          <w:sz w:val="16"/>
          <w:vertAlign w:val="superscript"/>
        </w:rPr>
        <w:t>[39]</w:t>
      </w:r>
      <w:r>
        <w:rPr>
          <w:rFonts w:eastAsia="仿宋"/>
          <w:rFonts w:ascii="Times New Roman" w:hAnsi="Times New Roman"/>
          <w:b w:val="0"/>
          <w:i w:val="0"/>
          <w:sz w:val="24"/>
        </w:rPr>
        <w:t xml:space="preserve"> Bellingcat. 2025.《开源情报调查方法与军事设施识别》(OSINT Investigation Methods and Military Facility Identification). https://www.bellingcat.com/</w:t>
      </w:r>
    </w:p>
    <w:p>
      <w:pPr>
        <w:spacing w:before="0" w:after="80" w:lineRule="auto" w:line="360"/>
        <w:ind w:firstLine="420"/>
        <w:jc w:val="both"/>
      </w:pPr>
      <w:r>
        <w:rPr>
          <w:rFonts w:eastAsia="仿宋"/>
          <w:rFonts w:ascii="Times New Roman" w:hAnsi="Times New Roman"/>
          <w:b w:val="0"/>
          <w:i w:val="0"/>
          <w:color w:val="323296"/>
          <w:sz w:val="16"/>
          <w:vertAlign w:val="superscript"/>
        </w:rPr>
        <w:t>[40]</w:t>
      </w:r>
      <w:r>
        <w:rPr>
          <w:rFonts w:eastAsia="仿宋"/>
          <w:rFonts w:ascii="Times New Roman" w:hAnsi="Times New Roman"/>
          <w:b w:val="0"/>
          <w:i w:val="0"/>
          <w:sz w:val="24"/>
        </w:rPr>
        <w:t xml:space="preserve"> European Space Agency (ESA). 2026.《哥白尼计划与开源雷达数据(SAR)应用》(Copernicus Programme and Open-Source SAR Data Applications). https://www.esa.int/</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仿宋"/>
        <w:rFonts w:ascii="Times New Roman" w:hAnsi="Times New Roman"/>
        <w:b w:val="0"/>
        <w:i w:val="0"/>
        <w:color w:val="787878"/>
        <w:sz w:val="16"/>
      </w:rPr>
      <w:t>MISJ-2026-04 · 战略研判 · 内部参考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