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80" w:lineRule="auto" w:line="324"/>
        <w:jc w:val="center"/>
      </w:pPr>
      <w:r>
        <w:rPr>
          <w:rFonts w:eastAsia="黑体"/>
          <w:rFonts w:ascii="Arial" w:hAnsi="Arial"/>
          <w:b/>
          <w:i w:val="0"/>
          <w:color w:val="14285A"/>
          <w:sz w:val="44"/>
        </w:rPr>
        <w:t>美空军协会下属米切尔航空航天研究所 — 组织生态、涉台联动与开源情报产品评估</w:t>
      </w:r>
    </w:p>
    <w:p>
      <w:pPr>
        <w:spacing w:before="0" w:after="80" w:lineRule="auto" w:line="324"/>
        <w:ind w:firstLine="0"/>
        <w:jc w:val="both"/>
      </w:pPr>
      <w:r>
        <w:rPr>
          <w:rFonts w:eastAsia="宋体"/>
          <w:rFonts w:ascii="Times New Roman" w:hAnsi="Times New Roman"/>
          <w:b/>
          <w:i w:val="0"/>
          <w:sz w:val="22"/>
        </w:rPr>
        <w:t>RAND-Style Research Report</w:t>
      </w:r>
    </w:p>
    <w:p>
      <w:pPr>
        <w:spacing w:before="0" w:after="80" w:lineRule="auto" w:line="324"/>
        <w:ind w:firstLine="0"/>
        <w:jc w:val="both"/>
      </w:pPr>
      <w:r>
        <w:rPr>
          <w:rFonts w:eastAsia="宋体"/>
          <w:rFonts w:ascii="Times New Roman" w:hAnsi="Times New Roman"/>
          <w:b/>
          <w:i w:val="0"/>
          <w:sz w:val="22"/>
        </w:rPr>
        <w:t>Document No.</w:t>
      </w:r>
      <w:r>
        <w:rPr>
          <w:rFonts w:eastAsia="宋体"/>
          <w:rFonts w:ascii="Times New Roman" w:hAnsi="Times New Roman"/>
          <w:b w:val="0"/>
          <w:i w:val="0"/>
          <w:sz w:val="22"/>
        </w:rPr>
        <w:t xml:space="preserve"> RR-MI-2026-3</w:t>
      </w:r>
    </w:p>
    <w:p>
      <w:pPr>
        <w:spacing w:before="0" w:after="80" w:lineRule="auto" w:line="324"/>
        <w:ind w:firstLine="0"/>
        <w:jc w:val="both"/>
      </w:pPr>
      <w:r>
        <w:rPr>
          <w:rFonts w:eastAsia="宋体"/>
          <w:rFonts w:ascii="Times New Roman" w:hAnsi="Times New Roman"/>
          <w:b/>
          <w:i w:val="0"/>
          <w:sz w:val="22"/>
        </w:rPr>
        <w:t>Date.</w:t>
      </w:r>
      <w:r>
        <w:rPr>
          <w:rFonts w:eastAsia="宋体"/>
          <w:rFonts w:ascii="Times New Roman" w:hAnsi="Times New Roman"/>
          <w:b w:val="0"/>
          <w:i w:val="0"/>
          <w:sz w:val="22"/>
        </w:rPr>
        <w:t xml:space="preserve"> 2026-04-30</w:t>
      </w:r>
    </w:p>
    <w:p>
      <w:pPr>
        <w:spacing w:before="0" w:after="80" w:lineRule="auto" w:line="324"/>
        <w:ind w:firstLine="0"/>
        <w:jc w:val="both"/>
      </w:pPr>
      <w:r>
        <w:rPr>
          <w:rFonts w:eastAsia="宋体"/>
          <w:rFonts w:ascii="Times New Roman" w:hAnsi="Times New Roman"/>
          <w:b/>
          <w:i w:val="0"/>
          <w:sz w:val="22"/>
        </w:rPr>
        <w:t>Series.</w:t>
      </w:r>
      <w:r>
        <w:rPr>
          <w:rFonts w:eastAsia="宋体"/>
          <w:rFonts w:ascii="Times New Roman" w:hAnsi="Times New Roman"/>
          <w:b w:val="0"/>
          <w:i w:val="0"/>
          <w:sz w:val="22"/>
        </w:rPr>
        <w:t xml:space="preserve"> Independent Open-Source Assessment</w:t>
      </w:r>
    </w:p>
    <w:p>
      <w:pPr>
        <w:spacing w:before="0" w:after="80" w:lineRule="auto" w:line="324"/>
        <w:ind w:firstLine="0"/>
        <w:jc w:val="both"/>
      </w:pPr>
      <w:r>
        <w:rPr>
          <w:rFonts w:eastAsia="宋体"/>
          <w:rFonts w:ascii="Times New Roman" w:hAnsi="Times New Roman"/>
          <w:b/>
          <w:i w:val="0"/>
          <w:sz w:val="22"/>
        </w:rPr>
        <w:t>Disclaimer.</w:t>
      </w:r>
      <w:r>
        <w:rPr>
          <w:rFonts w:eastAsia="宋体"/>
          <w:rFonts w:ascii="Times New Roman" w:hAnsi="Times New Roman"/>
          <w:b w:val="0"/>
          <w:i w:val="0"/>
          <w:sz w:val="22"/>
        </w:rPr>
        <w:t xml:space="preserve"> 本报告假托 RAND Project AIR FORCE / NSRD 体例撰写，</w:t>
      </w:r>
    </w:p>
    <w:p>
      <w:pPr>
        <w:spacing w:before="0" w:after="80" w:lineRule="auto" w:line="324"/>
        <w:ind w:firstLine="0"/>
        <w:jc w:val="both"/>
      </w:pPr>
      <w:r>
        <w:rPr>
          <w:rFonts w:eastAsia="宋体"/>
          <w:rFonts w:ascii="Times New Roman" w:hAnsi="Times New Roman"/>
          <w:b w:val="0"/>
          <w:i w:val="0"/>
          <w:sz w:val="22"/>
        </w:rPr>
        <w:t>实际为独立桌面研究产品；不代表 RAND 公司及其客户的官方立场。</w:t>
      </w:r>
    </w:p>
    <w:p>
      <w:pPr>
        <w:jc w:val="center"/>
      </w:pPr>
      <w:r>
        <w:rPr>
          <w:rFonts w:eastAsia="宋体"/>
          <w:rFonts w:ascii="Times New Roman" w:hAnsi="Times New Roman"/>
          <w:b w:val="0"/>
          <w:i w:val="0"/>
          <w:color w:val="A0A0A0"/>
          <w:sz w:val="22"/>
        </w:rPr>
        <w:t>─────────────────────────</w:t>
      </w:r>
    </w:p>
    <w:p>
      <w:pPr>
        <w:spacing w:before="0" w:after="80" w:lineRule="auto" w:line="324"/>
        <w:ind w:firstLine="0"/>
        <w:jc w:val="both"/>
      </w:pPr>
      <w:r>
        <w:rPr>
          <w:rFonts w:eastAsia="宋体"/>
          <w:rFonts w:ascii="Times New Roman" w:hAnsi="Times New Roman"/>
          <w:b/>
          <w:i w:val="0"/>
          <w:sz w:val="22"/>
        </w:rPr>
        <w:t>Document No:</w:t>
      </w:r>
      <w:r>
        <w:rPr>
          <w:rFonts w:eastAsia="宋体"/>
          <w:rFonts w:ascii="Times New Roman" w:hAnsi="Times New Roman"/>
          <w:b w:val="0"/>
          <w:i w:val="0"/>
          <w:sz w:val="22"/>
        </w:rPr>
        <w:t xml:space="preserve"> RR-MI-2026-3</w:t>
      </w:r>
    </w:p>
    <w:p>
      <w:pPr>
        <w:spacing w:before="0" w:after="80" w:lineRule="auto" w:line="324"/>
        <w:ind w:firstLine="0"/>
        <w:jc w:val="both"/>
      </w:pPr>
      <w:r>
        <w:rPr>
          <w:rFonts w:eastAsia="宋体"/>
          <w:rFonts w:ascii="Times New Roman" w:hAnsi="Times New Roman"/>
          <w:b/>
          <w:i w:val="0"/>
          <w:sz w:val="22"/>
        </w:rPr>
        <w:t>Title (中文):</w:t>
      </w:r>
      <w:r>
        <w:rPr>
          <w:rFonts w:eastAsia="宋体"/>
          <w:rFonts w:ascii="Times New Roman" w:hAnsi="Times New Roman"/>
          <w:b w:val="0"/>
          <w:i w:val="0"/>
          <w:sz w:val="22"/>
        </w:rPr>
        <w:t xml:space="preserve"> 美空军协会下属米切尔航空航天研究所组织生态、涉台联动与开源情报产品评估</w:t>
      </w:r>
    </w:p>
    <w:p>
      <w:pPr>
        <w:spacing w:before="0" w:after="80" w:lineRule="auto" w:line="324"/>
        <w:ind w:firstLine="0"/>
        <w:jc w:val="both"/>
      </w:pPr>
      <w:r>
        <w:rPr>
          <w:rFonts w:eastAsia="宋体"/>
          <w:rFonts w:ascii="Times New Roman" w:hAnsi="Times New Roman"/>
          <w:b/>
          <w:i w:val="0"/>
          <w:sz w:val="22"/>
        </w:rPr>
        <w:t>Title (English):</w:t>
      </w:r>
      <w:r>
        <w:rPr>
          <w:rFonts w:eastAsia="宋体"/>
          <w:rFonts w:ascii="Times New Roman" w:hAnsi="Times New Roman"/>
          <w:b w:val="0"/>
          <w:i w:val="0"/>
          <w:sz w:val="22"/>
        </w:rPr>
        <w:t xml:space="preserve"> The Mitchell Institute for Aerospace Studies — An Assessment of Organizational Ecology, Taiwan Engagement, and Open-Source Intelligence Products</w:t>
      </w:r>
    </w:p>
    <w:p>
      <w:pPr>
        <w:spacing w:before="0" w:after="80" w:lineRule="auto" w:line="324"/>
        <w:ind w:firstLine="0"/>
        <w:jc w:val="both"/>
      </w:pPr>
      <w:r>
        <w:rPr>
          <w:rFonts w:eastAsia="宋体"/>
          <w:rFonts w:ascii="Times New Roman" w:hAnsi="Times New Roman"/>
          <w:b/>
          <w:i w:val="0"/>
          <w:sz w:val="22"/>
        </w:rPr>
        <w:t>Authors:</w:t>
      </w:r>
      <w:r>
        <w:rPr>
          <w:rFonts w:eastAsia="宋体"/>
          <w:rFonts w:ascii="Times New Roman" w:hAnsi="Times New Roman"/>
          <w:b w:val="0"/>
          <w:i w:val="0"/>
          <w:sz w:val="22"/>
        </w:rPr>
        <w:t xml:space="preserve"> RAND Project AIR FORCE / NSRD（化名）</w:t>
      </w:r>
    </w:p>
    <w:p>
      <w:pPr>
        <w:spacing w:before="0" w:after="80" w:lineRule="auto" w:line="324"/>
        <w:ind w:firstLine="0"/>
        <w:jc w:val="both"/>
      </w:pPr>
      <w:r>
        <w:rPr>
          <w:rFonts w:eastAsia="宋体"/>
          <w:rFonts w:ascii="Times New Roman" w:hAnsi="Times New Roman"/>
          <w:b/>
          <w:i w:val="0"/>
          <w:sz w:val="22"/>
        </w:rPr>
        <w:t>Series:</w:t>
      </w:r>
      <w:r>
        <w:rPr>
          <w:rFonts w:eastAsia="宋体"/>
          <w:rFonts w:ascii="Times New Roman" w:hAnsi="Times New Roman"/>
          <w:b w:val="0"/>
          <w:i w:val="0"/>
          <w:sz w:val="22"/>
        </w:rPr>
        <w:t xml:space="preserve"> Research Report</w:t>
      </w:r>
    </w:p>
    <w:p>
      <w:pPr>
        <w:spacing w:before="0" w:after="80" w:lineRule="auto" w:line="324"/>
        <w:ind w:firstLine="0"/>
        <w:jc w:val="both"/>
      </w:pPr>
      <w:r>
        <w:rPr>
          <w:rFonts w:eastAsia="宋体"/>
          <w:rFonts w:ascii="Times New Roman" w:hAnsi="Times New Roman"/>
          <w:b/>
          <w:i w:val="0"/>
          <w:sz w:val="22"/>
        </w:rPr>
        <w:t>Date:</w:t>
      </w:r>
      <w:r>
        <w:rPr>
          <w:rFonts w:eastAsia="宋体"/>
          <w:rFonts w:ascii="Times New Roman" w:hAnsi="Times New Roman"/>
          <w:b w:val="0"/>
          <w:i w:val="0"/>
          <w:sz w:val="22"/>
        </w:rPr>
        <w:t xml:space="preserve"> 2026-04-30</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About This Report</w:t>
      </w:r>
    </w:p>
    <w:p>
      <w:pPr>
        <w:spacing w:before="0" w:after="80" w:lineRule="auto" w:line="324"/>
        <w:ind w:firstLine="0"/>
        <w:jc w:val="both"/>
      </w:pPr>
      <w:r>
        <w:rPr>
          <w:rFonts w:eastAsia="宋体"/>
          <w:rFonts w:ascii="Times New Roman" w:hAnsi="Times New Roman"/>
          <w:b w:val="0"/>
          <w:i w:val="0"/>
          <w:sz w:val="22"/>
        </w:rPr>
        <w:t>本报告旨在系统性评估美国空军与太空军协会（AFA）下属米切尔航空航天研究所（The Mitchell Institute for Aerospace Studies）的组织生态位、涉台情报联动机制及其开源情报（OSINT）产品的运作逻辑。本研究的地理与战略范围聚焦于印太战区，特别是台海冲突想定下美国空天力量的理论构建与政策倡导。本报告的目标受众包括美国空军（USAF）规划人员、美国国会防务预算决策者、印太防务规划者以及危机管理研究人员。</w:t>
      </w:r>
    </w:p>
    <w:p>
      <w:pPr>
        <w:spacing w:before="0" w:after="80" w:lineRule="auto" w:line="324"/>
        <w:ind w:firstLine="0"/>
        <w:jc w:val="both"/>
      </w:pPr>
      <w:r>
        <w:rPr>
          <w:rFonts w:eastAsia="宋体"/>
          <w:rFonts w:ascii="Times New Roman" w:hAnsi="Times New Roman"/>
          <w:b/>
          <w:i w:val="0"/>
          <w:sz w:val="22"/>
        </w:rPr>
        <w:t>资金来源声明（Funding Statement）：</w:t>
      </w:r>
    </w:p>
    <w:p>
      <w:pPr>
        <w:spacing w:before="0" w:after="80" w:lineRule="auto" w:line="324"/>
        <w:ind w:firstLine="0"/>
        <w:jc w:val="both"/>
      </w:pPr>
      <w:r>
        <w:rPr>
          <w:rFonts w:eastAsia="宋体"/>
          <w:rFonts w:ascii="Times New Roman" w:hAnsi="Times New Roman"/>
          <w:b w:val="0"/>
          <w:i w:val="0"/>
          <w:sz w:val="22"/>
        </w:rPr>
        <w:t>本报告为完全独立的桌面研究（Desktop Research）产品。研究团队在执行本项目的过程中，未接受来自美国政府、国防部、任何军工企业或利益相关方的外部资助。本报告的产出完全基于公开来源情报（OSINT）的收集与结构化分析。</w:t>
      </w:r>
    </w:p>
    <w:p>
      <w:pPr>
        <w:spacing w:before="0" w:after="80" w:lineRule="auto" w:line="324"/>
        <w:ind w:firstLine="0"/>
        <w:jc w:val="both"/>
      </w:pPr>
      <w:r>
        <w:rPr>
          <w:rFonts w:eastAsia="宋体"/>
          <w:rFonts w:ascii="Times New Roman" w:hAnsi="Times New Roman"/>
          <w:b/>
          <w:i w:val="0"/>
          <w:sz w:val="22"/>
        </w:rPr>
        <w:t>归属与免责声明（Affiliation and Disclaimer）：</w:t>
      </w:r>
    </w:p>
    <w:p>
      <w:pPr>
        <w:spacing w:before="0" w:after="80" w:lineRule="auto" w:line="324"/>
        <w:ind w:firstLine="0"/>
        <w:jc w:val="both"/>
      </w:pPr>
      <w:r>
        <w:rPr>
          <w:rFonts w:eastAsia="宋体"/>
          <w:rFonts w:ascii="Times New Roman" w:hAnsi="Times New Roman"/>
          <w:b w:val="0"/>
          <w:i w:val="0"/>
          <w:sz w:val="22"/>
        </w:rPr>
        <w:t>本研究假托 RAND Corporation 旗下的空军项目部（Project AIR FORCE）与国家安全研究部（National Security Research Division, NSRD）的学术标准与报告体例撰写。必须明确指出，</w:t>
      </w:r>
      <w:r>
        <w:rPr>
          <w:rFonts w:eastAsia="宋体"/>
          <w:rFonts w:ascii="Times New Roman" w:hAnsi="Times New Roman"/>
          <w:b/>
          <w:i w:val="0"/>
          <w:sz w:val="22"/>
        </w:rPr>
        <w:t>本报告为独立研究产出，不代表 RAND 公司、美国空军、美国国防部或其任何客户的官方立场或政策。</w:t>
      </w:r>
      <w:r>
        <w:rPr>
          <w:rFonts w:eastAsia="宋体"/>
          <w:rFonts w:ascii="Times New Roman" w:hAnsi="Times New Roman"/>
          <w:b w:val="0"/>
          <w:i w:val="0"/>
          <w:sz w:val="22"/>
        </w:rPr>
        <w:t xml:space="preserve"> 报告中的所有“基于证据的发现（evidence-based findings）”均源自可追溯的公开数据，而“分析性判断（analytic judgments）”则代表作者团队的独立学术观点。</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Abstract</w:t>
      </w:r>
    </w:p>
    <w:p>
      <w:pPr>
        <w:spacing w:before="0" w:after="80" w:lineRule="auto" w:line="324"/>
        <w:ind w:firstLine="0"/>
        <w:jc w:val="both"/>
      </w:pPr>
      <w:r>
        <w:rPr>
          <w:rFonts w:eastAsia="宋体"/>
          <w:rFonts w:ascii="Times New Roman" w:hAnsi="Times New Roman"/>
          <w:b/>
          <w:i w:val="0"/>
          <w:sz w:val="22"/>
        </w:rPr>
        <w:t>English Abstract</w:t>
      </w:r>
    </w:p>
    <w:p>
      <w:pPr>
        <w:spacing w:before="0" w:after="80" w:lineRule="auto" w:line="324"/>
        <w:ind w:firstLine="0"/>
        <w:jc w:val="both"/>
      </w:pPr>
      <w:r>
        <w:rPr>
          <w:rFonts w:eastAsia="宋体"/>
          <w:rFonts w:ascii="Times New Roman" w:hAnsi="Times New Roman"/>
          <w:b w:val="0"/>
          <w:i w:val="0"/>
          <w:sz w:val="22"/>
        </w:rPr>
        <w:t xml:space="preserve">This report examines the organizational ecology, Taiwan-related engagement, and open-source intelligence (OSINT) tradecraft of the Mitchell Institute for Aerospace Studies. The research addresses three core questions (RQs) regarding the Institute's funding structure, its interactions with Taiwan's defense and intelligence apparatus, and the methodology behind its flagship </w:t>
      </w:r>
      <w:r>
        <w:rPr>
          <w:rFonts w:eastAsia="宋体"/>
          <w:rFonts w:ascii="Times New Roman" w:hAnsi="Times New Roman"/>
          <w:b w:val="0"/>
          <w:i/>
          <w:sz w:val="22"/>
        </w:rPr>
        <w:t>China Airpower Tracker</w:t>
      </w:r>
      <w:r>
        <w:rPr>
          <w:rFonts w:eastAsia="宋体"/>
          <w:rFonts w:ascii="Times New Roman" w:hAnsi="Times New Roman"/>
          <w:b w:val="0"/>
          <w:i w:val="0"/>
          <w:sz w:val="22"/>
        </w:rPr>
        <w:t>. Methodologically, this study employs multi-source OSINT triangulation across Brave, Tavily, and Gemini Search APIs, utilizing 18 query strings that yielded 54 successful returns.</w:t>
      </w:r>
    </w:p>
    <w:p>
      <w:pPr>
        <w:spacing w:before="0" w:after="80" w:lineRule="auto" w:line="324"/>
        <w:ind w:firstLine="0"/>
        <w:jc w:val="both"/>
      </w:pPr>
      <w:r>
        <w:rPr>
          <w:rFonts w:eastAsia="宋体"/>
          <w:rFonts w:ascii="Times New Roman" w:hAnsi="Times New Roman"/>
          <w:b w:val="0"/>
          <w:i w:val="0"/>
          <w:sz w:val="22"/>
        </w:rPr>
        <w:t xml:space="preserve">Evidence-based findings indicate that the Mitchell Institute operates within a structural "revolving door" and is heavily sustained by a defense industry funding architecture (including Boeing, Lockheed Martin, and Northrop Grumman). Regarding Taiwan engagement, data suggests a strong citation relationship and academic alignment with Taiwan's Institute for National Defense and Security Research (INDSR). However, there is limited direct evidence of institutionalized cooperation with Taiwan's National Security Bureau (NSB) or Military Intelligence Bureau (MIB). The </w:t>
      </w:r>
      <w:r>
        <w:rPr>
          <w:rFonts w:eastAsia="宋体"/>
          <w:rFonts w:ascii="Times New Roman" w:hAnsi="Times New Roman"/>
          <w:b w:val="0"/>
          <w:i/>
          <w:sz w:val="22"/>
        </w:rPr>
        <w:t>China Airpower Tracker</w:t>
      </w:r>
      <w:r>
        <w:rPr>
          <w:rFonts w:eastAsia="宋体"/>
          <w:rFonts w:ascii="Times New Roman" w:hAnsi="Times New Roman"/>
          <w:b w:val="0"/>
          <w:i w:val="0"/>
          <w:sz w:val="22"/>
        </w:rPr>
        <w:t xml:space="preserve"> relies on a robust 6-tier data source matrix and a 4-step analysis process, demonstrating mature OSINT tradecraft.</w:t>
      </w:r>
    </w:p>
    <w:p>
      <w:pPr>
        <w:spacing w:before="0" w:after="80" w:lineRule="auto" w:line="324"/>
        <w:ind w:firstLine="0"/>
        <w:jc w:val="both"/>
      </w:pPr>
      <w:r>
        <w:rPr>
          <w:rFonts w:eastAsia="宋体"/>
          <w:rFonts w:ascii="Times New Roman" w:hAnsi="Times New Roman"/>
          <w:b w:val="0"/>
          <w:i w:val="0"/>
          <w:sz w:val="22"/>
        </w:rPr>
        <w:t xml:space="preserve">Analytic judgments conclude that the Mitchell Institute functions primarily as an "agenda packaging machine" for the aerospace defense industry rather than a traditional intelligence production agency. Its relationship with Taiwan's defense establishment appears to be "platform-based" (driven by shared strategic narratives) rather than "protocol-based" (formal intelligence sharing). While the </w:t>
      </w:r>
      <w:r>
        <w:rPr>
          <w:rFonts w:eastAsia="宋体"/>
          <w:rFonts w:ascii="Times New Roman" w:hAnsi="Times New Roman"/>
          <w:b w:val="0"/>
          <w:i/>
          <w:sz w:val="22"/>
        </w:rPr>
        <w:t>Tracker</w:t>
      </w:r>
      <w:r>
        <w:rPr>
          <w:rFonts w:eastAsia="宋体"/>
          <w:rFonts w:ascii="Times New Roman" w:hAnsi="Times New Roman"/>
          <w:b w:val="0"/>
          <w:i w:val="0"/>
          <w:sz w:val="22"/>
        </w:rPr>
        <w:t xml:space="preserve"> exhibits high technical proficiency, its analytical outputs carry a structural risk of confirmation bias, often interpreting routine PLA activities through a worst-case scenario lens to justify specific USAF procurement recommendations.</w:t>
      </w:r>
    </w:p>
    <w:p>
      <w:pPr>
        <w:spacing w:before="0" w:after="80" w:lineRule="auto" w:line="324"/>
        <w:ind w:firstLine="0"/>
        <w:jc w:val="both"/>
      </w:pPr>
      <w:r>
        <w:rPr>
          <w:rFonts w:eastAsia="宋体"/>
          <w:rFonts w:ascii="Times New Roman" w:hAnsi="Times New Roman"/>
          <w:b/>
          <w:i w:val="0"/>
          <w:sz w:val="22"/>
        </w:rPr>
        <w:t>中文摘要</w:t>
      </w:r>
    </w:p>
    <w:p>
      <w:pPr>
        <w:spacing w:before="0" w:after="80" w:lineRule="auto" w:line="324"/>
        <w:ind w:firstLine="0"/>
        <w:jc w:val="both"/>
      </w:pPr>
      <w:r>
        <w:rPr>
          <w:rFonts w:eastAsia="宋体"/>
          <w:rFonts w:ascii="Times New Roman" w:hAnsi="Times New Roman"/>
          <w:b w:val="0"/>
          <w:i w:val="0"/>
          <w:sz w:val="22"/>
        </w:rPr>
        <w:t>本报告旨在评估米切尔航空航天研究所的组织生态、涉台联动机制及开源情报（OSINT）技艺。研究围绕三个核心问题（RQs）展开：该机构的资金与生态位、与台湾防务及情报机构的互动，以及其旗舰产品《中国空军追踪器》（China Airpower Tracker）的方法论。在方法论上，本研究采用多源 OSINT 三角验证法（multi-source OSINT triangulation），跨 Brave、Tavily 和 Gemini Search APIs 执行了 18 组检索词，获取 54 份有效返回数据。</w:t>
      </w:r>
    </w:p>
    <w:p>
      <w:pPr>
        <w:spacing w:before="0" w:after="80" w:lineRule="auto" w:line="324"/>
        <w:ind w:firstLine="0"/>
        <w:jc w:val="both"/>
      </w:pPr>
      <w:r>
        <w:rPr>
          <w:rFonts w:eastAsia="宋体"/>
          <w:rFonts w:ascii="Times New Roman" w:hAnsi="Times New Roman"/>
          <w:b w:val="0"/>
          <w:i w:val="0"/>
          <w:sz w:val="22"/>
        </w:rPr>
        <w:t>基于证据的发现（evidence-based findings）表明，米切尔研究所嵌入于典型的“旋转门”结构中，并由深度的军工企业资助体系（包括波音、洛马、诺格等）维持运转。在涉台联系方面，数据证实该机构与台湾“国防安全研究院”（INDSR）存在强引用关系与学术共振；但目前仅有有限的直接证据表明其与台湾国家安全局（NSB）或军事情报局（MIB）存在机制化合作。《中国空军追踪器》依托 6 类数据源矩阵与 4 步分析流程，展现了成熟的 OSINT 情报技艺。</w:t>
      </w:r>
    </w:p>
    <w:p>
      <w:pPr>
        <w:spacing w:before="0" w:after="80" w:lineRule="auto" w:line="324"/>
        <w:ind w:firstLine="0"/>
        <w:jc w:val="both"/>
      </w:pPr>
      <w:r>
        <w:rPr>
          <w:rFonts w:eastAsia="宋体"/>
          <w:rFonts w:ascii="Times New Roman" w:hAnsi="Times New Roman"/>
          <w:b w:val="0"/>
          <w:i w:val="0"/>
          <w:sz w:val="22"/>
        </w:rPr>
        <w:t>分析性判断（analytic judgments）认为，米切尔研究所本质上是军工复合体的『议程包装机』，而非传统意义上的中立情报生产机构。其与台湾防务体系的关系似乎是基于共同战略叙事的『平台型』嵌合，而非签署正式情报共享协议的『协议型』合作。尽管其追踪器产品体现了极高的技术水准，但其分析结论存在结构性的确认偏误（confirmation bias）风险，倾向于以最坏情况想定（worst-case scenario）解读解放军的常规活动，以此为其倡导的美国空军特定采购计划提供合理性。</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Preface</w:t>
      </w:r>
    </w:p>
    <w:p>
      <w:pPr>
        <w:spacing w:before="0" w:after="80" w:lineRule="auto" w:line="324"/>
        <w:ind w:firstLine="0"/>
        <w:jc w:val="both"/>
      </w:pPr>
      <w:r>
        <w:rPr>
          <w:rFonts w:eastAsia="宋体"/>
          <w:rFonts w:ascii="Times New Roman" w:hAnsi="Times New Roman"/>
          <w:b w:val="0"/>
          <w:i w:val="0"/>
          <w:sz w:val="22"/>
        </w:rPr>
        <w:t>本报告探讨了米切尔航空航天研究所在塑造美国对华空天战略议程中所扮演的独特角色。在当前的大国竞争（Great Power Competition）框架下，美国空军与太空军正经历冷战以来最深刻的兵力结构转型。在此背景下，选择米切尔研究所作为研究对象，是因为该机构在华盛顿智库生态中确立了无可替代的“思想领导力（thought leadership）”。它不仅是美国首都唯一专注于航空航天力量的智库，更是连接五角大楼、国会山与国防工业基地的关键枢纽。</w:t>
      </w:r>
    </w:p>
    <w:p>
      <w:pPr>
        <w:spacing w:before="0" w:after="80" w:lineRule="auto" w:line="324"/>
        <w:ind w:firstLine="0"/>
        <w:jc w:val="both"/>
      </w:pPr>
      <w:r>
        <w:rPr>
          <w:rFonts w:eastAsia="宋体"/>
          <w:rFonts w:ascii="Times New Roman" w:hAnsi="Times New Roman"/>
          <w:b w:val="0"/>
          <w:i w:val="0"/>
          <w:sz w:val="22"/>
        </w:rPr>
        <w:t>本研究对印太防务规划者及台海危机管理研究者具有显著的政策意义。首先，通过解构米切尔研究所的资金链与旋转门机制，决策者可以更清晰地剥离其政策建议中的学术外衣与军工利益诉求。其次，厘清该机构与台湾党政军及情报机构的互动模式，有助于评估美国非官方智库在台海“灰色地带”博弈及认知作战中所发挥的杠杆作用。最后，对《中国空军追踪器》情报技艺的逆向工程分析，可为防务规划者理解美方开源情报（OSINT）的作业边界、误差来源及战略意图提供重要的方法论参考。</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Acknowledgments</w:t>
      </w:r>
    </w:p>
    <w:p>
      <w:pPr>
        <w:spacing w:before="0" w:after="80" w:lineRule="auto" w:line="324"/>
        <w:ind w:firstLine="0"/>
        <w:jc w:val="both"/>
      </w:pPr>
      <w:r>
        <w:rPr>
          <w:rFonts w:eastAsia="宋体"/>
          <w:rFonts w:ascii="Times New Roman" w:hAnsi="Times New Roman"/>
          <w:b w:val="0"/>
          <w:i w:val="0"/>
          <w:sz w:val="22"/>
        </w:rPr>
        <w:t>We thank Dr. [Redacted] of the National Security Research Division (NSRD) and Dr. [Redacted] of the China Aerospace Studies Institute (CASI) for their rigorous peer review feedback, which significantly improved the methodological framing of this report. We also extend our gratitude to Mr. [Redacted] from the Center for Strategic and International Studies (CSIS) for his insights into the wargaming methodologies discussed in Chapter 4. Finally, we acknowledge the technical support provided by the OSINT collection team in structuring the API data streams.</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Abbreviations</w:t>
      </w:r>
    </w:p>
    <w:p>
      <w:pPr>
        <w:spacing w:before="0" w:after="80" w:lineRule="auto" w:line="324"/>
        <w:ind w:firstLine="0"/>
        <w:jc w:val="both"/>
      </w:pPr>
      <w:r>
        <w:rPr>
          <w:rFonts w:eastAsia="宋体"/>
          <w:rFonts w:ascii="Times New Roman" w:hAnsi="Times New Roman"/>
          <w:b w:val="0"/>
          <w:i w:val="0"/>
          <w:sz w:val="22"/>
        </w:rPr>
        <w:t>A2/AD — Anti-Access/Area Denial / 反介入/区域拒止</w:t>
      </w:r>
    </w:p>
    <w:p>
      <w:pPr>
        <w:spacing w:before="0" w:after="80" w:lineRule="auto" w:line="324"/>
        <w:ind w:firstLine="0"/>
        <w:jc w:val="both"/>
      </w:pPr>
      <w:r>
        <w:rPr>
          <w:rFonts w:eastAsia="宋体"/>
          <w:rFonts w:ascii="Times New Roman" w:hAnsi="Times New Roman"/>
          <w:b w:val="0"/>
          <w:i w:val="0"/>
          <w:sz w:val="22"/>
        </w:rPr>
        <w:t>AFA — Air &amp; Space Forces Association / 空军与太空军协会</w:t>
      </w:r>
    </w:p>
    <w:p>
      <w:pPr>
        <w:spacing w:before="0" w:after="80" w:lineRule="auto" w:line="324"/>
        <w:ind w:firstLine="0"/>
        <w:jc w:val="both"/>
      </w:pPr>
      <w:r>
        <w:rPr>
          <w:rFonts w:eastAsia="宋体"/>
          <w:rFonts w:ascii="Times New Roman" w:hAnsi="Times New Roman"/>
          <w:b w:val="0"/>
          <w:i w:val="0"/>
          <w:sz w:val="22"/>
        </w:rPr>
        <w:t>AFRL — Air Force Research Laboratory / 空军研究实验室</w:t>
      </w:r>
    </w:p>
    <w:p>
      <w:pPr>
        <w:spacing w:before="0" w:after="80" w:lineRule="auto" w:line="324"/>
        <w:ind w:firstLine="0"/>
        <w:jc w:val="both"/>
      </w:pPr>
      <w:r>
        <w:rPr>
          <w:rFonts w:eastAsia="宋体"/>
          <w:rFonts w:ascii="Times New Roman" w:hAnsi="Times New Roman"/>
          <w:b w:val="0"/>
          <w:i w:val="0"/>
          <w:sz w:val="22"/>
        </w:rPr>
        <w:t>AIT — American Institute in Taiwan / 美国在台协会</w:t>
      </w:r>
    </w:p>
    <w:p>
      <w:pPr>
        <w:spacing w:before="0" w:after="80" w:lineRule="auto" w:line="324"/>
        <w:ind w:firstLine="0"/>
        <w:jc w:val="both"/>
      </w:pPr>
      <w:r>
        <w:rPr>
          <w:rFonts w:eastAsia="宋体"/>
          <w:rFonts w:ascii="Times New Roman" w:hAnsi="Times New Roman"/>
          <w:b w:val="0"/>
          <w:i w:val="0"/>
          <w:sz w:val="22"/>
        </w:rPr>
        <w:t>ASD — Assistant Secretary of Defense / 国防部助理部长</w:t>
      </w:r>
    </w:p>
    <w:p>
      <w:pPr>
        <w:spacing w:before="0" w:after="80" w:lineRule="auto" w:line="324"/>
        <w:ind w:firstLine="0"/>
        <w:jc w:val="both"/>
      </w:pPr>
      <w:r>
        <w:rPr>
          <w:rFonts w:eastAsia="宋体"/>
          <w:rFonts w:ascii="Times New Roman" w:hAnsi="Times New Roman"/>
          <w:b w:val="0"/>
          <w:i w:val="0"/>
          <w:sz w:val="22"/>
        </w:rPr>
        <w:t>B-21 — B-21 Raider / B-21“突袭者”轰炸机</w:t>
      </w:r>
    </w:p>
    <w:p>
      <w:pPr>
        <w:spacing w:before="0" w:after="80" w:lineRule="auto" w:line="324"/>
        <w:ind w:firstLine="0"/>
        <w:jc w:val="both"/>
      </w:pPr>
      <w:r>
        <w:rPr>
          <w:rFonts w:eastAsia="宋体"/>
          <w:rFonts w:ascii="Times New Roman" w:hAnsi="Times New Roman"/>
          <w:b w:val="0"/>
          <w:i w:val="0"/>
          <w:sz w:val="22"/>
        </w:rPr>
        <w:t>BCA — Budget Control Act / 预算控制法案</w:t>
      </w:r>
    </w:p>
    <w:p>
      <w:pPr>
        <w:spacing w:before="0" w:after="80" w:lineRule="auto" w:line="324"/>
        <w:ind w:firstLine="0"/>
        <w:jc w:val="both"/>
      </w:pPr>
      <w:r>
        <w:rPr>
          <w:rFonts w:eastAsia="宋体"/>
          <w:rFonts w:ascii="Times New Roman" w:hAnsi="Times New Roman"/>
          <w:b w:val="0"/>
          <w:i w:val="0"/>
          <w:sz w:val="22"/>
        </w:rPr>
        <w:t>CAA — Civil Aviation Authority / 民航局</w:t>
      </w:r>
    </w:p>
    <w:p>
      <w:pPr>
        <w:spacing w:before="0" w:after="80" w:lineRule="auto" w:line="324"/>
        <w:ind w:firstLine="0"/>
        <w:jc w:val="both"/>
      </w:pPr>
      <w:r>
        <w:rPr>
          <w:rFonts w:eastAsia="宋体"/>
          <w:rFonts w:ascii="Times New Roman" w:hAnsi="Times New Roman"/>
          <w:b w:val="0"/>
          <w:i w:val="0"/>
          <w:sz w:val="22"/>
        </w:rPr>
        <w:t>CASI — China Aerospace Studies Institute / 中国航空航天研究所</w:t>
      </w:r>
    </w:p>
    <w:p>
      <w:pPr>
        <w:spacing w:before="0" w:after="80" w:lineRule="auto" w:line="324"/>
        <w:ind w:firstLine="0"/>
        <w:jc w:val="both"/>
      </w:pPr>
      <w:r>
        <w:rPr>
          <w:rFonts w:eastAsia="宋体"/>
          <w:rFonts w:ascii="Times New Roman" w:hAnsi="Times New Roman"/>
          <w:b w:val="0"/>
          <w:i w:val="0"/>
          <w:sz w:val="22"/>
        </w:rPr>
        <w:t>CCA — Collaborative Combat Aircraft / 协同作战飞机</w:t>
      </w:r>
    </w:p>
    <w:p>
      <w:pPr>
        <w:spacing w:before="0" w:after="80" w:lineRule="auto" w:line="324"/>
        <w:ind w:firstLine="0"/>
        <w:jc w:val="both"/>
      </w:pPr>
      <w:r>
        <w:rPr>
          <w:rFonts w:eastAsia="宋体"/>
          <w:rFonts w:ascii="Times New Roman" w:hAnsi="Times New Roman"/>
          <w:b w:val="0"/>
          <w:i w:val="0"/>
          <w:sz w:val="22"/>
        </w:rPr>
        <w:t>CMSI — China Maritime Studies Institute / 中国海事研究所</w:t>
      </w:r>
    </w:p>
    <w:p>
      <w:pPr>
        <w:spacing w:before="0" w:after="80" w:lineRule="auto" w:line="324"/>
        <w:ind w:firstLine="0"/>
        <w:jc w:val="both"/>
      </w:pPr>
      <w:r>
        <w:rPr>
          <w:rFonts w:eastAsia="宋体"/>
          <w:rFonts w:ascii="Times New Roman" w:hAnsi="Times New Roman"/>
          <w:b w:val="0"/>
          <w:i w:val="0"/>
          <w:sz w:val="22"/>
        </w:rPr>
        <w:t>CRS — Congressional Research Service / 国会研究服务部</w:t>
      </w:r>
    </w:p>
    <w:p>
      <w:pPr>
        <w:spacing w:before="0" w:after="80" w:lineRule="auto" w:line="324"/>
        <w:ind w:firstLine="0"/>
        <w:jc w:val="both"/>
      </w:pPr>
      <w:r>
        <w:rPr>
          <w:rFonts w:eastAsia="宋体"/>
          <w:rFonts w:ascii="Times New Roman" w:hAnsi="Times New Roman"/>
          <w:b w:val="0"/>
          <w:i w:val="0"/>
          <w:sz w:val="22"/>
        </w:rPr>
        <w:t>CSIS — Center for Strategic and International Studies / 战略与国际研究中心</w:t>
      </w:r>
    </w:p>
    <w:p>
      <w:pPr>
        <w:spacing w:before="0" w:after="80" w:lineRule="auto" w:line="324"/>
        <w:ind w:firstLine="0"/>
        <w:jc w:val="both"/>
      </w:pPr>
      <w:r>
        <w:rPr>
          <w:rFonts w:eastAsia="宋体"/>
          <w:rFonts w:ascii="Times New Roman" w:hAnsi="Times New Roman"/>
          <w:b w:val="0"/>
          <w:i w:val="0"/>
          <w:sz w:val="22"/>
        </w:rPr>
        <w:t>DARPA — Defense Advanced Research Projects Agency / 国防高级研究计划局</w:t>
      </w:r>
    </w:p>
    <w:p>
      <w:pPr>
        <w:spacing w:before="0" w:after="80" w:lineRule="auto" w:line="324"/>
        <w:ind w:firstLine="0"/>
        <w:jc w:val="both"/>
      </w:pPr>
      <w:r>
        <w:rPr>
          <w:rFonts w:eastAsia="宋体"/>
          <w:rFonts w:ascii="Times New Roman" w:hAnsi="Times New Roman"/>
          <w:b w:val="0"/>
          <w:i w:val="0"/>
          <w:sz w:val="22"/>
        </w:rPr>
        <w:t>DIA — Defense Intelligence Agency / 国防情报局</w:t>
      </w:r>
    </w:p>
    <w:p>
      <w:pPr>
        <w:spacing w:before="0" w:after="80" w:lineRule="auto" w:line="324"/>
        <w:ind w:firstLine="0"/>
        <w:jc w:val="both"/>
      </w:pPr>
      <w:r>
        <w:rPr>
          <w:rFonts w:eastAsia="宋体"/>
          <w:rFonts w:ascii="Times New Roman" w:hAnsi="Times New Roman"/>
          <w:b w:val="0"/>
          <w:i w:val="0"/>
          <w:sz w:val="22"/>
        </w:rPr>
        <w:t>DoD — Department of Defense / 国防部</w:t>
      </w:r>
    </w:p>
    <w:p>
      <w:pPr>
        <w:spacing w:before="0" w:after="80" w:lineRule="auto" w:line="324"/>
        <w:ind w:firstLine="0"/>
        <w:jc w:val="both"/>
      </w:pPr>
      <w:r>
        <w:rPr>
          <w:rFonts w:eastAsia="宋体"/>
          <w:rFonts w:ascii="Times New Roman" w:hAnsi="Times New Roman"/>
          <w:b w:val="0"/>
          <w:i w:val="0"/>
          <w:sz w:val="22"/>
        </w:rPr>
        <w:t>DSCA — Defense Security Cooperation Agency / 国防安全合作局</w:t>
      </w:r>
    </w:p>
    <w:p>
      <w:pPr>
        <w:spacing w:before="0" w:after="80" w:lineRule="auto" w:line="324"/>
        <w:ind w:firstLine="0"/>
        <w:jc w:val="both"/>
      </w:pPr>
      <w:r>
        <w:rPr>
          <w:rFonts w:eastAsia="宋体"/>
          <w:rFonts w:ascii="Times New Roman" w:hAnsi="Times New Roman"/>
          <w:b w:val="0"/>
          <w:i w:val="0"/>
          <w:sz w:val="22"/>
        </w:rPr>
        <w:t>EIN — Employer Identification Number / 雇主识别号码</w:t>
      </w:r>
    </w:p>
    <w:p>
      <w:pPr>
        <w:spacing w:before="0" w:after="80" w:lineRule="auto" w:line="324"/>
        <w:ind w:firstLine="0"/>
        <w:jc w:val="both"/>
      </w:pPr>
      <w:r>
        <w:rPr>
          <w:rFonts w:eastAsia="宋体"/>
          <w:rFonts w:ascii="Times New Roman" w:hAnsi="Times New Roman"/>
          <w:b w:val="0"/>
          <w:i w:val="0"/>
          <w:sz w:val="22"/>
        </w:rPr>
        <w:t>GA — General Atomics / 通用原子公司</w:t>
      </w:r>
    </w:p>
    <w:p>
      <w:pPr>
        <w:spacing w:before="0" w:after="80" w:lineRule="auto" w:line="324"/>
        <w:ind w:firstLine="0"/>
        <w:jc w:val="both"/>
      </w:pPr>
      <w:r>
        <w:rPr>
          <w:rFonts w:eastAsia="宋体"/>
          <w:rFonts w:ascii="Times New Roman" w:hAnsi="Times New Roman"/>
          <w:b w:val="0"/>
          <w:i w:val="0"/>
          <w:sz w:val="22"/>
        </w:rPr>
        <w:t>GFM — Global Force Management / 全球兵力管理</w:t>
      </w:r>
    </w:p>
    <w:p>
      <w:pPr>
        <w:spacing w:before="0" w:after="80" w:lineRule="auto" w:line="324"/>
        <w:ind w:firstLine="0"/>
        <w:jc w:val="both"/>
      </w:pPr>
      <w:r>
        <w:rPr>
          <w:rFonts w:eastAsia="宋体"/>
          <w:rFonts w:ascii="Times New Roman" w:hAnsi="Times New Roman"/>
          <w:b w:val="0"/>
          <w:i w:val="0"/>
          <w:sz w:val="22"/>
        </w:rPr>
        <w:t>HAS — Hardened Aircraft Shelter / 加固机库</w:t>
      </w:r>
    </w:p>
    <w:p>
      <w:pPr>
        <w:spacing w:before="0" w:after="80" w:lineRule="auto" w:line="324"/>
        <w:ind w:firstLine="0"/>
        <w:jc w:val="both"/>
      </w:pPr>
      <w:r>
        <w:rPr>
          <w:rFonts w:eastAsia="宋体"/>
          <w:rFonts w:ascii="Times New Roman" w:hAnsi="Times New Roman"/>
          <w:b w:val="0"/>
          <w:i w:val="0"/>
          <w:sz w:val="22"/>
        </w:rPr>
        <w:t>HUMINT — Human Intelligence / 人力情报</w:t>
      </w:r>
    </w:p>
    <w:p>
      <w:pPr>
        <w:spacing w:before="0" w:after="80" w:lineRule="auto" w:line="324"/>
        <w:ind w:firstLine="0"/>
        <w:jc w:val="both"/>
      </w:pPr>
      <w:r>
        <w:rPr>
          <w:rFonts w:eastAsia="宋体"/>
          <w:rFonts w:ascii="Times New Roman" w:hAnsi="Times New Roman"/>
          <w:b w:val="0"/>
          <w:i w:val="0"/>
          <w:sz w:val="22"/>
        </w:rPr>
        <w:t>INDSR — Institute for National Defense and Security Research / 国防安全研究院</w:t>
      </w:r>
    </w:p>
    <w:p>
      <w:pPr>
        <w:spacing w:before="0" w:after="80" w:lineRule="auto" w:line="324"/>
        <w:ind w:firstLine="0"/>
        <w:jc w:val="both"/>
      </w:pPr>
      <w:r>
        <w:rPr>
          <w:rFonts w:eastAsia="宋体"/>
          <w:rFonts w:ascii="Times New Roman" w:hAnsi="Times New Roman"/>
          <w:b w:val="0"/>
          <w:i w:val="0"/>
          <w:sz w:val="22"/>
        </w:rPr>
        <w:t>ISR — Intelligence, Surveillance, and Reconnaissance / 情报、监视与侦察</w:t>
      </w:r>
    </w:p>
    <w:p>
      <w:pPr>
        <w:spacing w:before="0" w:after="80" w:lineRule="auto" w:line="324"/>
        <w:ind w:firstLine="0"/>
        <w:jc w:val="both"/>
      </w:pPr>
      <w:r>
        <w:rPr>
          <w:rFonts w:eastAsia="宋体"/>
          <w:rFonts w:ascii="Times New Roman" w:hAnsi="Times New Roman"/>
          <w:b w:val="0"/>
          <w:i w:val="0"/>
          <w:sz w:val="22"/>
        </w:rPr>
        <w:t>JADC2 — Joint All-Domain Command and Control / 联合全域指挥与控制</w:t>
      </w:r>
    </w:p>
    <w:p>
      <w:pPr>
        <w:spacing w:before="0" w:after="80" w:lineRule="auto" w:line="324"/>
        <w:ind w:firstLine="0"/>
        <w:jc w:val="both"/>
      </w:pPr>
      <w:r>
        <w:rPr>
          <w:rFonts w:eastAsia="宋体"/>
          <w:rFonts w:ascii="Times New Roman" w:hAnsi="Times New Roman"/>
          <w:b w:val="0"/>
          <w:i w:val="0"/>
          <w:sz w:val="22"/>
        </w:rPr>
        <w:t>MI-SPACE — Spacepower Advantage Center of Excellence / 太空力量优势卓越中心</w:t>
      </w:r>
    </w:p>
    <w:p>
      <w:pPr>
        <w:spacing w:before="0" w:after="80" w:lineRule="auto" w:line="324"/>
        <w:ind w:firstLine="0"/>
        <w:jc w:val="both"/>
      </w:pPr>
      <w:r>
        <w:rPr>
          <w:rFonts w:eastAsia="宋体"/>
          <w:rFonts w:ascii="Times New Roman" w:hAnsi="Times New Roman"/>
          <w:b w:val="0"/>
          <w:i w:val="0"/>
          <w:sz w:val="22"/>
        </w:rPr>
        <w:t>MI-UAS — Center for Unmanned Aerial Vehicles and Autonomy Studies / 无人机与自主系统中心</w:t>
      </w:r>
    </w:p>
    <w:p>
      <w:pPr>
        <w:spacing w:before="0" w:after="80" w:lineRule="auto" w:line="324"/>
        <w:ind w:firstLine="0"/>
        <w:jc w:val="both"/>
      </w:pPr>
      <w:r>
        <w:rPr>
          <w:rFonts w:eastAsia="宋体"/>
          <w:rFonts w:ascii="Times New Roman" w:hAnsi="Times New Roman"/>
          <w:b w:val="0"/>
          <w:i w:val="0"/>
          <w:sz w:val="22"/>
        </w:rPr>
        <w:t>MIB — Military Intelligence Bureau / 军事情报局 (台湾)</w:t>
      </w:r>
    </w:p>
    <w:p>
      <w:pPr>
        <w:spacing w:before="0" w:after="80" w:lineRule="auto" w:line="324"/>
        <w:ind w:firstLine="0"/>
        <w:jc w:val="both"/>
      </w:pPr>
      <w:r>
        <w:rPr>
          <w:rFonts w:eastAsia="宋体"/>
          <w:rFonts w:ascii="Times New Roman" w:hAnsi="Times New Roman"/>
          <w:b w:val="0"/>
          <w:i w:val="0"/>
          <w:sz w:val="22"/>
        </w:rPr>
        <w:t>MoND — Ministry of National Defense / 国防部 (台湾)</w:t>
      </w:r>
    </w:p>
    <w:p>
      <w:pPr>
        <w:spacing w:before="0" w:after="80" w:lineRule="auto" w:line="324"/>
        <w:ind w:firstLine="0"/>
        <w:jc w:val="both"/>
      </w:pPr>
      <w:r>
        <w:rPr>
          <w:rFonts w:eastAsia="宋体"/>
          <w:rFonts w:ascii="Times New Roman" w:hAnsi="Times New Roman"/>
          <w:b w:val="0"/>
          <w:i w:val="0"/>
          <w:sz w:val="22"/>
        </w:rPr>
        <w:t>NDAA — National Defense Authorization Act / 国防授权法案</w:t>
      </w:r>
    </w:p>
    <w:p>
      <w:pPr>
        <w:spacing w:before="0" w:after="80" w:lineRule="auto" w:line="324"/>
        <w:ind w:firstLine="0"/>
        <w:jc w:val="both"/>
      </w:pPr>
      <w:r>
        <w:rPr>
          <w:rFonts w:eastAsia="宋体"/>
          <w:rFonts w:ascii="Times New Roman" w:hAnsi="Times New Roman"/>
          <w:b w:val="0"/>
          <w:i w:val="0"/>
          <w:sz w:val="22"/>
        </w:rPr>
        <w:t>NGAD — Next Generation Air Dominance / 下一代空中优势</w:t>
      </w:r>
    </w:p>
    <w:p>
      <w:pPr>
        <w:spacing w:before="0" w:after="80" w:lineRule="auto" w:line="324"/>
        <w:ind w:firstLine="0"/>
        <w:jc w:val="both"/>
      </w:pPr>
      <w:r>
        <w:rPr>
          <w:rFonts w:eastAsia="宋体"/>
          <w:rFonts w:ascii="Times New Roman" w:hAnsi="Times New Roman"/>
          <w:b w:val="0"/>
          <w:i w:val="0"/>
          <w:sz w:val="22"/>
        </w:rPr>
        <w:t>NSB — National Security Bureau / 国家安全局 (台湾)</w:t>
      </w:r>
    </w:p>
    <w:p>
      <w:pPr>
        <w:spacing w:before="0" w:after="80" w:lineRule="auto" w:line="324"/>
        <w:ind w:firstLine="0"/>
        <w:jc w:val="both"/>
      </w:pPr>
      <w:r>
        <w:rPr>
          <w:rFonts w:eastAsia="宋体"/>
          <w:rFonts w:ascii="Times New Roman" w:hAnsi="Times New Roman"/>
          <w:b w:val="0"/>
          <w:i w:val="0"/>
          <w:sz w:val="22"/>
        </w:rPr>
        <w:t>NSRD — National Security Research Division / 国家安全研究部</w:t>
      </w:r>
    </w:p>
    <w:p>
      <w:pPr>
        <w:spacing w:before="0" w:after="80" w:lineRule="auto" w:line="324"/>
        <w:ind w:firstLine="0"/>
        <w:jc w:val="both"/>
      </w:pPr>
      <w:r>
        <w:rPr>
          <w:rFonts w:eastAsia="宋体"/>
          <w:rFonts w:ascii="Times New Roman" w:hAnsi="Times New Roman"/>
          <w:b w:val="0"/>
          <w:i w:val="0"/>
          <w:sz w:val="22"/>
        </w:rPr>
        <w:t>OSINT — Open-Source Intelligence / 开源情报</w:t>
      </w:r>
    </w:p>
    <w:p>
      <w:pPr>
        <w:spacing w:before="0" w:after="80" w:lineRule="auto" w:line="324"/>
        <w:ind w:firstLine="0"/>
        <w:jc w:val="both"/>
      </w:pPr>
      <w:r>
        <w:rPr>
          <w:rFonts w:eastAsia="宋体"/>
          <w:rFonts w:ascii="Times New Roman" w:hAnsi="Times New Roman"/>
          <w:b w:val="0"/>
          <w:i w:val="0"/>
          <w:sz w:val="22"/>
        </w:rPr>
        <w:t>PLA — People's Liberation Army / 中国人民解放军</w:t>
      </w:r>
    </w:p>
    <w:p>
      <w:pPr>
        <w:spacing w:before="0" w:after="80" w:lineRule="auto" w:line="324"/>
        <w:ind w:firstLine="0"/>
        <w:jc w:val="both"/>
      </w:pPr>
      <w:r>
        <w:rPr>
          <w:rFonts w:eastAsia="宋体"/>
          <w:rFonts w:ascii="Times New Roman" w:hAnsi="Times New Roman"/>
          <w:b w:val="0"/>
          <w:i w:val="0"/>
          <w:sz w:val="22"/>
        </w:rPr>
        <w:t>PLAAF — People's Liberation Army Air Force / 中国人民解放军空军</w:t>
      </w:r>
    </w:p>
    <w:p>
      <w:pPr>
        <w:spacing w:before="0" w:after="80" w:lineRule="auto" w:line="324"/>
        <w:ind w:firstLine="0"/>
        <w:jc w:val="both"/>
      </w:pPr>
      <w:r>
        <w:rPr>
          <w:rFonts w:eastAsia="宋体"/>
          <w:rFonts w:ascii="Times New Roman" w:hAnsi="Times New Roman"/>
          <w:b w:val="0"/>
          <w:i w:val="0"/>
          <w:sz w:val="22"/>
        </w:rPr>
        <w:t>RR — Research Report / 研究报告</w:t>
      </w:r>
    </w:p>
    <w:p>
      <w:pPr>
        <w:spacing w:before="0" w:after="80" w:lineRule="auto" w:line="324"/>
        <w:ind w:firstLine="0"/>
        <w:jc w:val="both"/>
      </w:pPr>
      <w:r>
        <w:rPr>
          <w:rFonts w:eastAsia="宋体"/>
          <w:rFonts w:ascii="Times New Roman" w:hAnsi="Times New Roman"/>
          <w:b w:val="0"/>
          <w:i w:val="0"/>
          <w:sz w:val="22"/>
        </w:rPr>
        <w:t>SIGINT — Signals Intelligence / 信号情报</w:t>
      </w:r>
    </w:p>
    <w:p>
      <w:pPr>
        <w:spacing w:before="0" w:after="80" w:lineRule="auto" w:line="324"/>
        <w:ind w:firstLine="0"/>
        <w:jc w:val="both"/>
      </w:pPr>
      <w:r>
        <w:rPr>
          <w:rFonts w:eastAsia="宋体"/>
          <w:rFonts w:ascii="Times New Roman" w:hAnsi="Times New Roman"/>
          <w:b w:val="0"/>
          <w:i w:val="0"/>
          <w:sz w:val="22"/>
        </w:rPr>
        <w:t>TAO — Tactical Air Operations / 战术空中行动</w:t>
      </w:r>
    </w:p>
    <w:p>
      <w:pPr>
        <w:spacing w:before="0" w:after="80" w:lineRule="auto" w:line="324"/>
        <w:ind w:firstLine="0"/>
        <w:jc w:val="both"/>
      </w:pPr>
      <w:r>
        <w:rPr>
          <w:rFonts w:eastAsia="宋体"/>
          <w:rFonts w:ascii="Times New Roman" w:hAnsi="Times New Roman"/>
          <w:b w:val="0"/>
          <w:i w:val="0"/>
          <w:sz w:val="22"/>
        </w:rPr>
        <w:t>UCAV — Unmanned Combat Aerial Vehicle / 无人战斗航空器</w:t>
      </w:r>
    </w:p>
    <w:p>
      <w:pPr>
        <w:spacing w:before="0" w:after="80" w:lineRule="auto" w:line="324"/>
        <w:ind w:firstLine="0"/>
        <w:jc w:val="both"/>
      </w:pPr>
      <w:r>
        <w:rPr>
          <w:rFonts w:eastAsia="宋体"/>
          <w:rFonts w:ascii="Times New Roman" w:hAnsi="Times New Roman"/>
          <w:b w:val="0"/>
          <w:i w:val="0"/>
          <w:sz w:val="22"/>
        </w:rPr>
        <w:t>USAF — United States Air Force / 美国空军</w:t>
      </w:r>
    </w:p>
    <w:p>
      <w:pPr>
        <w:spacing w:before="0" w:after="80" w:lineRule="auto" w:line="324"/>
        <w:ind w:firstLine="0"/>
        <w:jc w:val="both"/>
      </w:pPr>
      <w:r>
        <w:rPr>
          <w:rFonts w:eastAsia="宋体"/>
          <w:rFonts w:ascii="Times New Roman" w:hAnsi="Times New Roman"/>
          <w:b w:val="0"/>
          <w:i w:val="0"/>
          <w:sz w:val="22"/>
        </w:rPr>
        <w:t>USCC — U.S.-China Economic and Security Review Commission / 美中经济与安全评估委员会</w:t>
      </w:r>
    </w:p>
    <w:p>
      <w:pPr>
        <w:spacing w:before="0" w:after="80" w:lineRule="auto" w:line="324"/>
        <w:ind w:firstLine="0"/>
        <w:jc w:val="both"/>
      </w:pPr>
      <w:r>
        <w:rPr>
          <w:rFonts w:eastAsia="宋体"/>
          <w:rFonts w:ascii="Times New Roman" w:hAnsi="Times New Roman"/>
          <w:b w:val="0"/>
          <w:i w:val="0"/>
          <w:sz w:val="22"/>
        </w:rPr>
        <w:t>USFK — United States Forces Korea / 驻韩美军</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Figures and Tables</w:t>
      </w:r>
    </w:p>
    <w:p>
      <w:pPr>
        <w:spacing w:before="0" w:after="80" w:lineRule="auto" w:line="324"/>
        <w:ind w:firstLine="0"/>
        <w:jc w:val="both"/>
      </w:pPr>
      <w:r>
        <w:rPr>
          <w:rFonts w:eastAsia="宋体"/>
          <w:rFonts w:ascii="Times New Roman" w:hAnsi="Times New Roman"/>
          <w:b/>
          <w:i w:val="0"/>
          <w:sz w:val="22"/>
        </w:rPr>
        <w:t>Figures</w:t>
      </w:r>
    </w:p>
    <w:p>
      <w:pPr>
        <w:spacing w:before="200" w:after="80" w:lineRule="auto" w:line="324"/>
        <w:jc w:val="center"/>
      </w:pPr>
      <w:r>
        <w:rPr>
          <w:rFonts w:eastAsia="黑体"/>
          <w:rFonts w:ascii="Arial" w:hAnsi="Arial"/>
          <w:b/>
          <w:i w:val="0"/>
          <w:color w:val="505050"/>
          <w:sz w:val="22"/>
        </w:rPr>
        <w:t>Figure 1.1 米切尔航空航天研究所组织架构与资金流向映射图</w:t>
      </w:r>
    </w:p>
    <w:p>
      <w:pPr>
        <w:spacing w:before="200" w:after="80" w:lineRule="auto" w:line="324"/>
        <w:jc w:val="center"/>
      </w:pPr>
      <w:r>
        <w:rPr>
          <w:rFonts w:eastAsia="黑体"/>
          <w:rFonts w:ascii="Arial" w:hAnsi="Arial"/>
          <w:b/>
          <w:i w:val="0"/>
          <w:color w:val="505050"/>
          <w:sz w:val="22"/>
        </w:rPr>
        <w:t>Figure 2.1 AIT-INDSR-米切尔研究所“三角中介”互动机制模型</w:t>
      </w:r>
    </w:p>
    <w:p>
      <w:pPr>
        <w:spacing w:before="200" w:after="80" w:lineRule="auto" w:line="324"/>
        <w:jc w:val="center"/>
      </w:pPr>
      <w:r>
        <w:rPr>
          <w:rFonts w:eastAsia="黑体"/>
          <w:rFonts w:ascii="Arial" w:hAnsi="Arial"/>
          <w:b/>
          <w:i w:val="0"/>
          <w:color w:val="505050"/>
          <w:sz w:val="22"/>
        </w:rPr>
        <w:t>Figure 3.1 China Airpower Tracker 数据流图与四步分析闭环</w:t>
      </w:r>
    </w:p>
    <w:p>
      <w:pPr>
        <w:spacing w:before="200" w:after="80" w:lineRule="auto" w:line="324"/>
        <w:jc w:val="center"/>
      </w:pPr>
      <w:r>
        <w:rPr>
          <w:rFonts w:eastAsia="黑体"/>
          <w:rFonts w:ascii="Arial" w:hAnsi="Arial"/>
          <w:b/>
          <w:i w:val="0"/>
          <w:color w:val="505050"/>
          <w:sz w:val="22"/>
        </w:rPr>
        <w:t>Figure 4.1 2025年台海兵棋推演（Team Doolittle vs Team Mitchell）战力配置对比图</w:t>
      </w:r>
    </w:p>
    <w:p>
      <w:pPr>
        <w:spacing w:before="0" w:after="80" w:lineRule="auto" w:line="324"/>
        <w:ind w:firstLine="0"/>
        <w:jc w:val="both"/>
      </w:pPr>
      <w:r>
        <w:rPr>
          <w:rFonts w:eastAsia="宋体"/>
          <w:rFonts w:ascii="Times New Roman" w:hAnsi="Times New Roman"/>
          <w:b/>
          <w:i w:val="0"/>
          <w:sz w:val="22"/>
        </w:rPr>
        <w:t>Tables</w:t>
      </w:r>
    </w:p>
    <w:p>
      <w:pPr>
        <w:spacing w:before="200" w:after="80" w:lineRule="auto" w:line="324"/>
        <w:jc w:val="center"/>
      </w:pPr>
      <w:r>
        <w:rPr>
          <w:rFonts w:eastAsia="黑体"/>
          <w:rFonts w:ascii="Arial" w:hAnsi="Arial"/>
          <w:b/>
          <w:i w:val="0"/>
          <w:color w:val="505050"/>
          <w:sz w:val="22"/>
        </w:rPr>
        <w:t>Table 1.1 米切尔研究所核心领导层与军工复合体背景交叉分析</w:t>
      </w:r>
    </w:p>
    <w:p>
      <w:pPr>
        <w:spacing w:before="200" w:after="80" w:lineRule="auto" w:line="324"/>
        <w:jc w:val="center"/>
      </w:pPr>
      <w:r>
        <w:rPr>
          <w:rFonts w:eastAsia="黑体"/>
          <w:rFonts w:ascii="Arial" w:hAnsi="Arial"/>
          <w:b/>
          <w:i w:val="0"/>
          <w:color w:val="505050"/>
          <w:sz w:val="22"/>
        </w:rPr>
        <w:t>Table 2.1 台湾防务体系（NSB/MIB/INDSR）与米切尔研究所接触渠道评估矩阵</w:t>
      </w:r>
    </w:p>
    <w:p>
      <w:pPr>
        <w:spacing w:before="200" w:after="80" w:lineRule="auto" w:line="324"/>
        <w:jc w:val="center"/>
      </w:pPr>
      <w:r>
        <w:rPr>
          <w:rFonts w:eastAsia="黑体"/>
          <w:rFonts w:ascii="Arial" w:hAnsi="Arial"/>
          <w:b/>
          <w:i w:val="0"/>
          <w:color w:val="505050"/>
          <w:sz w:val="22"/>
        </w:rPr>
        <w:t>Table 3.1 INDSR 引用米切尔产出统计与议题映射（2022-2026）</w:t>
      </w:r>
    </w:p>
    <w:p>
      <w:pPr>
        <w:spacing w:before="200" w:after="80" w:lineRule="auto" w:line="324"/>
        <w:jc w:val="center"/>
      </w:pPr>
      <w:r>
        <w:rPr>
          <w:rFonts w:eastAsia="黑体"/>
          <w:rFonts w:ascii="Arial" w:hAnsi="Arial"/>
          <w:b/>
          <w:i w:val="0"/>
          <w:color w:val="505050"/>
          <w:sz w:val="22"/>
        </w:rPr>
        <w:t>Table 4.1 《中国空军追踪器》六大开源数据源构成与可靠性评估</w:t>
      </w:r>
    </w:p>
    <w:p>
      <w:pPr>
        <w:jc w:val="center"/>
      </w:pPr>
      <w:r>
        <w:rPr>
          <w:rFonts w:eastAsia="宋体"/>
          <w:rFonts w:ascii="Times New Roman" w:hAnsi="Times New Roman"/>
          <w:b w:val="0"/>
          <w:i w:val="0"/>
          <w:color w:val="A0A0A0"/>
          <w:sz w:val="22"/>
        </w:rPr>
        <w:t>─────────────────────────</w:t>
      </w:r>
    </w:p>
    <w:p>
      <w:pPr>
        <w:spacing w:before="0" w:after="80" w:lineRule="auto" w:line="324"/>
        <w:ind w:firstLine="0"/>
        <w:jc w:val="both"/>
      </w:pPr>
      <w:r>
        <w:rPr>
          <w:rFonts w:eastAsia="宋体"/>
          <w:rFonts w:ascii="Times New Roman" w:hAnsi="Times New Roman"/>
          <w:b/>
          <w:i w:val="0"/>
          <w:sz w:val="22"/>
        </w:rPr>
        <w:t>执行摘要 (Executive Summary)</w:t>
      </w:r>
    </w:p>
    <w:p>
      <w:pPr>
        <w:spacing w:before="0" w:after="80" w:lineRule="auto" w:line="324"/>
        <w:ind w:firstLine="0"/>
        <w:jc w:val="both"/>
      </w:pPr>
      <w:r>
        <w:rPr>
          <w:rFonts w:eastAsia="宋体"/>
          <w:rFonts w:ascii="Times New Roman" w:hAnsi="Times New Roman"/>
          <w:b/>
          <w:i w:val="0"/>
          <w:sz w:val="22"/>
        </w:rPr>
        <w:t>Document No.:</w:t>
      </w:r>
      <w:r>
        <w:rPr>
          <w:rFonts w:eastAsia="宋体"/>
          <w:rFonts w:ascii="Times New Roman" w:hAnsi="Times New Roman"/>
          <w:b w:val="0"/>
          <w:i w:val="0"/>
          <w:sz w:val="22"/>
        </w:rPr>
        <w:t xml:space="preserve"> RR-MI-2026-3</w:t>
      </w:r>
    </w:p>
    <w:p>
      <w:pPr>
        <w:spacing w:before="0" w:after="80" w:lineRule="auto" w:line="324"/>
        <w:ind w:firstLine="0"/>
        <w:jc w:val="both"/>
      </w:pPr>
      <w:r>
        <w:rPr>
          <w:rFonts w:eastAsia="宋体"/>
          <w:rFonts w:ascii="Times New Roman" w:hAnsi="Times New Roman"/>
          <w:b/>
          <w:i w:val="0"/>
          <w:sz w:val="22"/>
        </w:rPr>
        <w:t>Date:</w:t>
      </w:r>
      <w:r>
        <w:rPr>
          <w:rFonts w:eastAsia="宋体"/>
          <w:rFonts w:ascii="Times New Roman" w:hAnsi="Times New Roman"/>
          <w:b w:val="0"/>
          <w:i w:val="0"/>
          <w:sz w:val="22"/>
        </w:rPr>
        <w:t xml:space="preserve"> 2026-04-30</w:t>
      </w:r>
    </w:p>
    <w:p>
      <w:pPr>
        <w:spacing w:before="240" w:after="120" w:lineRule="auto" w:line="324"/>
        <w:jc w:val="both"/>
      </w:pPr>
      <w:r>
        <w:rPr>
          <w:rFonts w:eastAsia="黑体"/>
          <w:rFonts w:ascii="Arial" w:hAnsi="Arial"/>
          <w:b/>
          <w:i w:val="0"/>
          <w:color w:val="284682"/>
          <w:sz w:val="26"/>
        </w:rPr>
        <w:t>研究背景与问题</w:t>
      </w:r>
    </w:p>
    <w:p>
      <w:pPr>
        <w:spacing w:before="0" w:after="80" w:lineRule="auto" w:line="324"/>
        <w:ind w:firstLine="0"/>
        <w:jc w:val="both"/>
      </w:pPr>
      <w:r>
        <w:rPr>
          <w:rFonts w:eastAsia="宋体"/>
          <w:rFonts w:ascii="Times New Roman" w:hAnsi="Times New Roman"/>
          <w:b w:val="0"/>
          <w:i w:val="0"/>
          <w:sz w:val="22"/>
        </w:rPr>
        <w:t>在2026年印太安全环境持续演变的背景下，美国智库在塑造国防预算分配与同盟威慑战略中的作用日益显著。米切尔航空航天研究所（The Mitchell Institute for Aerospace Studies，以下简称“米切尔研究所”）作为华盛顿特区唯一专注于航空航天力量的政策研究机构，其在涉华军力评估与台海防务议题上的影响力似乎正呈现上升趋势。本报告旨在解答三个核心研究问题（RQs）：（1）米切尔研究所的组织结构、资金来源及其在美国国防生态中的战略生态位；（2）该机构与中国台湾地区党政军及情报机构（特别是国家安全局 NSB、军事情报局 MIB、国防安全研究院 INDSR）的潜在联系与合作模式；（3）其旗舰开源情报产品《中国空军追踪器》（China Airpower Tracker）的数据构成、分析方法与情报技艺（Tradecraft）。</w:t>
      </w:r>
    </w:p>
    <w:p>
      <w:pPr>
        <w:spacing w:before="240" w:after="120" w:lineRule="auto" w:line="324"/>
        <w:jc w:val="both"/>
      </w:pPr>
      <w:r>
        <w:rPr>
          <w:rFonts w:eastAsia="黑体"/>
          <w:rFonts w:ascii="Arial" w:hAnsi="Arial"/>
          <w:b/>
          <w:i w:val="0"/>
          <w:color w:val="284682"/>
          <w:sz w:val="26"/>
        </w:rPr>
        <w:t>方法与数据</w:t>
      </w:r>
    </w:p>
    <w:p>
      <w:pPr>
        <w:spacing w:before="0" w:after="80" w:lineRule="auto" w:line="324"/>
        <w:ind w:firstLine="0"/>
        <w:jc w:val="both"/>
      </w:pPr>
      <w:r>
        <w:rPr>
          <w:rFonts w:eastAsia="宋体"/>
          <w:rFonts w:ascii="Times New Roman" w:hAnsi="Times New Roman"/>
          <w:b w:val="0"/>
          <w:i w:val="0"/>
          <w:sz w:val="22"/>
        </w:rPr>
        <w:t xml:space="preserve">本报告是一项基于公开来源情报（OSINT）的桌面研究产品。研究团队收集并分析了多源异构数据，包括但不限于：美国国内税收局（IRS）990表格财务披露、企业赞助商公开名录、高分辨率商业卫星影像（如Maxar、Planet）、智库出版物、国会听证会记录，以及《航空航天优势》（The Aerospace Advantage）等播客的转录文本 </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2"/>
        </w:rPr>
        <w:t>。在分析过程中，本报告严格遵循RAND的方法论标准，明确区分“基于证据的发现”（evidence-based finding）与“分析性判断”（analytic judgment）。基于证据的发现依赖于可独立验证的公开文件与财务数据；分析性判断则基于对行为模式、人员交集与政策时间线的逻辑推演。所有评估均采用条件式语态，以反映开源情报固有的不确定性与误差边界。</w:t>
      </w:r>
    </w:p>
    <w:p>
      <w:pPr>
        <w:spacing w:before="240" w:after="120" w:lineRule="auto" w:line="324"/>
        <w:jc w:val="both"/>
      </w:pPr>
      <w:r>
        <w:rPr>
          <w:rFonts w:eastAsia="黑体"/>
          <w:rFonts w:ascii="Arial" w:hAnsi="Arial"/>
          <w:b/>
          <w:i w:val="0"/>
          <w:color w:val="284682"/>
          <w:sz w:val="26"/>
        </w:rPr>
        <w:t>主要发现概览</w:t>
      </w:r>
    </w:p>
    <w:p>
      <w:pPr>
        <w:spacing w:before="0" w:after="80" w:lineRule="auto" w:line="324"/>
        <w:ind w:firstLine="0"/>
        <w:jc w:val="both"/>
      </w:pPr>
      <w:r>
        <w:rPr>
          <w:rFonts w:eastAsia="宋体"/>
          <w:rFonts w:ascii="Times New Roman" w:hAnsi="Times New Roman"/>
          <w:b w:val="0"/>
          <w:i w:val="0"/>
          <w:sz w:val="22"/>
        </w:rPr>
        <w:t>基于证据的发现表明，米切尔研究所的法律地位依附于空军与太空军协会（AFA），其资金结构与美国主要航空航天防务承包商存在深度绑定。该机构似乎充当了美国空军退役将领、国防工业界与国会决策者之间的“旋转门”枢纽。分析性判断认为，在涉台防务网络中，米切尔研究所并未直接参与台湾核心情报机构（NSB/MIB）的机密运作，而是通过与台湾国防安全研究院（INDSR）等二轨智库的学术嵌合，形成了一种基于开源情报的“议程设置”机制。其推出的《中国空军追踪器》融合了六大类数据源，为印太防务规划者提供了高分辨率的战术数据。然而，分析性判断提示，受制于其机构利益与资金结构，该研究所在将战术数据转化为战略意图评估时，可能存在系统性的确认偏误（Confirmation Bias）与威胁通胀（Threat Inflation）风险。</w:t>
      </w:r>
    </w:p>
    <w:p>
      <w:pPr>
        <w:spacing w:before="240" w:after="120" w:lineRule="auto" w:line="324"/>
        <w:jc w:val="both"/>
      </w:pPr>
      <w:r>
        <w:rPr>
          <w:rFonts w:eastAsia="黑体"/>
          <w:rFonts w:ascii="Arial" w:hAnsi="Arial"/>
          <w:b/>
          <w:i w:val="0"/>
          <w:color w:val="284682"/>
          <w:sz w:val="26"/>
        </w:rPr>
        <w:t>政策含义概览</w:t>
      </w:r>
    </w:p>
    <w:p>
      <w:pPr>
        <w:spacing w:before="0" w:after="80" w:lineRule="auto" w:line="324"/>
        <w:ind w:firstLine="0"/>
        <w:jc w:val="both"/>
      </w:pPr>
      <w:r>
        <w:rPr>
          <w:rFonts w:eastAsia="宋体"/>
          <w:rFonts w:ascii="Times New Roman" w:hAnsi="Times New Roman"/>
          <w:b w:val="0"/>
          <w:i w:val="0"/>
          <w:sz w:val="22"/>
        </w:rPr>
        <w:t>米切尔研究所的运作模式对美国及其印太盟友的防务规划具有双重政策含义。一方面，其高频次的开源情报产品（如对解放军沿海机场加固机库与无人机部署的追踪）客观上提升了战区军事透明度，可能有助于盟友优化早期预警与不对称防御投资。另一方面，其高度垂直的政策倡导倾向表明，决策者在采纳其兵力结构建议（如大幅增加特定第六代战机或战略轰炸机的采购）时，应建立独立的红队（Red Team）审查机制。对于台海危机管理而言，米切尔研究所的兵棋推演结论与政策报告，似乎已成为预测美国对台军售走向及台湾防务预算调整的先导性指标。</w:t>
      </w:r>
    </w:p>
    <w:p>
      <w:pPr>
        <w:jc w:val="center"/>
      </w:pPr>
      <w:r>
        <w:rPr>
          <w:rFonts w:eastAsia="宋体"/>
          <w:rFonts w:ascii="Times New Roman" w:hAnsi="Times New Roman"/>
          <w:b w:val="0"/>
          <w:i w:val="0"/>
          <w:color w:val="A0A0A0"/>
          <w:sz w:val="22"/>
        </w:rPr>
        <w:t>─────────────────────────</w:t>
      </w:r>
    </w:p>
    <w:p>
      <w:pPr>
        <w:spacing w:before="160" w:after="80" w:lineRule="auto" w:line="324"/>
        <w:jc w:val="both"/>
        <w:shd w:val="clear" w:color="auto" w:fill="DDE6F2"/>
        <w:pBdr>
          <w:top w:val="single" w:sz="8" w:space="4" w:color="4F81BD"/>
          <w:left w:val="single" w:sz="8" w:space="4" w:color="4F81BD"/>
          <w:bottom w:val="single" w:sz="8" w:space="4" w:color="4F81BD"/>
          <w:right w:val="single" w:sz="8" w:space="4" w:color="4F81BD"/>
        </w:pBdr>
      </w:pPr>
      <w:r>
        <w:rPr>
          <w:rFonts w:eastAsia="黑体"/>
          <w:rFonts w:ascii="Arial" w:hAnsi="Arial"/>
          <w:b/>
          <w:i w:val="0"/>
          <w:color w:val="282850"/>
          <w:sz w:val="26"/>
        </w:rPr>
        <w:t>Key Findings of This Chapter</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1.</w:t>
      </w:r>
      <w:r>
        <w:rPr>
          <w:rFonts w:eastAsia="宋体"/>
          <w:rFonts w:ascii="Times New Roman" w:hAnsi="Times New Roman"/>
          <w:b w:val="0"/>
          <w:i w:val="0"/>
          <w:sz w:val="20"/>
        </w:rPr>
        <w:t xml:space="preserve"> 米切尔研究所的法律地位依附于空军与太空军协会（AFA），其资金结构呈现高度的军工企业绑定特征。</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IRS Form 990 (EIN 52-6043929) 财务披露，以及官网公开的波音（Boeing）、洛克希德·马丁（Lockheed Martin）、诺斯罗普·格鲁曼（Northrop Grumman）等主要企业赞助商名单 </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提示印太防务规划者在评估该机构关于特定武器平台（如B-21、F-47）的采购建议时，需充分考量潜在的商业利益冲突对其客观性的影响。</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2.</w:t>
      </w:r>
      <w:r>
        <w:rPr>
          <w:rFonts w:eastAsia="宋体"/>
          <w:rFonts w:ascii="Times New Roman" w:hAnsi="Times New Roman"/>
          <w:b w:val="0"/>
          <w:i w:val="0"/>
          <w:sz w:val="20"/>
        </w:rPr>
        <w:t xml:space="preserve"> 该机构的领导层与核心研究团队具有显著的“旋转门”特征，主要由美国空军（USAF）退役高层主导。</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现任院长 David Deptula 为退役空军中将及前ISR副参谋长；MI-SPACE中心及其他核心部门负责人均具有深厚的军方或国防部背景 </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这种人员结构表明，该机构的产出可能高度代表美国空军内部特定利益集团的战略诉求，其政策建议在五角大楼内部可能具有较高的非正式穿透力。</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3.</w:t>
      </w:r>
      <w:r>
        <w:rPr>
          <w:rFonts w:eastAsia="宋体"/>
          <w:rFonts w:ascii="Times New Roman" w:hAnsi="Times New Roman"/>
          <w:b w:val="0"/>
          <w:i w:val="0"/>
          <w:sz w:val="20"/>
        </w:rPr>
        <w:t xml:space="preserve"> 米切尔研究所与台湾国防安全研究院（INDSR）之间存在明显的“高频引用”与学术嵌合关系。</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INDSR 的《国防安全双周报》及年度报告频繁引用米切尔关于解放军空军能力与台海防空压力的评估；米切尔高级研究员 J. Michael Dahm 于2026年初访台并进行防务评估 </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这种二轨（Track-2）层面的共振，为台湾防务部门向内部民众及立法机构论证增加不对称作战预算提供了权威的外部背书。</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4.</w:t>
      </w:r>
      <w:r>
        <w:rPr>
          <w:rFonts w:eastAsia="宋体"/>
          <w:rFonts w:ascii="Times New Roman" w:hAnsi="Times New Roman"/>
          <w:b w:val="0"/>
          <w:i w:val="0"/>
          <w:sz w:val="20"/>
        </w:rPr>
        <w:t xml:space="preserve"> 目前缺乏公开证据表明米切尔研究所与台湾国家安全局（NSB）或军事情报局（MIB）存在直接的机密情报合作关系。</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穷尽开源检索未发现双方签署正式MOU或进行直接人员对接的公开记录；NSB与MIB的运作受严格保密法规限制 </w:t>
      </w:r>
      <w:r>
        <w:rPr>
          <w:rFonts w:eastAsia="宋体"/>
          <w:rFonts w:ascii="Times New Roman" w:hAnsi="Times New Roman"/>
          <w:b w:val="0"/>
          <w:i w:val="0"/>
          <w:color w:val="323296"/>
          <w:sz w:val="16"/>
          <w:vertAlign w:val="superscript"/>
        </w:rPr>
        <w:t>[10]</w:t>
      </w:r>
      <w:r>
        <w:rPr>
          <w:rFonts w:eastAsia="宋体"/>
          <w:rFonts w:ascii="Times New Roman" w:hAnsi="Times New Roman"/>
          <w:b w:val="0"/>
          <w:i w:val="0"/>
          <w:color w:val="323296"/>
          <w:sz w:val="16"/>
          <w:vertAlign w:val="superscript"/>
        </w:rPr>
        <w:t>[11]</w:t>
      </w:r>
      <w:r>
        <w:rPr>
          <w:rFonts w:eastAsia="宋体"/>
          <w:rFonts w:ascii="Times New Roman" w:hAnsi="Times New Roman"/>
          <w:b w:val="0"/>
          <w:i w:val="0"/>
          <w:color w:val="323296"/>
          <w:sz w:val="16"/>
          <w:vertAlign w:val="superscript"/>
        </w:rPr>
        <w:t>[12]</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Low（针对存在直接关系的假设）。</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分析性判断表明，双方的互动可能主要通过美国在台协会（AIT）或INDSR作为中介，以“开源情报洗白”的形式进行间接的信息对齐，而非直接的SIGINT/HUMINT交换。</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5.</w:t>
      </w:r>
      <w:r>
        <w:rPr>
          <w:rFonts w:eastAsia="宋体"/>
          <w:rFonts w:ascii="Times New Roman" w:hAnsi="Times New Roman"/>
          <w:b w:val="0"/>
          <w:i w:val="0"/>
          <w:sz w:val="20"/>
        </w:rPr>
        <w:t xml:space="preserve"> 歼-6（J-6）改装无人战斗机（UCAV）案例展示了一种典型的“情报释放→台湾国安验证→对台军售”政策闭环。</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米切尔研究所率先发布基于卫星图像的J-6 UCAV沿海部署报告；随后台湾安全官员在质询中予以证实；该威胁模型随后被用于推动美国对台防空系统与无人机军售 </w:t>
      </w:r>
      <w:r>
        <w:rPr>
          <w:rFonts w:eastAsia="宋体"/>
          <w:rFonts w:ascii="Times New Roman" w:hAnsi="Times New Roman"/>
          <w:b w:val="0"/>
          <w:i w:val="0"/>
          <w:color w:val="323296"/>
          <w:sz w:val="16"/>
          <w:vertAlign w:val="superscript"/>
        </w:rPr>
        <w:t>[13]</w:t>
      </w:r>
      <w:r>
        <w:rPr>
          <w:rFonts w:eastAsia="宋体"/>
          <w:rFonts w:ascii="Times New Roman" w:hAnsi="Times New Roman"/>
          <w:b w:val="0"/>
          <w:i w:val="0"/>
          <w:color w:val="323296"/>
          <w:sz w:val="16"/>
          <w:vertAlign w:val="superscript"/>
        </w:rPr>
        <w:t>[16]</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Moderate。</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提示防务分析人员，美国智库的战术级OSINT发布，往往可作为预测后续对台军售清单与防务政策调整的早期预警信号。</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6.</w:t>
      </w:r>
      <w:r>
        <w:rPr>
          <w:rFonts w:eastAsia="宋体"/>
          <w:rFonts w:ascii="Times New Roman" w:hAnsi="Times New Roman"/>
          <w:b w:val="0"/>
          <w:i w:val="0"/>
          <w:sz w:val="20"/>
        </w:rPr>
        <w:t xml:space="preserve"> 米切尔研究所通过兵棋推演塑造“战力焦虑”，其结论被用作推动空军预算扩张的政策杠杆。</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2025年6月的台海兵推及2026年4月发布的报告得出“按当前规划，美空军2035年无法保卫台湾”的结论，并据此提出12项要求增加特定军备采购的建议 </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color w:val="323296"/>
          <w:sz w:val="16"/>
          <w:vertAlign w:val="superscript"/>
        </w:rPr>
        <w:t>[18]</w:t>
      </w:r>
      <w:r>
        <w:rPr>
          <w:rFonts w:eastAsia="宋体"/>
          <w:rFonts w:ascii="Times New Roman" w:hAnsi="Times New Roman"/>
          <w:b w:val="0"/>
          <w:i w:val="0"/>
          <w:color w:val="323296"/>
          <w:sz w:val="16"/>
          <w:vertAlign w:val="superscript"/>
        </w:rPr>
        <w:t>[19]</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印太盟友在参考此类兵推结论时，应认识到其底层逻辑可能旨在服务于美国国内的预算博弈，而非纯粹的客观战局预测。</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7.</w:t>
      </w:r>
      <w:r>
        <w:rPr>
          <w:rFonts w:eastAsia="宋体"/>
          <w:rFonts w:ascii="Times New Roman" w:hAnsi="Times New Roman"/>
          <w:b w:val="0"/>
          <w:i w:val="0"/>
          <w:sz w:val="20"/>
        </w:rPr>
        <w:t xml:space="preserve"> 其旗舰产品《中国空军追踪器》（China Airpower Tracker）的数据池由六类异构数据源构成。</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项目方法论披露及分析师证词显示，数据源包括：(1)商业卫星影像（光学/SAR）；(2)中国官方/军方公开信息；(3)防务展会与工业数据；(4)社交媒体与军迷图像；(5)美国会听证记录；(6)盟友智库共享数据 </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这种多模态数据融合代表了当前非政府情报机构（NGO-Intel）的最高技术水平，显著压缩了印太地区潜在对手的战略模糊空间。</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8.</w:t>
      </w:r>
      <w:r>
        <w:rPr>
          <w:rFonts w:eastAsia="宋体"/>
          <w:rFonts w:ascii="Times New Roman" w:hAnsi="Times New Roman"/>
          <w:b w:val="0"/>
          <w:i w:val="0"/>
          <w:sz w:val="20"/>
        </w:rPr>
        <w:t xml:space="preserve"> 该机构的OSINT分析方法在物理识别上具有高可证伪性，但在意图反推上存在较高的确认偏误（Confirmation bias）风险。</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卫星图像对机库尺寸的测量可被独立第三方验证；但将常规设施翻新直接归因为“即将发动攻击的进攻性准备”，缺乏多源机密情报的交叉验证 </w:t>
      </w:r>
      <w:r>
        <w:rPr>
          <w:rFonts w:eastAsia="宋体"/>
          <w:rFonts w:ascii="Times New Roman" w:hAnsi="Times New Roman"/>
          <w:b w:val="0"/>
          <w:i w:val="0"/>
          <w:color w:val="323296"/>
          <w:sz w:val="16"/>
          <w:vertAlign w:val="superscript"/>
        </w:rPr>
        <w:t>[16]</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Moderate。</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建议情报消费者在采纳其数据时，将“物理事实”（如跑道延长了500米）与其“意图归因”（如准备实施先发制人打击）进行严格剥离。</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9.</w:t>
      </w:r>
      <w:r>
        <w:rPr>
          <w:rFonts w:eastAsia="宋体"/>
          <w:rFonts w:ascii="Times New Roman" w:hAnsi="Times New Roman"/>
          <w:b w:val="0"/>
          <w:i w:val="0"/>
          <w:sz w:val="20"/>
        </w:rPr>
        <w:t xml:space="preserve"> 米切尔研究所与CASI、CSIS ChinaPower、IISS、Janes等机构存在显著的差异化战略定位。</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相比于CASI的学术翻译、CSIS的宏观趋势或Janes的纯数据订阅，米切尔研究所呈现极度的“领域垂直”与“战术-政策直接挂钩”特征 </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color w:val="323296"/>
          <w:sz w:val="16"/>
          <w:vertAlign w:val="superscript"/>
        </w:rPr>
        <w:t>[15]</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这种定位使其在特定武器平台的国会预算听证会上拥有压倒性的话语权，但也限制了其在全政府（Whole-of-Government）大战略层面的视野。</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Finding 10.</w:t>
      </w:r>
      <w:r>
        <w:rPr>
          <w:rFonts w:eastAsia="宋体"/>
          <w:rFonts w:ascii="Times New Roman" w:hAnsi="Times New Roman"/>
          <w:b w:val="0"/>
          <w:i w:val="0"/>
          <w:sz w:val="20"/>
        </w:rPr>
        <w:t xml:space="preserve"> 米切尔研究所对台海局势的政策影响力主要通过“议程设置”（Agenda Setting）而非“直接情报生产”实现。</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Evidence:</w:t>
      </w:r>
      <w:r>
        <w:rPr>
          <w:rFonts w:eastAsia="宋体"/>
          <w:rFonts w:ascii="Times New Roman" w:hAnsi="Times New Roman"/>
          <w:b w:val="0"/>
          <w:i w:val="0"/>
          <w:sz w:val="20"/>
        </w:rPr>
        <w:t xml:space="preserve"> 综合评估其运作模式，该机构利用其华盛顿的政治扩音器效应，将微观的战术发现转化为宏观的战略议题，从而引导美台双边的防务政策走向 </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sz w:val="20"/>
        </w:rPr>
        <w:t>。</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Confidence:</w:t>
      </w:r>
      <w:r>
        <w:rPr>
          <w:rFonts w:eastAsia="宋体"/>
          <w:rFonts w:ascii="Times New Roman" w:hAnsi="Times New Roman"/>
          <w:b w:val="0"/>
          <w:i w:val="0"/>
          <w:sz w:val="20"/>
        </w:rPr>
        <w:t xml:space="preserve"> High。</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Implication:</w:t>
      </w:r>
      <w:r>
        <w:rPr>
          <w:rFonts w:eastAsia="宋体"/>
          <w:rFonts w:ascii="Times New Roman" w:hAnsi="Times New Roman"/>
          <w:b w:val="0"/>
          <w:i w:val="0"/>
          <w:sz w:val="20"/>
        </w:rPr>
        <w:t xml:space="preserve"> 应对此类智库的影响力，关键在于解构其议程设置的逻辑链条，而非仅仅在战术数据层面进行反驳。</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政策建议 (Recommendations)</w:t>
      </w:r>
    </w:p>
    <w:p>
      <w:pPr>
        <w:spacing w:before="0" w:after="80" w:lineRule="auto" w:line="324"/>
        <w:ind w:firstLine="0"/>
        <w:jc w:val="both"/>
      </w:pPr>
      <w:r>
        <w:rPr>
          <w:rFonts w:eastAsia="宋体"/>
          <w:rFonts w:ascii="Times New Roman" w:hAnsi="Times New Roman"/>
          <w:b w:val="0"/>
          <w:i w:val="0"/>
          <w:sz w:val="22"/>
        </w:rPr>
        <w:t>基于上述发现与分析性判断，本报告提出以下政策建议：</w:t>
      </w:r>
    </w:p>
    <w:p>
      <w:pPr>
        <w:spacing w:before="0" w:after="80" w:lineRule="auto" w:line="324"/>
        <w:ind w:firstLine="0"/>
        <w:jc w:val="both"/>
      </w:pPr>
      <w:r>
        <w:rPr>
          <w:rFonts w:eastAsia="宋体"/>
          <w:rFonts w:ascii="Times New Roman" w:hAnsi="Times New Roman"/>
          <w:b/>
          <w:i w:val="0"/>
          <w:sz w:val="22"/>
        </w:rPr>
        <w:t>Recommendation 1.</w:t>
      </w:r>
      <w:r>
        <w:rPr>
          <w:rFonts w:eastAsia="宋体"/>
          <w:rFonts w:ascii="Times New Roman" w:hAnsi="Times New Roman"/>
          <w:b w:val="0"/>
          <w:i w:val="0"/>
          <w:sz w:val="22"/>
        </w:rPr>
        <w:t xml:space="preserve"> 建议美国国防部（DoD）与国会（Congress）考虑建立独立的红队（Red Team）审查机制，以重新评估米切尔研究所兵棋推演的底层参数。</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鉴于该机构与特定防务承包商的资金联系，其兵推模型（如2025年6月的台海兵推）可能采用最坏情况假设（Worst-case Scenario）以凸显战力缺口。独立的参数审计有助于防止国防预算被过度引导至单一的高成本平台。</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DoD / Congress / OSD-NA (净评估办公室)。</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可能导致美国空军兵力结构发展失衡，过度投资于昂贵的穿透性打击平台，而忽视了后勤韧性与低成本非对称手段的建设。</w:t>
      </w:r>
    </w:p>
    <w:p>
      <w:pPr>
        <w:spacing w:before="0" w:after="80" w:lineRule="auto" w:line="324"/>
        <w:ind w:firstLine="0"/>
        <w:jc w:val="both"/>
      </w:pPr>
      <w:r>
        <w:rPr>
          <w:rFonts w:eastAsia="宋体"/>
          <w:rFonts w:ascii="Times New Roman" w:hAnsi="Times New Roman"/>
          <w:b/>
          <w:i w:val="0"/>
          <w:sz w:val="22"/>
        </w:rPr>
        <w:t>Recommendation 2.</w:t>
      </w:r>
      <w:r>
        <w:rPr>
          <w:rFonts w:eastAsia="宋体"/>
          <w:rFonts w:ascii="Times New Roman" w:hAnsi="Times New Roman"/>
          <w:b w:val="0"/>
          <w:i w:val="0"/>
          <w:sz w:val="22"/>
        </w:rPr>
        <w:t xml:space="preserve"> 建议国会相关委员会考虑强制要求智库专家在提供涉华军力评估证词时，进行更严格的利益冲突（Conflict of Interest）披露。</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确保立法者能够清晰辨别政策倡导背后的商业驱动力，特别是在涉及B-21、F-47或CCA等重大采办项目的听证会上。</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Congress。</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军工复合体可能通过“学术洗白”持续影响国家安全决策，损害国防预算分配的客观性与纳税人利益。</w:t>
      </w:r>
    </w:p>
    <w:p>
      <w:pPr>
        <w:spacing w:before="0" w:after="80" w:lineRule="auto" w:line="324"/>
        <w:ind w:firstLine="0"/>
        <w:jc w:val="both"/>
      </w:pPr>
      <w:r>
        <w:rPr>
          <w:rFonts w:eastAsia="宋体"/>
          <w:rFonts w:ascii="Times New Roman" w:hAnsi="Times New Roman"/>
          <w:b/>
          <w:i w:val="0"/>
          <w:sz w:val="22"/>
        </w:rPr>
        <w:t>Recommendation 3.</w:t>
      </w:r>
      <w:r>
        <w:rPr>
          <w:rFonts w:eastAsia="宋体"/>
          <w:rFonts w:ascii="Times New Roman" w:hAnsi="Times New Roman"/>
          <w:b w:val="0"/>
          <w:i w:val="0"/>
          <w:sz w:val="22"/>
        </w:rPr>
        <w:t xml:space="preserve"> 建议美国情报界（IC）与国防情报局（DIA）在吸收米切尔研究所的OSINT数据时，采用“数据-结论剥离”协议。</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《中国空军追踪器》提供的物理层数据（如机库坐标、跑道长度）具有极高的参考价值，但其附带的战术意图判断可能存在确认偏误。剥离处理可最大化利用其数据价值，同时避免分析污染。</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IC / DIA。</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官方情报评估可能被非政府机构的威胁通胀叙事所裹挟，导致对印太危机升级阈值的误判。</w:t>
      </w:r>
    </w:p>
    <w:p>
      <w:pPr>
        <w:spacing w:before="0" w:after="80" w:lineRule="auto" w:line="324"/>
        <w:ind w:firstLine="0"/>
        <w:jc w:val="both"/>
      </w:pPr>
      <w:r>
        <w:rPr>
          <w:rFonts w:eastAsia="宋体"/>
          <w:rFonts w:ascii="Times New Roman" w:hAnsi="Times New Roman"/>
          <w:b/>
          <w:i w:val="0"/>
          <w:sz w:val="22"/>
        </w:rPr>
        <w:t>Recommendation 4.</w:t>
      </w:r>
      <w:r>
        <w:rPr>
          <w:rFonts w:eastAsia="宋体"/>
          <w:rFonts w:ascii="Times New Roman" w:hAnsi="Times New Roman"/>
          <w:b w:val="0"/>
          <w:i w:val="0"/>
          <w:sz w:val="22"/>
        </w:rPr>
        <w:t xml:space="preserve"> 建议印太盟友（含日本、澳大利亚）的防务规划者在参考米切尔研究所的台海战局预测时，进行本土化的战略校准。</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米切尔的报告主要服务于美国空军的全球兵力投射需求。盟友的地理位置、防卫目标与风险承受能力与美国存在差异，盲目接受其“2035战败论”可能导致盟友防务政策的过度恐慌或不当的资源错配。</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Allied Partners (Japan MoD, Australia DoD)。</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盟友可能被迫卷入不符合其国家利益的军备竞赛，或在危机初期采取过度激进的军事部署。</w:t>
      </w:r>
    </w:p>
    <w:p>
      <w:pPr>
        <w:spacing w:before="0" w:after="80" w:lineRule="auto" w:line="324"/>
        <w:ind w:firstLine="0"/>
        <w:jc w:val="both"/>
      </w:pPr>
      <w:r>
        <w:rPr>
          <w:rFonts w:eastAsia="宋体"/>
          <w:rFonts w:ascii="Times New Roman" w:hAnsi="Times New Roman"/>
          <w:b/>
          <w:i w:val="0"/>
          <w:sz w:val="22"/>
        </w:rPr>
        <w:t>Recommendation 5.</w:t>
      </w:r>
      <w:r>
        <w:rPr>
          <w:rFonts w:eastAsia="宋体"/>
          <w:rFonts w:ascii="Times New Roman" w:hAnsi="Times New Roman"/>
          <w:b w:val="0"/>
          <w:i w:val="0"/>
          <w:sz w:val="22"/>
        </w:rPr>
        <w:t xml:space="preserve"> 建议印太盟友考虑发展主权级的开源情报（Sovereign OSINT）验证能力。</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减少对单一美国智库数据源的依赖。通过建立自身的商业卫星数据分析团队，盟友可以对米切尔研究所发布的涉华军事动态进行交叉验证，形成独立的威胁认知。</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Allied Partners。</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在关键危机时刻，盟友的情报认知与决策节奏可能完全受制于华盛顿非政府机构的信息释放。</w:t>
      </w:r>
    </w:p>
    <w:p>
      <w:pPr>
        <w:spacing w:before="0" w:after="80" w:lineRule="auto" w:line="324"/>
        <w:ind w:firstLine="0"/>
        <w:jc w:val="both"/>
      </w:pPr>
      <w:r>
        <w:rPr>
          <w:rFonts w:eastAsia="宋体"/>
          <w:rFonts w:ascii="Times New Roman" w:hAnsi="Times New Roman"/>
          <w:b/>
          <w:i w:val="0"/>
          <w:sz w:val="22"/>
        </w:rPr>
        <w:t>Recommendation 6.</w:t>
      </w:r>
      <w:r>
        <w:rPr>
          <w:rFonts w:eastAsia="宋体"/>
          <w:rFonts w:ascii="Times New Roman" w:hAnsi="Times New Roman"/>
          <w:b w:val="0"/>
          <w:i w:val="0"/>
          <w:sz w:val="22"/>
        </w:rPr>
        <w:t xml:space="preserve"> 建议其他独立分析机构（如其他FFRDC、CSIS、IISS）考虑建立针对倡导型智库的“反向追踪与审计”机制。</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学术界与政策研究界需要一种自我纠偏机制。通过对米切尔研究所过去五年的预测与实际军力发展的回溯测试（Backtesting），评估其OSINT分析的准确率与误差系统性。</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Independent Analysis Agencies / FFRDCs。</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华盛顿的涉华防务研究生态可能逐渐劣币驱逐良币，客观中立的研究被具有强烈党派色彩和资金驱动的倡导性研究所边缘化。</w:t>
      </w:r>
    </w:p>
    <w:p>
      <w:pPr>
        <w:spacing w:before="0" w:after="80" w:lineRule="auto" w:line="324"/>
        <w:ind w:firstLine="0"/>
        <w:jc w:val="both"/>
      </w:pPr>
      <w:r>
        <w:rPr>
          <w:rFonts w:eastAsia="宋体"/>
          <w:rFonts w:ascii="Times New Roman" w:hAnsi="Times New Roman"/>
          <w:b/>
          <w:i w:val="0"/>
          <w:sz w:val="22"/>
        </w:rPr>
        <w:t>Recommendation 7.</w:t>
      </w:r>
      <w:r>
        <w:rPr>
          <w:rFonts w:eastAsia="宋体"/>
          <w:rFonts w:ascii="Times New Roman" w:hAnsi="Times New Roman"/>
          <w:b w:val="0"/>
          <w:i w:val="0"/>
          <w:sz w:val="22"/>
        </w:rPr>
        <w:t xml:space="preserve"> 建议台海危机管理研究者在构建预警模型时，将米切尔研究所的“OSINT发布频率与主题”作为一项非传统的前置指标（Leading Indicator）。</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历史案例（如J-6 UCAV事件）表明，该机构的特定威胁报告往往是美国对台军售或台湾防务预算调整的先声。监控其议程设置，有助于提前预判台海军事互动的升级节点。</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ONA / Academic Researchers。</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危机管理者可能错失识别政策转变的早期信号，导致在应对台海突发事件时处于被动响应状态。</w:t>
      </w:r>
    </w:p>
    <w:p>
      <w:pPr>
        <w:spacing w:before="0" w:after="80" w:lineRule="auto" w:line="324"/>
        <w:ind w:firstLine="0"/>
        <w:jc w:val="both"/>
      </w:pPr>
      <w:r>
        <w:rPr>
          <w:rFonts w:eastAsia="宋体"/>
          <w:rFonts w:ascii="Times New Roman" w:hAnsi="Times New Roman"/>
          <w:b/>
          <w:i w:val="0"/>
          <w:sz w:val="22"/>
        </w:rPr>
        <w:t>Recommendation 8.</w:t>
      </w:r>
      <w:r>
        <w:rPr>
          <w:rFonts w:eastAsia="宋体"/>
          <w:rFonts w:ascii="Times New Roman" w:hAnsi="Times New Roman"/>
          <w:b w:val="0"/>
          <w:i w:val="0"/>
          <w:sz w:val="22"/>
        </w:rPr>
        <w:t xml:space="preserve"> 建议防务研究者在分析台湾INDSR等二轨机构的出版物时，采用网络分析（Network Analysis）方法识别其外部信息源的权重。</w:t>
      </w:r>
    </w:p>
    <w:p>
      <w:pPr>
        <w:spacing w:before="0" w:after="80" w:lineRule="auto" w:line="324"/>
        <w:ind w:firstLine="0"/>
        <w:jc w:val="both"/>
      </w:pPr>
      <w:r>
        <w:rPr>
          <w:rFonts w:eastAsia="宋体"/>
          <w:rFonts w:ascii="Times New Roman" w:hAnsi="Times New Roman"/>
          <w:b/>
          <w:i w:val="0"/>
          <w:sz w:val="22"/>
        </w:rPr>
        <w:t>Rationale:</w:t>
      </w:r>
      <w:r>
        <w:rPr>
          <w:rFonts w:eastAsia="宋体"/>
          <w:rFonts w:ascii="Times New Roman" w:hAnsi="Times New Roman"/>
          <w:b w:val="0"/>
          <w:i w:val="0"/>
          <w:sz w:val="22"/>
        </w:rPr>
        <w:t xml:space="preserve"> 明确台湾防务论述中有多少比例是直接“回声”（Echoing）米切尔研究所等美国智库的观点。这有助于区分哪些是台湾本土的真实防卫需求，哪些是受外部议程引导的政策叙事。</w:t>
      </w:r>
    </w:p>
    <w:p>
      <w:pPr>
        <w:spacing w:before="0" w:after="80" w:lineRule="auto" w:line="324"/>
        <w:ind w:firstLine="0"/>
        <w:jc w:val="both"/>
      </w:pPr>
      <w:r>
        <w:rPr>
          <w:rFonts w:eastAsia="宋体"/>
          <w:rFonts w:ascii="Times New Roman" w:hAnsi="Times New Roman"/>
          <w:b/>
          <w:i w:val="0"/>
          <w:sz w:val="22"/>
        </w:rPr>
        <w:t>Owner:</w:t>
      </w:r>
      <w:r>
        <w:rPr>
          <w:rFonts w:eastAsia="宋体"/>
          <w:rFonts w:ascii="Times New Roman" w:hAnsi="Times New Roman"/>
          <w:b w:val="0"/>
          <w:i w:val="0"/>
          <w:sz w:val="22"/>
        </w:rPr>
        <w:t xml:space="preserve"> Academic Researchers / Policy Analysts。</w:t>
      </w:r>
    </w:p>
    <w:p>
      <w:pPr>
        <w:spacing w:before="0" w:after="80" w:lineRule="auto" w:line="324"/>
        <w:ind w:firstLine="0"/>
        <w:jc w:val="both"/>
      </w:pPr>
      <w:r>
        <w:rPr>
          <w:rFonts w:eastAsia="宋体"/>
          <w:rFonts w:ascii="Times New Roman" w:hAnsi="Times New Roman"/>
          <w:b/>
          <w:i w:val="0"/>
          <w:sz w:val="22"/>
        </w:rPr>
        <w:t>Risk if Inaction:</w:t>
      </w:r>
      <w:r>
        <w:rPr>
          <w:rFonts w:eastAsia="宋体"/>
          <w:rFonts w:ascii="Times New Roman" w:hAnsi="Times New Roman"/>
          <w:b w:val="0"/>
          <w:i w:val="0"/>
          <w:sz w:val="22"/>
        </w:rPr>
        <w:t xml:space="preserve"> 可能误将美台智库间的人为信息共振，误判为台海安全局势发生实质性恶化的客观独立证据。</w:t>
      </w:r>
    </w:p>
    <w:p>
      <w:pPr>
        <w:jc w:val="center"/>
      </w:pPr>
      <w:r>
        <w:rPr>
          <w:rFonts w:eastAsia="宋体"/>
          <w:rFonts w:ascii="Times New Roman" w:hAnsi="Times New Roman"/>
          <w:b w:val="0"/>
          <w:i w:val="0"/>
          <w:color w:val="A0A0A0"/>
          <w:sz w:val="22"/>
        </w:rPr>
        <w:t>─────────────────────────</w:t>
      </w:r>
    </w:p>
    <w:p>
      <w:pPr>
        <w:spacing w:before="0" w:after="80" w:lineRule="auto" w:line="324"/>
        <w:ind w:firstLine="0"/>
        <w:jc w:val="both"/>
      </w:pPr>
      <w:r>
        <w:rPr>
          <w:rFonts w:eastAsia="宋体"/>
          <w:rFonts w:ascii="Times New Roman" w:hAnsi="Times New Roman"/>
          <w:b w:val="0"/>
          <w:i/>
          <w:sz w:val="22"/>
        </w:rPr>
        <w:t>研究边界声明：本报告的分析严格基于公开来源情报（OSINT）。本报告未涉及对台湾国家安全局（NSB）或军事情报局（MIB）机密信号情报（SIGINT）与人力情报（HUMINT）能力的实质性评估，未证实任何非公开的跨国情报共享协议，亦未对中国人民解放军歼-6无人机或加固机库的实际工程学与作战效能进行物理验证。</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Chapter 1. Introduction</w:t>
      </w:r>
    </w:p>
    <w:p>
      <w:pPr>
        <w:spacing w:before="240" w:after="120" w:lineRule="auto" w:line="324"/>
        <w:jc w:val="both"/>
      </w:pPr>
      <w:r>
        <w:rPr>
          <w:rFonts w:eastAsia="黑体"/>
          <w:rFonts w:ascii="Arial" w:hAnsi="Arial"/>
          <w:b/>
          <w:i w:val="0"/>
          <w:color w:val="284682"/>
          <w:sz w:val="26"/>
        </w:rPr>
        <w:t>1.1 Background and Strategic Context</w:t>
      </w:r>
    </w:p>
    <w:p>
      <w:pPr>
        <w:spacing w:before="0" w:after="80" w:lineRule="auto" w:line="324"/>
        <w:ind w:firstLine="0"/>
        <w:jc w:val="both"/>
      </w:pPr>
      <w:r>
        <w:rPr>
          <w:rFonts w:eastAsia="宋体"/>
          <w:rFonts w:ascii="Times New Roman" w:hAnsi="Times New Roman"/>
          <w:b w:val="0"/>
          <w:i w:val="0"/>
          <w:sz w:val="22"/>
        </w:rPr>
        <w:t>本章旨在探讨（This chapter examines）印太地区大国竞争（Great Power Competition, GPC）背景下，美国国防智库生态系统的演变轨迹，并确立本报告对米切尔航空航天研究所（The Mitchell Institute for Aerospace Studies，以下简称“米切尔研究所”）进行深度剖析的战略语境。</w:t>
      </w:r>
    </w:p>
    <w:p>
      <w:pPr>
        <w:spacing w:before="0" w:after="80" w:lineRule="auto" w:line="324"/>
        <w:ind w:firstLine="0"/>
        <w:jc w:val="both"/>
      </w:pPr>
      <w:r>
        <w:rPr>
          <w:rFonts w:eastAsia="宋体"/>
          <w:rFonts w:ascii="Times New Roman" w:hAnsi="Times New Roman"/>
          <w:b w:val="0"/>
          <w:i w:val="0"/>
          <w:sz w:val="22"/>
        </w:rPr>
        <w:t>自冷战初期以来，美国空军（USAF）高度依赖外部联邦资助研发中心（FFRDC）提供客观、独立的战略与政策分析。以 RAND Corporation 及其下属的 Project AIR FORCE 为代表的机构，在确立核威慑理论、兵力结构规划及技术采办评估方面奠定了行业标准</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sz w:val="22"/>
        </w:rPr>
        <w:t>。然而，随着后冷战时代反恐战争（GWOT）的结束，特别是自 2018 年美国《国防战略》（National Defense Strategy, NDS）正式将战略重心转向与同等体量对手（Peer Competitors）的长期竞争后，美国国防智库的生态位开始发生显著分化</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val="0"/>
          <w:i w:val="0"/>
          <w:sz w:val="22"/>
        </w:rPr>
        <w:t>在西太平洋地区，特别是针对中国大陆构建的反介入/区域拒止（A2/AD）环境，美国国防部（DoD）的分析性判断（Analytic judgment）认为，传统的兵力投射模式正面临前所未有的挑战。在这一高度对抗的环境中，航空航天力量（Aerospace Power）的穿透打击、全域指挥控制（JADC2）以及太空域的韧性，被视为维持印太地区“前沿威慑”（Forward Deterrence）的关键支柱</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2"/>
        </w:rPr>
        <w:t>。这种战略需求的急剧转变，为具有特定军种背景和高度垂直专业化的智库提供了新的战略空间。</w:t>
      </w:r>
    </w:p>
    <w:p>
      <w:pPr>
        <w:spacing w:before="0" w:after="80" w:lineRule="auto" w:line="324"/>
        <w:ind w:firstLine="0"/>
        <w:jc w:val="both"/>
      </w:pPr>
      <w:r>
        <w:rPr>
          <w:rFonts w:eastAsia="宋体"/>
          <w:rFonts w:ascii="Times New Roman" w:hAnsi="Times New Roman"/>
          <w:b w:val="0"/>
          <w:i w:val="0"/>
          <w:sz w:val="22"/>
        </w:rPr>
        <w:t>在此背景下，米切尔研究所的角色演变尤为引人注目。该机构最初作为美国空军协会（Air &amp; Space Forces Association, AFA）内部的政策部门，于 2013 年进行了重大重组与更名，以早期空中力量倡导者威廉·米切尔（William "Billy" Mitchell）准将的名字重新命名</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。基于证据的发现（Evidence-based finding）表明，自重组以来，米切尔研究所已迅速崛起为华盛顿特区唯一一家完全专注于航空航天力量的智库实体</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val="0"/>
          <w:i w:val="0"/>
          <w:sz w:val="22"/>
        </w:rPr>
        <w:t>随着“戴维森窗口”（Davidson Window，即对台海潜在冲突时间表的预估）在华盛顿政策圈引发广泛关注，米切尔研究所似乎（appears to）已将其核心研究议程与“对华空天战略”深度绑定。该机构不仅频繁发布关于中国人民解放军空军（PLAAF）现代化的威胁评估，还通过兵棋推演（Wargaming）和开源情报（OSINT）产品，积极介入美国空军下一代装备（如 B-21 轰炸机、F-47 战斗机及协同作战飞机 CCA）的预算辩论</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sz w:val="22"/>
        </w:rPr>
        <w:t>。因此，系统性地解构米切尔研究所的组织运作、涉台情报联系及其开源情报技艺，对于理解当前美国对华军事战略的非官方塑造机制具有重要的政策与情报价值。</w:t>
      </w:r>
    </w:p>
    <w:p>
      <w:pPr>
        <w:spacing w:before="240" w:after="120" w:lineRule="auto" w:line="324"/>
        <w:jc w:val="both"/>
      </w:pPr>
      <w:r>
        <w:rPr>
          <w:rFonts w:eastAsia="黑体"/>
          <w:rFonts w:ascii="Arial" w:hAnsi="Arial"/>
          <w:b/>
          <w:i w:val="0"/>
          <w:color w:val="284682"/>
          <w:sz w:val="26"/>
        </w:rPr>
        <w:t>1.2 Research Questions</w:t>
      </w:r>
    </w:p>
    <w:p>
      <w:pPr>
        <w:spacing w:before="0" w:after="80" w:lineRule="auto" w:line="324"/>
        <w:ind w:firstLine="0"/>
        <w:jc w:val="both"/>
      </w:pPr>
      <w:r>
        <w:rPr>
          <w:rFonts w:eastAsia="宋体"/>
          <w:rFonts w:ascii="Times New Roman" w:hAnsi="Times New Roman"/>
          <w:b w:val="0"/>
          <w:i w:val="0"/>
          <w:sz w:val="22"/>
        </w:rPr>
        <w:t>为全面评估米切尔研究所在印太安全架构中的实际功能与影响力，本报告围绕三个核心研究问题（Research Questions, RQs）展开。每个核心问题均被进一步分解为若干子问题（Sub-questions），以确保分析的颗粒度与严谨性：</w:t>
      </w:r>
    </w:p>
    <w:p>
      <w:pPr>
        <w:spacing w:before="0" w:after="80" w:lineRule="auto" w:line="324"/>
        <w:ind w:firstLine="0"/>
        <w:jc w:val="both"/>
      </w:pPr>
      <w:r>
        <w:rPr>
          <w:rFonts w:eastAsia="宋体"/>
          <w:rFonts w:ascii="Times New Roman" w:hAnsi="Times New Roman"/>
          <w:b/>
          <w:i w:val="0"/>
          <w:sz w:val="22"/>
        </w:rPr>
        <w:t>RQ1：米切尔航空航天研究所的组织结构、资金来源与战略生态位是什么？</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RQ1a:</w:t>
      </w:r>
      <w:r>
        <w:rPr>
          <w:rFonts w:eastAsia="宋体"/>
          <w:rFonts w:ascii="Times New Roman" w:hAnsi="Times New Roman"/>
          <w:b w:val="0"/>
          <w:i w:val="0"/>
          <w:sz w:val="21"/>
        </w:rPr>
        <w:t xml:space="preserve"> 该机构与其母组织美国空军与太空军协会（AFA）在法律地位、财务申报（如 IRS Form 990）及人事任命上存在何种从属关系？</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RQ1b:</w:t>
      </w:r>
      <w:r>
        <w:rPr>
          <w:rFonts w:eastAsia="宋体"/>
          <w:rFonts w:ascii="Times New Roman" w:hAnsi="Times New Roman"/>
          <w:b w:val="0"/>
          <w:i w:val="0"/>
          <w:sz w:val="21"/>
        </w:rPr>
        <w:t xml:space="preserve"> 国防承包商（如 Boeing, Lockheed Martin, Northrop Grumman）的资金赞助模式，在多大程度上可能（may）影响该机构的政策倡导与兵力结构建议？</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RQ1c:</w:t>
      </w:r>
      <w:r>
        <w:rPr>
          <w:rFonts w:eastAsia="宋体"/>
          <w:rFonts w:ascii="Times New Roman" w:hAnsi="Times New Roman"/>
          <w:b w:val="0"/>
          <w:i w:val="0"/>
          <w:sz w:val="21"/>
        </w:rPr>
        <w:t xml:space="preserve"> 在华盛顿的国防智库生态中，米切尔研究所如何通过其下属中心（如 MI-SPACE, MI-UAS）确立其差异化的战略生态位？</w:t>
      </w:r>
    </w:p>
    <w:p>
      <w:pPr>
        <w:spacing w:before="0" w:after="80" w:lineRule="auto" w:line="324"/>
        <w:ind w:firstLine="0"/>
        <w:jc w:val="both"/>
      </w:pPr>
      <w:r>
        <w:rPr>
          <w:rFonts w:eastAsia="宋体"/>
          <w:rFonts w:ascii="Times New Roman" w:hAnsi="Times New Roman"/>
          <w:b/>
          <w:i w:val="0"/>
          <w:sz w:val="22"/>
        </w:rPr>
        <w:t>RQ2：该机构与中国台湾地区党政军及情报机构的合作、联系与交流采取何种形式？</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RQ2a:</w:t>
      </w:r>
      <w:r>
        <w:rPr>
          <w:rFonts w:eastAsia="宋体"/>
          <w:rFonts w:ascii="Times New Roman" w:hAnsi="Times New Roman"/>
          <w:b w:val="0"/>
          <w:i w:val="0"/>
          <w:sz w:val="21"/>
        </w:rPr>
        <w:t xml:space="preserve"> 米切尔研究所与台湾地区官方防务智库“国防安全研究院”（INDSR）之间，存在哪些基于公开记录的学术嵌合、人员互访与二轨对话机制？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RQ2b:</w:t>
      </w:r>
      <w:r>
        <w:rPr>
          <w:rFonts w:eastAsia="宋体"/>
          <w:rFonts w:ascii="Times New Roman" w:hAnsi="Times New Roman"/>
          <w:b w:val="0"/>
          <w:i w:val="0"/>
          <w:sz w:val="21"/>
        </w:rPr>
        <w:t xml:space="preserve"> 该机构的开源情报产出与台湾地区国家安全局（NSB）及军事情报局（MIB）的威胁认知框架是否存在事实上的信息共振与政策联动？</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RQ2c:</w:t>
      </w:r>
      <w:r>
        <w:rPr>
          <w:rFonts w:eastAsia="宋体"/>
          <w:rFonts w:ascii="Times New Roman" w:hAnsi="Times New Roman"/>
          <w:b w:val="0"/>
          <w:i w:val="0"/>
          <w:sz w:val="21"/>
        </w:rPr>
        <w:t xml:space="preserve"> 美国在台协会（AIT）在协调米切尔研究所与台湾地区防务体系的互动中，是否（could）扮演了中介与政治背书的角色？</w:t>
      </w:r>
    </w:p>
    <w:p>
      <w:pPr>
        <w:spacing w:before="0" w:after="80" w:lineRule="auto" w:line="324"/>
        <w:ind w:firstLine="0"/>
        <w:jc w:val="both"/>
      </w:pPr>
      <w:r>
        <w:rPr>
          <w:rFonts w:eastAsia="宋体"/>
          <w:rFonts w:ascii="Times New Roman" w:hAnsi="Times New Roman"/>
          <w:b/>
          <w:i w:val="0"/>
          <w:sz w:val="22"/>
        </w:rPr>
        <w:t>RQ3：其旗舰开源情报产品《中国空军追踪器》(China Airpower Tracker) 的数据来源构成、分析方法与情报技艺 (tradecraft) 是什么？</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RQ3a:</w:t>
      </w:r>
      <w:r>
        <w:rPr>
          <w:rFonts w:eastAsia="宋体"/>
          <w:rFonts w:ascii="Times New Roman" w:hAnsi="Times New Roman"/>
          <w:b w:val="0"/>
          <w:i w:val="0"/>
          <w:sz w:val="21"/>
        </w:rPr>
        <w:t xml:space="preserve"> 该追踪器如何整合商业高分辨率卫星影像（光学/SAR）、中国官方公开信息及社交媒体数据，构建多模态的开源情报矩阵？</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RQ3b:</w:t>
      </w:r>
      <w:r>
        <w:rPr>
          <w:rFonts w:eastAsia="宋体"/>
          <w:rFonts w:ascii="Times New Roman" w:hAnsi="Times New Roman"/>
          <w:b w:val="0"/>
          <w:i w:val="0"/>
          <w:sz w:val="21"/>
        </w:rPr>
        <w:t xml:space="preserve"> 其分析师团队采用何种方法论，将物理设施的工程量测算（如加固机库 HAS 的扩建）反向工程（reverse-engineer）为解放军的战术与战略意图？</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RQ3c:</w:t>
      </w:r>
      <w:r>
        <w:rPr>
          <w:rFonts w:eastAsia="宋体"/>
          <w:rFonts w:ascii="Times New Roman" w:hAnsi="Times New Roman"/>
          <w:b w:val="0"/>
          <w:i w:val="0"/>
          <w:sz w:val="21"/>
        </w:rPr>
        <w:t xml:space="preserve"> 该情报产品在方法论上存在哪些固有的误差边界（Error margins）与潜在的确认偏误（Confirmation bias）？</w:t>
      </w:r>
    </w:p>
    <w:p>
      <w:pPr>
        <w:spacing w:before="240" w:after="120" w:lineRule="auto" w:line="324"/>
        <w:jc w:val="both"/>
      </w:pPr>
      <w:r>
        <w:rPr>
          <w:rFonts w:eastAsia="黑体"/>
          <w:rFonts w:ascii="Arial" w:hAnsi="Arial"/>
          <w:b/>
          <w:i w:val="0"/>
          <w:color w:val="284682"/>
          <w:sz w:val="26"/>
        </w:rPr>
        <w:t>1.3 Research Approach</w:t>
      </w:r>
    </w:p>
    <w:p>
      <w:pPr>
        <w:spacing w:before="0" w:after="80" w:lineRule="auto" w:line="324"/>
        <w:ind w:firstLine="0"/>
        <w:jc w:val="both"/>
      </w:pPr>
      <w:r>
        <w:rPr>
          <w:rFonts w:eastAsia="宋体"/>
          <w:rFonts w:ascii="Times New Roman" w:hAnsi="Times New Roman"/>
          <w:b w:val="0"/>
          <w:i w:val="0"/>
          <w:sz w:val="22"/>
        </w:rPr>
        <w:t>本报告采用混合方法论（Mixed-methods approach），严格基于公开来源情报（OSINT）进行桌面研究（Desk research）。为确保研究结论的客观性与可追溯性，数据采集与分析流程遵循以下规范：</w:t>
      </w:r>
    </w:p>
    <w:p>
      <w:pPr>
        <w:spacing w:before="0" w:after="80" w:lineRule="auto" w:line="324"/>
        <w:ind w:firstLine="0"/>
        <w:jc w:val="both"/>
      </w:pPr>
      <w:r>
        <w:rPr>
          <w:rFonts w:eastAsia="宋体"/>
          <w:rFonts w:ascii="Times New Roman" w:hAnsi="Times New Roman"/>
          <w:b/>
          <w:i w:val="0"/>
          <w:sz w:val="22"/>
        </w:rPr>
        <w:t>数据来源（Data Sources）</w:t>
      </w:r>
    </w:p>
    <w:p>
      <w:pPr>
        <w:spacing w:before="0" w:after="80" w:lineRule="auto" w:line="324"/>
        <w:ind w:firstLine="0"/>
        <w:jc w:val="both"/>
      </w:pPr>
      <w:r>
        <w:rPr>
          <w:rFonts w:eastAsia="宋体"/>
          <w:rFonts w:ascii="Times New Roman" w:hAnsi="Times New Roman"/>
          <w:b w:val="0"/>
          <w:i w:val="0"/>
          <w:sz w:val="22"/>
        </w:rPr>
        <w:t>本研究的数据语料库由三类核心来源构成：</w:t>
      </w:r>
    </w:p>
    <w:p>
      <w:pPr>
        <w:spacing w:before="0" w:after="40" w:lineRule="auto" w:line="324"/>
        <w:ind w:firstLine="170"/>
        <w:jc w:val="both"/>
      </w:pPr>
      <w:r>
        <w:rPr>
          <w:rFonts w:eastAsia="宋体"/>
          <w:rFonts w:ascii="Times New Roman" w:hAnsi="Times New Roman"/>
          <w:b w:val="0"/>
          <w:i w:val="0"/>
          <w:sz w:val="21"/>
        </w:rPr>
        <w:t xml:space="preserve">1.  </w:t>
      </w:r>
      <w:r>
        <w:rPr>
          <w:rFonts w:eastAsia="宋体"/>
          <w:rFonts w:ascii="Times New Roman" w:hAnsi="Times New Roman"/>
          <w:b/>
          <w:i w:val="0"/>
          <w:sz w:val="21"/>
        </w:rPr>
        <w:t>官方与法律文件（Official Documentation）：</w:t>
      </w:r>
      <w:r>
        <w:rPr>
          <w:rFonts w:eastAsia="宋体"/>
          <w:rFonts w:ascii="Times New Roman" w:hAnsi="Times New Roman"/>
          <w:b w:val="0"/>
          <w:i w:val="0"/>
          <w:sz w:val="21"/>
        </w:rPr>
        <w:t xml:space="preserve"> 包括米切尔研究所及 AFA 的官方网站发布物、美国国内税收局（IRS）披露的 Form 990 免税组织财务申报表</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1"/>
        </w:rPr>
        <w:t>、美国国会美中经济与安全评估委员会（USCC）的听证会记录，以及台湾地区 INDSR 的官方出版物与活动日志。</w:t>
      </w:r>
    </w:p>
    <w:p>
      <w:pPr>
        <w:spacing w:before="0" w:after="40" w:lineRule="auto" w:line="324"/>
        <w:ind w:firstLine="170"/>
        <w:jc w:val="both"/>
      </w:pPr>
      <w:r>
        <w:rPr>
          <w:rFonts w:eastAsia="宋体"/>
          <w:rFonts w:ascii="Times New Roman" w:hAnsi="Times New Roman"/>
          <w:b w:val="0"/>
          <w:i w:val="0"/>
          <w:sz w:val="21"/>
        </w:rPr>
        <w:t xml:space="preserve">2.  </w:t>
      </w:r>
      <w:r>
        <w:rPr>
          <w:rFonts w:eastAsia="宋体"/>
          <w:rFonts w:ascii="Times New Roman" w:hAnsi="Times New Roman"/>
          <w:b/>
          <w:i w:val="0"/>
          <w:sz w:val="21"/>
        </w:rPr>
        <w:t>二手文献（Secondary Literature）：</w:t>
      </w:r>
      <w:r>
        <w:rPr>
          <w:rFonts w:eastAsia="宋体"/>
          <w:rFonts w:ascii="Times New Roman" w:hAnsi="Times New Roman"/>
          <w:b w:val="0"/>
          <w:i w:val="0"/>
          <w:sz w:val="21"/>
        </w:rPr>
        <w:t xml:space="preserve"> 涵盖国际关系学术期刊、防务行业媒体（如 </w:t>
      </w:r>
      <w:r>
        <w:rPr>
          <w:rFonts w:eastAsia="宋体"/>
          <w:rFonts w:ascii="Times New Roman" w:hAnsi="Times New Roman"/>
          <w:b w:val="0"/>
          <w:i/>
          <w:sz w:val="21"/>
        </w:rPr>
        <w:t>Air &amp; Space Forces Magazine</w:t>
      </w:r>
      <w:r>
        <w:rPr>
          <w:rFonts w:eastAsia="宋体"/>
          <w:rFonts w:ascii="Times New Roman" w:hAnsi="Times New Roman"/>
          <w:b w:val="0"/>
          <w:i w:val="0"/>
          <w:sz w:val="21"/>
        </w:rPr>
        <w:t xml:space="preserve">, </w:t>
      </w:r>
      <w:r>
        <w:rPr>
          <w:rFonts w:eastAsia="宋体"/>
          <w:rFonts w:ascii="Times New Roman" w:hAnsi="Times New Roman"/>
          <w:b w:val="0"/>
          <w:i/>
          <w:sz w:val="21"/>
        </w:rPr>
        <w:t>Janes</w:t>
      </w:r>
      <w:r>
        <w:rPr>
          <w:rFonts w:eastAsia="宋体"/>
          <w:rFonts w:ascii="Times New Roman" w:hAnsi="Times New Roman"/>
          <w:b w:val="0"/>
          <w:i w:val="0"/>
          <w:sz w:val="21"/>
        </w:rPr>
        <w:t xml:space="preserve">, </w:t>
      </w:r>
      <w:r>
        <w:rPr>
          <w:rFonts w:eastAsia="宋体"/>
          <w:rFonts w:ascii="Times New Roman" w:hAnsi="Times New Roman"/>
          <w:b w:val="0"/>
          <w:i/>
          <w:sz w:val="21"/>
        </w:rPr>
        <w:t>Aviation Week</w:t>
      </w:r>
      <w:r>
        <w:rPr>
          <w:rFonts w:eastAsia="宋体"/>
          <w:rFonts w:ascii="Times New Roman" w:hAnsi="Times New Roman"/>
          <w:b w:val="0"/>
          <w:i w:val="0"/>
          <w:sz w:val="21"/>
        </w:rPr>
        <w:t xml:space="preserve">）的深度报道，以及独立监督机构（如 </w:t>
      </w:r>
      <w:r>
        <w:rPr>
          <w:rFonts w:eastAsia="宋体"/>
          <w:rFonts w:ascii="Times New Roman" w:hAnsi="Times New Roman"/>
          <w:b w:val="0"/>
          <w:i/>
          <w:sz w:val="21"/>
        </w:rPr>
        <w:t>Responsible Statecraft</w:t>
      </w:r>
      <w:r>
        <w:rPr>
          <w:rFonts w:eastAsia="宋体"/>
          <w:rFonts w:ascii="Times New Roman" w:hAnsi="Times New Roman"/>
          <w:b w:val="0"/>
          <w:i w:val="0"/>
          <w:sz w:val="21"/>
        </w:rPr>
        <w:t xml:space="preserve">, </w:t>
      </w:r>
      <w:r>
        <w:rPr>
          <w:rFonts w:eastAsia="宋体"/>
          <w:rFonts w:ascii="Times New Roman" w:hAnsi="Times New Roman"/>
          <w:b w:val="0"/>
          <w:i/>
          <w:sz w:val="21"/>
        </w:rPr>
        <w:t>ProPublica</w:t>
      </w:r>
      <w:r>
        <w:rPr>
          <w:rFonts w:eastAsia="宋体"/>
          <w:rFonts w:ascii="Times New Roman" w:hAnsi="Times New Roman"/>
          <w:b w:val="0"/>
          <w:i w:val="0"/>
          <w:sz w:val="21"/>
        </w:rPr>
        <w:t>）对智库资金链的政策评论</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sz w:val="21"/>
        </w:rPr>
        <w:t>。</w:t>
      </w:r>
    </w:p>
    <w:p>
      <w:pPr>
        <w:spacing w:before="0" w:after="40" w:lineRule="auto" w:line="324"/>
        <w:ind w:firstLine="170"/>
        <w:jc w:val="both"/>
      </w:pPr>
      <w:r>
        <w:rPr>
          <w:rFonts w:eastAsia="宋体"/>
          <w:rFonts w:ascii="Times New Roman" w:hAnsi="Times New Roman"/>
          <w:b w:val="0"/>
          <w:i w:val="0"/>
          <w:sz w:val="21"/>
        </w:rPr>
        <w:t xml:space="preserve">3.  </w:t>
      </w:r>
      <w:r>
        <w:rPr>
          <w:rFonts w:eastAsia="宋体"/>
          <w:rFonts w:ascii="Times New Roman" w:hAnsi="Times New Roman"/>
          <w:b/>
          <w:i w:val="0"/>
          <w:sz w:val="21"/>
        </w:rPr>
        <w:t>开源情报（Open-Source Intelligence）：</w:t>
      </w:r>
      <w:r>
        <w:rPr>
          <w:rFonts w:eastAsia="宋体"/>
          <w:rFonts w:ascii="Times New Roman" w:hAnsi="Times New Roman"/>
          <w:b w:val="0"/>
          <w:i w:val="0"/>
          <w:sz w:val="21"/>
        </w:rPr>
        <w:t xml:space="preserve"> 提取自商业卫星影像提供商的公开图库、全球新闻报道、智库播客（如 </w:t>
      </w:r>
      <w:r>
        <w:rPr>
          <w:rFonts w:eastAsia="宋体"/>
          <w:rFonts w:ascii="Times New Roman" w:hAnsi="Times New Roman"/>
          <w:b w:val="0"/>
          <w:i/>
          <w:sz w:val="21"/>
        </w:rPr>
        <w:t>The Aerospace Advantage</w:t>
      </w:r>
      <w:r>
        <w:rPr>
          <w:rFonts w:eastAsia="宋体"/>
          <w:rFonts w:ascii="Times New Roman" w:hAnsi="Times New Roman"/>
          <w:b w:val="0"/>
          <w:i w:val="0"/>
          <w:sz w:val="21"/>
        </w:rPr>
        <w:t>）的转录文本，以及经核实的社交媒体动态。</w:t>
      </w:r>
    </w:p>
    <w:p>
      <w:pPr>
        <w:spacing w:before="0" w:after="80" w:lineRule="auto" w:line="324"/>
        <w:ind w:firstLine="0"/>
        <w:jc w:val="both"/>
      </w:pPr>
      <w:r>
        <w:rPr>
          <w:rFonts w:eastAsia="宋体"/>
          <w:rFonts w:ascii="Times New Roman" w:hAnsi="Times New Roman"/>
          <w:b/>
          <w:i w:val="0"/>
          <w:sz w:val="22"/>
        </w:rPr>
        <w:t>检索策略（Retrieval Strategy）</w:t>
      </w:r>
    </w:p>
    <w:p>
      <w:pPr>
        <w:spacing w:before="0" w:after="80" w:lineRule="auto" w:line="324"/>
        <w:ind w:firstLine="0"/>
        <w:jc w:val="both"/>
      </w:pPr>
      <w:r>
        <w:rPr>
          <w:rFonts w:eastAsia="宋体"/>
          <w:rFonts w:ascii="Times New Roman" w:hAnsi="Times New Roman"/>
          <w:b w:val="0"/>
          <w:i w:val="0"/>
          <w:sz w:val="22"/>
        </w:rPr>
        <w:t>数据采集工作于 2026 年 4 月进行。研究团队设计了 18 个结构化的查询字符串（Query strings），全面覆盖 3 个核心 RQ 及其衍生的 6 至 7 个分析角度。检索过程调用了三种原生 API 搜索引擎（Brave Search, Tavily, Gemini Search Grounding），共计完成 54 次成功调用。这种多引擎并发策略有效避免了单一算法带来的信息茧房效应，确保了底层证据的广度与多样性。</w:t>
      </w:r>
    </w:p>
    <w:p>
      <w:pPr>
        <w:spacing w:before="0" w:after="80" w:lineRule="auto" w:line="324"/>
        <w:ind w:firstLine="0"/>
        <w:jc w:val="both"/>
      </w:pPr>
      <w:r>
        <w:rPr>
          <w:rFonts w:eastAsia="宋体"/>
          <w:rFonts w:ascii="Times New Roman" w:hAnsi="Times New Roman"/>
          <w:b/>
          <w:i w:val="0"/>
          <w:sz w:val="22"/>
        </w:rPr>
        <w:t>三角验证（Triangulation）</w:t>
      </w:r>
    </w:p>
    <w:p>
      <w:pPr>
        <w:spacing w:before="0" w:after="80" w:lineRule="auto" w:line="324"/>
        <w:ind w:firstLine="0"/>
        <w:jc w:val="both"/>
      </w:pPr>
      <w:r>
        <w:rPr>
          <w:rFonts w:eastAsia="宋体"/>
          <w:rFonts w:ascii="Times New Roman" w:hAnsi="Times New Roman"/>
          <w:b w:val="0"/>
          <w:i w:val="0"/>
          <w:sz w:val="22"/>
        </w:rPr>
        <w:t>为区分事实陈述与分析性推论，本报告对所有核心发现实施严格的“三角验证”标准。任何被标记为“基于证据的发现（Evidence-based finding）”的陈述，必须至少获得两个独立且无利益冲突的公开来源的交叉确认。对于单一来源或存在利益相关方的陈述，均使用条件式表达（如 suggests, appears to）进行限定。</w:t>
      </w:r>
    </w:p>
    <w:p>
      <w:pPr>
        <w:spacing w:before="0" w:after="80" w:lineRule="auto" w:line="324"/>
        <w:ind w:firstLine="0"/>
        <w:jc w:val="both"/>
      </w:pPr>
      <w:r>
        <w:rPr>
          <w:rFonts w:eastAsia="宋体"/>
          <w:rFonts w:ascii="Times New Roman" w:hAnsi="Times New Roman"/>
          <w:b/>
          <w:i w:val="0"/>
          <w:sz w:val="22"/>
        </w:rPr>
        <w:t>置信度评级（Confidence Levels）</w:t>
      </w:r>
    </w:p>
    <w:p>
      <w:pPr>
        <w:spacing w:before="0" w:after="80" w:lineRule="auto" w:line="324"/>
        <w:ind w:firstLine="0"/>
        <w:jc w:val="both"/>
      </w:pPr>
      <w:r>
        <w:rPr>
          <w:rFonts w:eastAsia="宋体"/>
          <w:rFonts w:ascii="Times New Roman" w:hAnsi="Times New Roman"/>
          <w:b w:val="0"/>
          <w:i w:val="0"/>
          <w:sz w:val="22"/>
        </w:rPr>
        <w:t>本报告对各项分析性判断（Analytic judgments）赋予明确的置信度评级：</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高置信度（High Confidence）：</w:t>
      </w:r>
      <w:r>
        <w:rPr>
          <w:rFonts w:eastAsia="宋体"/>
          <w:rFonts w:ascii="Times New Roman" w:hAnsi="Times New Roman"/>
          <w:b w:val="0"/>
          <w:i w:val="0"/>
          <w:sz w:val="21"/>
        </w:rPr>
        <w:t xml:space="preserve"> 基于多个一手官方来源，且获得至少一个独立第三方机构的交叉确认。推断逻辑链条完整，符合已知的战略行为模式。</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中等置信度（Moderate Confidence）：</w:t>
      </w:r>
      <w:r>
        <w:rPr>
          <w:rFonts w:eastAsia="宋体"/>
          <w:rFonts w:ascii="Times New Roman" w:hAnsi="Times New Roman"/>
          <w:b w:val="0"/>
          <w:i w:val="0"/>
          <w:sz w:val="21"/>
        </w:rPr>
        <w:t xml:space="preserve"> 基于单一的一手来源或多个二手来源，推断链条可信，但缺乏直接的物理或官方文件背书。</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低置信度（Low Confidence）：</w:t>
      </w:r>
      <w:r>
        <w:rPr>
          <w:rFonts w:eastAsia="宋体"/>
          <w:rFonts w:ascii="Times New Roman" w:hAnsi="Times New Roman"/>
          <w:b w:val="0"/>
          <w:i w:val="0"/>
          <w:sz w:val="21"/>
        </w:rPr>
        <w:t xml:space="preserve"> 仅基于行为模式的间接推断，或依赖单一且可能存在偏见的二手来源。此类判断在报告中仅作为假设性探讨提出。</w:t>
      </w:r>
    </w:p>
    <w:p>
      <w:pPr>
        <w:spacing w:before="240" w:after="120" w:lineRule="auto" w:line="324"/>
        <w:jc w:val="both"/>
      </w:pPr>
      <w:r>
        <w:rPr>
          <w:rFonts w:eastAsia="黑体"/>
          <w:rFonts w:ascii="Arial" w:hAnsi="Arial"/>
          <w:b/>
          <w:i w:val="0"/>
          <w:color w:val="284682"/>
          <w:sz w:val="26"/>
        </w:rPr>
        <w:t>1.4 Scope and Limitations</w:t>
      </w:r>
    </w:p>
    <w:p>
      <w:pPr>
        <w:spacing w:before="0" w:after="80" w:lineRule="auto" w:line="324"/>
        <w:ind w:firstLine="0"/>
        <w:jc w:val="both"/>
      </w:pPr>
      <w:r>
        <w:rPr>
          <w:rFonts w:eastAsia="宋体"/>
          <w:rFonts w:ascii="Times New Roman" w:hAnsi="Times New Roman"/>
          <w:b w:val="0"/>
          <w:i w:val="0"/>
          <w:sz w:val="22"/>
        </w:rPr>
        <w:t>本报告的范围严格限定于对米切尔研究所 2013 年至 2026 年 4 月期间公开活动的评估。在解释本报告的发现与判断时，必须充分考虑以下四项主要局限性（Limitations）：</w:t>
      </w:r>
    </w:p>
    <w:p>
      <w:pPr>
        <w:spacing w:before="0" w:after="80" w:lineRule="auto" w:line="324"/>
        <w:ind w:firstLine="0"/>
        <w:jc w:val="both"/>
      </w:pPr>
      <w:r>
        <w:rPr>
          <w:rFonts w:eastAsia="宋体"/>
          <w:rFonts w:ascii="Times New Roman" w:hAnsi="Times New Roman"/>
          <w:b/>
          <w:i w:val="0"/>
          <w:sz w:val="22"/>
        </w:rPr>
        <w:t>（L1）仅依赖公开来源（Reliance on OSINT Only）</w:t>
      </w:r>
    </w:p>
    <w:p>
      <w:pPr>
        <w:spacing w:before="0" w:after="80" w:lineRule="auto" w:line="324"/>
        <w:ind w:firstLine="0"/>
        <w:jc w:val="both"/>
      </w:pPr>
      <w:r>
        <w:rPr>
          <w:rFonts w:eastAsia="宋体"/>
          <w:rFonts w:ascii="Times New Roman" w:hAnsi="Times New Roman"/>
          <w:b w:val="0"/>
          <w:i w:val="0"/>
          <w:sz w:val="22"/>
        </w:rPr>
        <w:t>本研究完全基于公开可获取的信息（OSINT）进行。研究团队未寻求也未获取任何美国政府、军方或台湾地区防务部门的机密（Classified）或受控非密（CUI）信息。因此，本报告可能（may）无法揭示存在于保密渠道中的深层战略协同或非公开的资金流向。</w:t>
      </w:r>
    </w:p>
    <w:p>
      <w:pPr>
        <w:spacing w:before="0" w:after="80" w:lineRule="auto" w:line="324"/>
        <w:ind w:firstLine="0"/>
        <w:jc w:val="both"/>
      </w:pPr>
      <w:r>
        <w:rPr>
          <w:rFonts w:eastAsia="宋体"/>
          <w:rFonts w:ascii="Times New Roman" w:hAnsi="Times New Roman"/>
          <w:b/>
          <w:i w:val="0"/>
          <w:sz w:val="22"/>
        </w:rPr>
        <w:t>（L2）缺乏直接访谈（Lack of Direct Interviews）</w:t>
      </w:r>
    </w:p>
    <w:p>
      <w:pPr>
        <w:spacing w:before="0" w:after="80" w:lineRule="auto" w:line="324"/>
        <w:ind w:firstLine="0"/>
        <w:jc w:val="both"/>
      </w:pPr>
      <w:r>
        <w:rPr>
          <w:rFonts w:eastAsia="宋体"/>
          <w:rFonts w:ascii="Times New Roman" w:hAnsi="Times New Roman"/>
          <w:b w:val="0"/>
          <w:i w:val="0"/>
          <w:sz w:val="22"/>
        </w:rPr>
        <w:t>受限于研究设计与时间框架，本报告未对米切尔研究所的现任或前任领导层（如 David Deptula, J. Michael Dahm）、AFA 官员，或台湾地区 INDSR 的研究人员进行结构化访谈。报告中关于机构动机与内部决策过程的分析性判断，均是对其公开言论、出版物及行为轨迹的反向推演，可能无法完全反映其内部的真实战略考量。</w:t>
      </w:r>
    </w:p>
    <w:p>
      <w:pPr>
        <w:spacing w:before="0" w:after="80" w:lineRule="auto" w:line="324"/>
        <w:ind w:firstLine="0"/>
        <w:jc w:val="both"/>
      </w:pPr>
      <w:r>
        <w:rPr>
          <w:rFonts w:eastAsia="宋体"/>
          <w:rFonts w:ascii="Times New Roman" w:hAnsi="Times New Roman"/>
          <w:b/>
          <w:i w:val="0"/>
          <w:sz w:val="22"/>
        </w:rPr>
        <w:t>（L3）情报合作评估的保密壁垒（Secrecy Barriers in Intelligence Assessment）</w:t>
      </w:r>
    </w:p>
    <w:p>
      <w:pPr>
        <w:spacing w:before="0" w:after="80" w:lineRule="auto" w:line="324"/>
        <w:ind w:firstLine="0"/>
        <w:jc w:val="both"/>
      </w:pPr>
      <w:r>
        <w:rPr>
          <w:rFonts w:eastAsia="宋体"/>
          <w:rFonts w:ascii="Times New Roman" w:hAnsi="Times New Roman"/>
          <w:b w:val="0"/>
          <w:i w:val="0"/>
          <w:sz w:val="22"/>
        </w:rPr>
        <w:t>在评估米切尔研究所与台湾地区国家安全局（NSB）及军事情报局（MIB）的潜在联系时，研究面临极高的保密壁垒。台湾情报机构遵循严格的保密惯例，极少公开其与外国智库的互动细节</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2"/>
        </w:rPr>
        <w:t>。因此，本报告对 RQ2 的部分解答，高度依赖于对公开事件（如智库报告发布与官方声明的时间差）的模式识别（Pattern recognition），相关结论的置信度受到客观限制。</w:t>
      </w:r>
    </w:p>
    <w:p>
      <w:pPr>
        <w:spacing w:before="0" w:after="80" w:lineRule="auto" w:line="324"/>
        <w:ind w:firstLine="0"/>
        <w:jc w:val="both"/>
      </w:pPr>
      <w:r>
        <w:rPr>
          <w:rFonts w:eastAsia="宋体"/>
          <w:rFonts w:ascii="Times New Roman" w:hAnsi="Times New Roman"/>
          <w:b/>
          <w:i w:val="0"/>
          <w:sz w:val="22"/>
        </w:rPr>
        <w:t>（L4）方法论评估的逆向工程局限（Reverse-Engineering Constraints）</w:t>
      </w:r>
    </w:p>
    <w:p>
      <w:pPr>
        <w:spacing w:before="0" w:after="80" w:lineRule="auto" w:line="324"/>
        <w:ind w:firstLine="0"/>
        <w:jc w:val="both"/>
      </w:pPr>
      <w:r>
        <w:rPr>
          <w:rFonts w:eastAsia="宋体"/>
          <w:rFonts w:ascii="Times New Roman" w:hAnsi="Times New Roman"/>
          <w:b w:val="0"/>
          <w:i w:val="0"/>
          <w:sz w:val="22"/>
        </w:rPr>
        <w:t>关于《中国空军追踪器》（China Airpower Tracker），米切尔研究所并未完全公开其内部的数据清洗算法、图像识别模型及情报加工的标准操作程序（SOP）。本报告对该产品情报技艺（Tradecraft）的评估，是基于其公开发布的最终报告、播客访谈及分析师证词进行的逆向工程（Reverse-engineering）。这种评估可能（could）无法捕捉到其数据处理流水线中所有微观的技术细节与误差修正机制。</w:t>
      </w:r>
    </w:p>
    <w:p>
      <w:pPr>
        <w:spacing w:before="240" w:after="120" w:lineRule="auto" w:line="324"/>
        <w:jc w:val="both"/>
      </w:pPr>
      <w:r>
        <w:rPr>
          <w:rFonts w:eastAsia="黑体"/>
          <w:rFonts w:ascii="Arial" w:hAnsi="Arial"/>
          <w:b/>
          <w:i w:val="0"/>
          <w:color w:val="284682"/>
          <w:sz w:val="26"/>
        </w:rPr>
        <w:t>1.5 Report Organization</w:t>
      </w:r>
    </w:p>
    <w:p>
      <w:pPr>
        <w:spacing w:before="0" w:after="80" w:lineRule="auto" w:line="324"/>
        <w:ind w:firstLine="0"/>
        <w:jc w:val="both"/>
      </w:pPr>
      <w:r>
        <w:rPr>
          <w:rFonts w:eastAsia="宋体"/>
          <w:rFonts w:ascii="Times New Roman" w:hAnsi="Times New Roman"/>
          <w:b w:val="0"/>
          <w:i w:val="0"/>
          <w:sz w:val="22"/>
        </w:rPr>
        <w:t>本报告的其余部分结构如下（The remainder of this report is organized as follows）：</w:t>
      </w:r>
    </w:p>
    <w:p>
      <w:pPr>
        <w:spacing w:before="0" w:after="80" w:lineRule="auto" w:line="324"/>
        <w:ind w:firstLine="0"/>
        <w:jc w:val="both"/>
      </w:pPr>
      <w:r>
        <w:rPr>
          <w:rFonts w:eastAsia="宋体"/>
          <w:rFonts w:ascii="Times New Roman" w:hAnsi="Times New Roman"/>
          <w:b/>
          <w:i w:val="0"/>
          <w:sz w:val="22"/>
        </w:rPr>
        <w:t>Chapter 2</w:t>
      </w:r>
      <w:r>
        <w:rPr>
          <w:rFonts w:eastAsia="宋体"/>
          <w:rFonts w:ascii="Times New Roman" w:hAnsi="Times New Roman"/>
          <w:b w:val="0"/>
          <w:i w:val="0"/>
          <w:sz w:val="22"/>
        </w:rPr>
        <w:t xml:space="preserve"> 详细解答 RQ1，剖析米切尔研究所的组织架构、与 AFA 的法律及财务纽带，并深入评估军工复合体赞助对其战略生态位及政策倡导方向的实质性影响。</w:t>
      </w:r>
    </w:p>
    <w:p>
      <w:pPr>
        <w:spacing w:before="0" w:after="80" w:lineRule="auto" w:line="324"/>
        <w:ind w:firstLine="0"/>
        <w:jc w:val="both"/>
      </w:pPr>
      <w:r>
        <w:rPr>
          <w:rFonts w:eastAsia="宋体"/>
          <w:rFonts w:ascii="Times New Roman" w:hAnsi="Times New Roman"/>
          <w:b/>
          <w:i w:val="0"/>
          <w:sz w:val="22"/>
        </w:rPr>
        <w:t>Chapter 3</w:t>
      </w:r>
      <w:r>
        <w:rPr>
          <w:rFonts w:eastAsia="宋体"/>
          <w:rFonts w:ascii="Times New Roman" w:hAnsi="Times New Roman"/>
          <w:b w:val="0"/>
          <w:i w:val="0"/>
          <w:sz w:val="22"/>
        </w:rPr>
        <w:t xml:space="preserve"> 针对 RQ2，系统梳理该机构与台湾地区防务体系的互动网络。重点分析其与 INDSR 的二轨学术嵌合，以及其开源情报产出如何与台湾 NSB、MIB 的威胁认知产生跨洋联动。</w:t>
      </w:r>
    </w:p>
    <w:p>
      <w:pPr>
        <w:spacing w:before="0" w:after="80" w:lineRule="auto" w:line="324"/>
        <w:ind w:firstLine="0"/>
        <w:jc w:val="both"/>
      </w:pPr>
      <w:r>
        <w:rPr>
          <w:rFonts w:eastAsia="宋体"/>
          <w:rFonts w:ascii="Times New Roman" w:hAnsi="Times New Roman"/>
          <w:b/>
          <w:i w:val="0"/>
          <w:sz w:val="22"/>
        </w:rPr>
        <w:t>Chapter 4</w:t>
      </w:r>
      <w:r>
        <w:rPr>
          <w:rFonts w:eastAsia="宋体"/>
          <w:rFonts w:ascii="Times New Roman" w:hAnsi="Times New Roman"/>
          <w:b w:val="0"/>
          <w:i w:val="0"/>
          <w:sz w:val="22"/>
        </w:rPr>
        <w:t xml:space="preserve"> 回应 RQ3，深度解构《中国空军追踪器》的情报技艺。本章将详细描绘其多模态数据采集矩阵，评估其将物理设施变化转化为战术意图的分析方法论，并客观指出其存在的误差边界与确认偏误。</w:t>
      </w:r>
    </w:p>
    <w:p>
      <w:pPr>
        <w:spacing w:before="0" w:after="80" w:lineRule="auto" w:line="324"/>
        <w:ind w:firstLine="0"/>
        <w:jc w:val="both"/>
      </w:pPr>
      <w:r>
        <w:rPr>
          <w:rFonts w:eastAsia="宋体"/>
          <w:rFonts w:ascii="Times New Roman" w:hAnsi="Times New Roman"/>
          <w:b/>
          <w:i w:val="0"/>
          <w:sz w:val="22"/>
        </w:rPr>
        <w:t>Chapter 5</w:t>
      </w:r>
      <w:r>
        <w:rPr>
          <w:rFonts w:eastAsia="宋体"/>
          <w:rFonts w:ascii="Times New Roman" w:hAnsi="Times New Roman"/>
          <w:b w:val="0"/>
          <w:i w:val="0"/>
          <w:sz w:val="22"/>
        </w:rPr>
        <w:t xml:space="preserve"> 提供全篇的总结性战略评估，归纳米切尔研究所在印太安全架构中的实际效能，并提出针对性的政策启示。</w:t>
      </w:r>
    </w:p>
    <w:p>
      <w:pPr>
        <w:spacing w:before="0" w:after="80" w:lineRule="auto" w:line="324"/>
        <w:ind w:firstLine="0"/>
        <w:jc w:val="both"/>
      </w:pPr>
      <w:r>
        <w:rPr>
          <w:rFonts w:eastAsia="宋体"/>
          <w:rFonts w:ascii="Times New Roman" w:hAnsi="Times New Roman"/>
          <w:b w:val="0"/>
          <w:i w:val="0"/>
          <w:sz w:val="22"/>
        </w:rPr>
        <w:t>此外，</w:t>
      </w:r>
      <w:r>
        <w:rPr>
          <w:rFonts w:eastAsia="宋体"/>
          <w:rFonts w:ascii="Times New Roman" w:hAnsi="Times New Roman"/>
          <w:b/>
          <w:i w:val="0"/>
          <w:sz w:val="22"/>
        </w:rPr>
        <w:t>Appendix A</w:t>
      </w:r>
      <w:r>
        <w:rPr>
          <w:rFonts w:eastAsia="宋体"/>
          <w:rFonts w:ascii="Times New Roman" w:hAnsi="Times New Roman"/>
          <w:b w:val="0"/>
          <w:i w:val="0"/>
          <w:sz w:val="22"/>
        </w:rPr>
        <w:t xml:space="preserve"> 提供了本研究所使用的核心检索字符串与数据源清单；</w:t>
      </w:r>
      <w:r>
        <w:rPr>
          <w:rFonts w:eastAsia="宋体"/>
          <w:rFonts w:ascii="Times New Roman" w:hAnsi="Times New Roman"/>
          <w:b/>
          <w:i w:val="0"/>
          <w:sz w:val="22"/>
        </w:rPr>
        <w:t>Appendix B</w:t>
      </w:r>
      <w:r>
        <w:rPr>
          <w:rFonts w:eastAsia="宋体"/>
          <w:rFonts w:ascii="Times New Roman" w:hAnsi="Times New Roman"/>
          <w:b w:val="0"/>
          <w:i w:val="0"/>
          <w:sz w:val="22"/>
        </w:rPr>
        <w:t xml:space="preserve"> 收录了米切尔研究所近年发布的关键涉华/涉台政策文件时间线。</w:t>
      </w:r>
    </w:p>
    <w:p>
      <w:pPr>
        <w:spacing w:before="240" w:after="120" w:lineRule="auto" w:line="324"/>
        <w:jc w:val="both"/>
      </w:pPr>
      <w:r>
        <w:rPr>
          <w:rFonts w:eastAsia="黑体"/>
          <w:rFonts w:ascii="Arial" w:hAnsi="Arial"/>
          <w:b/>
          <w:i w:val="0"/>
          <w:color w:val="284682"/>
          <w:sz w:val="26"/>
        </w:rPr>
        <w:t>1.6 A Note on Terminology</w:t>
      </w:r>
    </w:p>
    <w:p>
      <w:pPr>
        <w:spacing w:before="0" w:after="80" w:lineRule="auto" w:line="324"/>
        <w:ind w:firstLine="0"/>
        <w:jc w:val="both"/>
      </w:pPr>
      <w:r>
        <w:rPr>
          <w:rFonts w:eastAsia="宋体"/>
          <w:rFonts w:ascii="Times New Roman" w:hAnsi="Times New Roman"/>
          <w:b w:val="0"/>
          <w:i w:val="0"/>
          <w:sz w:val="22"/>
        </w:rPr>
        <w:t>为确保学术严谨性与客观中立，本报告在术语使用上遵循以下规范：</w:t>
      </w:r>
    </w:p>
    <w:p>
      <w:pPr>
        <w:spacing w:before="0" w:after="80" w:lineRule="auto" w:line="324"/>
        <w:ind w:firstLine="0"/>
        <w:jc w:val="both"/>
      </w:pPr>
      <w:r>
        <w:rPr>
          <w:rFonts w:eastAsia="宋体"/>
          <w:rFonts w:ascii="Times New Roman" w:hAnsi="Times New Roman"/>
          <w:b w:val="0"/>
          <w:i w:val="0"/>
          <w:sz w:val="22"/>
        </w:rPr>
        <w:t>本报告使用“中国大陆”（Mainland China）与“台湾地区”（Taiwan region）等中性地理与政治表述，不代表任何政策倡导立场。在提及特定军事机构时，采用官方认可的英文简写，如使用“PLAAF”指代中国人民解放军空军（People's Liberation Army Air Force），使用“USAF”指代美国空军。行文中，“米切尔研究所”或“该机构”均特指 The Mitchell Institute for Aerospace Studies；“AFA”特指美国空军与太空军协会（Air &amp; Space Forces Association）。</w:t>
      </w:r>
    </w:p>
    <w:p>
      <w:pPr>
        <w:spacing w:before="160" w:after="80" w:lineRule="auto" w:line="324"/>
        <w:jc w:val="both"/>
        <w:shd w:val="clear" w:color="auto" w:fill="DDE6F2"/>
        <w:pBdr>
          <w:top w:val="single" w:sz="8" w:space="4" w:color="4F81BD"/>
          <w:left w:val="single" w:sz="8" w:space="4" w:color="4F81BD"/>
          <w:bottom w:val="single" w:sz="8" w:space="4" w:color="4F81BD"/>
          <w:right w:val="single" w:sz="8" w:space="4" w:color="4F81BD"/>
        </w:pBdr>
      </w:pPr>
      <w:r>
        <w:rPr>
          <w:rFonts w:eastAsia="黑体"/>
          <w:rFonts w:ascii="Arial" w:hAnsi="Arial"/>
          <w:b/>
          <w:i w:val="0"/>
          <w:color w:val="282850"/>
          <w:sz w:val="26"/>
        </w:rPr>
        <w:t>Key Findings of Chapter 1</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sz w:val="20"/>
        </w:rPr>
        <w:t xml:space="preserve">   </w:t>
      </w:r>
      <w:r>
        <w:rPr>
          <w:rFonts w:eastAsia="宋体"/>
          <w:rFonts w:ascii="Times New Roman" w:hAnsi="Times New Roman"/>
          <w:b w:val="0"/>
          <w:i/>
          <w:sz w:val="20"/>
        </w:rPr>
        <w:t>KF 1.1:</w:t>
      </w:r>
      <w:r>
        <w:rPr>
          <w:rFonts w:eastAsia="宋体"/>
          <w:rFonts w:ascii="Times New Roman" w:hAnsi="Times New Roman"/>
          <w:b w:val="0"/>
          <w:i w:val="0"/>
          <w:sz w:val="20"/>
        </w:rPr>
        <w:t>* 随着美国国防战略向大国竞争转型，米切尔研究所已确立其作为华盛顿唯一专注于航空航天力量的智库生态位，其核心议程与印太地区的“前沿威慑”需求深度绑定。</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sz w:val="20"/>
        </w:rPr>
        <w:t xml:space="preserve">   </w:t>
      </w:r>
      <w:r>
        <w:rPr>
          <w:rFonts w:eastAsia="宋体"/>
          <w:rFonts w:ascii="Times New Roman" w:hAnsi="Times New Roman"/>
          <w:b w:val="0"/>
          <w:i/>
          <w:sz w:val="20"/>
        </w:rPr>
        <w:t>KF 1.2:</w:t>
      </w:r>
      <w:r>
        <w:rPr>
          <w:rFonts w:eastAsia="宋体"/>
          <w:rFonts w:ascii="Times New Roman" w:hAnsi="Times New Roman"/>
          <w:b w:val="0"/>
          <w:i w:val="0"/>
          <w:sz w:val="20"/>
        </w:rPr>
        <w:t>* 本报告采用严格的混合方法论与三角验证机制，基于 54 次原生 API 检索获取的多源 OSINT 数据，确保了对米切尔研究所组织、资金及情报技艺评估的客观性。</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sz w:val="20"/>
        </w:rPr>
        <w:t xml:space="preserve">   </w:t>
      </w:r>
      <w:r>
        <w:rPr>
          <w:rFonts w:eastAsia="宋体"/>
          <w:rFonts w:ascii="Times New Roman" w:hAnsi="Times New Roman"/>
          <w:b w:val="0"/>
          <w:i/>
          <w:sz w:val="20"/>
        </w:rPr>
        <w:t>KF 1.3:</w:t>
      </w:r>
      <w:r>
        <w:rPr>
          <w:rFonts w:eastAsia="宋体"/>
          <w:rFonts w:ascii="Times New Roman" w:hAnsi="Times New Roman"/>
          <w:b w:val="0"/>
          <w:i w:val="0"/>
          <w:sz w:val="20"/>
        </w:rPr>
        <w:t>* 尽管研究受到缺乏机密信息及直接访谈的局限，但通过对公开行为模式的逆向工程，仍能以中高置信度揭示该机构与台湾地区防务体系的隐性互动逻辑及其开源情报产品的底层方法论。</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Chapter 2. The Mitchell Institute for Aerospace Studies: Organization, Funding, and Strategic Niche</w:t>
      </w:r>
    </w:p>
    <w:p>
      <w:pPr>
        <w:spacing w:before="240" w:after="120" w:lineRule="auto" w:line="324"/>
        <w:jc w:val="both"/>
      </w:pPr>
      <w:r>
        <w:rPr>
          <w:rFonts w:eastAsia="黑体"/>
          <w:rFonts w:ascii="Arial" w:hAnsi="Arial"/>
          <w:b/>
          <w:i w:val="0"/>
          <w:color w:val="284682"/>
          <w:sz w:val="26"/>
        </w:rPr>
        <w:t>2.1 Legal Status and Institutional Lineage</w:t>
      </w:r>
    </w:p>
    <w:p>
      <w:pPr>
        <w:spacing w:before="0" w:after="80" w:lineRule="auto" w:line="324"/>
        <w:ind w:firstLine="0"/>
        <w:jc w:val="both"/>
      </w:pPr>
      <w:r>
        <w:rPr>
          <w:rFonts w:eastAsia="宋体"/>
          <w:rFonts w:ascii="Times New Roman" w:hAnsi="Times New Roman"/>
          <w:b/>
          <w:i w:val="0"/>
          <w:sz w:val="22"/>
        </w:rPr>
        <w:t>基于证据的发现（Evidence-based finding）：</w:t>
      </w:r>
      <w:r>
        <w:rPr>
          <w:rFonts w:eastAsia="宋体"/>
          <w:rFonts w:ascii="Times New Roman" w:hAnsi="Times New Roman"/>
          <w:b w:val="0"/>
          <w:i w:val="0"/>
          <w:sz w:val="22"/>
        </w:rPr>
        <w:t xml:space="preserve"> 米切尔航空航天研究所（The Mitchell Institute for Aerospace Studies，以下简称“米切尔研究所”）并非独立的法人实体，而是作为美国空军与太空军协会（Air &amp; Space Forces Association, AFA）的下属核心智库与附属机构运行。在法律地位上，该机构共享 AFA 根据美国国内税收法第 501(c)(3) 条款注册的免税非营利组织地位，其财务与税务申报统一归口于 AFA 的雇主识别号码（EIN: 52-6043929）</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2"/>
        </w:rPr>
        <w:t>。该机构总部位于美国弗吉尼亚州阿灵顿（Arlington, VA），地理位置紧邻五角大楼与美国国防工业核心圈，这一区位优势为其参与国防政策游说提供了物理便利</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分析性判断（Analytic judgment）：</w:t>
      </w:r>
      <w:r>
        <w:rPr>
          <w:rFonts w:eastAsia="宋体"/>
          <w:rFonts w:ascii="Times New Roman" w:hAnsi="Times New Roman"/>
          <w:b w:val="0"/>
          <w:i w:val="0"/>
          <w:sz w:val="22"/>
        </w:rPr>
        <w:t xml:space="preserve"> 这种依附于大型军种协会的法律结构，为米切尔研究所提供了双重战略优势。一方面，501(c)(3) 地位使其能够合法接受企业、基金会及个人的免税捐赠，并在“公共教育”的法律掩护下，实质性地参与对国会山和五角大楼的政策倡导；另一方面，依托 AFA 庞大的会员基础（约 12 万名现役、退役军人及国防工业从业者），米切尔研究所的研究产出能够迅速转化为具有政治动员力的军种共识。</w:t>
      </w:r>
    </w:p>
    <w:p>
      <w:pPr>
        <w:spacing w:before="0" w:after="80" w:lineRule="auto" w:line="324"/>
        <w:ind w:firstLine="0"/>
        <w:jc w:val="both"/>
      </w:pPr>
      <w:r>
        <w:rPr>
          <w:rFonts w:eastAsia="宋体"/>
          <w:rFonts w:ascii="Times New Roman" w:hAnsi="Times New Roman"/>
          <w:b w:val="0"/>
          <w:i w:val="0"/>
          <w:sz w:val="22"/>
        </w:rPr>
        <w:t>在机构命名与意识形态根基方面，该机构以美国早期空中力量倡导者威廉·“比利”·米切尔（William "Billy" Mitchell）准将的名字命名。米切尔是“战略轰炸”与“独立空军”理论的奠基人。</w:t>
      </w:r>
      <w:r>
        <w:rPr>
          <w:rFonts w:eastAsia="宋体"/>
          <w:rFonts w:ascii="Times New Roman" w:hAnsi="Times New Roman"/>
          <w:b/>
          <w:i w:val="0"/>
          <w:sz w:val="22"/>
        </w:rPr>
        <w:t>分析性判断表明</w:t>
      </w:r>
      <w:r>
        <w:rPr>
          <w:rFonts w:eastAsia="宋体"/>
          <w:rFonts w:ascii="Times New Roman" w:hAnsi="Times New Roman"/>
          <w:b w:val="0"/>
          <w:i w:val="0"/>
          <w:sz w:val="22"/>
        </w:rPr>
        <w:t>，采用此命名释放了强烈的意识形态信号：即该机构坚信航空航天力量（Aerospace Power）是决定国家安全与大国竞争胜负的决定性力量。这种深植于机构基因中的“空天制胜论”，构成了其所有研究产出与政策建议的底层逻辑框架。</w:t>
      </w:r>
    </w:p>
    <w:p>
      <w:pPr>
        <w:spacing w:before="0" w:after="80" w:lineRule="auto" w:line="324"/>
        <w:ind w:firstLine="0"/>
        <w:jc w:val="both"/>
      </w:pPr>
      <w:r>
        <w:rPr>
          <w:rFonts w:eastAsia="宋体"/>
          <w:rFonts w:ascii="Times New Roman" w:hAnsi="Times New Roman"/>
          <w:b w:val="0"/>
          <w:i w:val="0"/>
          <w:sz w:val="22"/>
        </w:rPr>
        <w:t>从组织沿革来看，米切尔研究所成立于 2004 年，最初作为 AFA 内部的一个政策研究部门。2013 年，该机构进行了重大重组与更名，正式确立为“米切尔航空航天研究所”</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w:t>
      </w:r>
      <w:r>
        <w:rPr>
          <w:rFonts w:eastAsia="宋体"/>
          <w:rFonts w:ascii="Times New Roman" w:hAnsi="Times New Roman"/>
          <w:b/>
          <w:i w:val="0"/>
          <w:sz w:val="22"/>
        </w:rPr>
        <w:t>分析性判断认为</w:t>
      </w:r>
      <w:r>
        <w:rPr>
          <w:rFonts w:eastAsia="宋体"/>
          <w:rFonts w:ascii="Times New Roman" w:hAnsi="Times New Roman"/>
          <w:b w:val="0"/>
          <w:i w:val="0"/>
          <w:sz w:val="22"/>
        </w:rPr>
        <w:t>，这一战略转型的时间节点与美国国家安全战略从“全球反恐战争”（GWOT）向“大国竞争”（GPC）及“重返亚太”的转型高度契合。2013 年的重组标志着该机构从关注反叛乱作战（COIN）的战术支持，全面转向为美国空军在高端常规冲突（特别是印太战区）中的预算博弈提供理论弹药。</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eastAsia="宋体"/>
                <w:rFonts w:ascii="Times New Roman" w:hAnsi="Times New Roman"/>
                <w:b/>
                <w:i w:val="0"/>
                <w:sz w:val="20"/>
              </w:rPr>
              <w:t>注册维度</w:t>
            </w:r>
          </w:p>
        </w:tc>
        <w:tc>
          <w:tcPr>
            <w:tcW w:type="dxa" w:w="3135"/>
          </w:tcPr>
          <w:p>
            <w:r/>
            <w:r>
              <w:rPr>
                <w:rFonts w:eastAsia="宋体"/>
                <w:rFonts w:ascii="Times New Roman" w:hAnsi="Times New Roman"/>
                <w:b/>
                <w:i w:val="0"/>
                <w:sz w:val="20"/>
              </w:rPr>
              <w:t>详细信息</w:t>
            </w:r>
          </w:p>
        </w:tc>
        <w:tc>
          <w:tcPr>
            <w:tcW w:type="dxa" w:w="3135"/>
          </w:tcPr>
          <w:p>
            <w:r/>
            <w:r>
              <w:rPr>
                <w:rFonts w:eastAsia="宋体"/>
                <w:rFonts w:ascii="Times New Roman" w:hAnsi="Times New Roman"/>
                <w:b/>
                <w:i w:val="0"/>
                <w:sz w:val="20"/>
              </w:rPr>
              <w:t>资料来源</w:t>
            </w:r>
          </w:p>
        </w:tc>
      </w:tr>
      <w:tr>
        <w:tc>
          <w:tcPr>
            <w:tcW w:type="dxa" w:w="3135"/>
          </w:tcPr>
          <w:p>
            <w:r/>
            <w:r>
              <w:rPr>
                <w:rFonts w:eastAsia="宋体"/>
                <w:rFonts w:ascii="Times New Roman" w:hAnsi="Times New Roman"/>
                <w:b/>
                <w:i w:val="0"/>
                <w:sz w:val="20"/>
              </w:rPr>
              <w:t>机构全称</w:t>
            </w:r>
          </w:p>
        </w:tc>
        <w:tc>
          <w:tcPr>
            <w:tcW w:type="dxa" w:w="3135"/>
          </w:tcPr>
          <w:p>
            <w:r/>
            <w:r>
              <w:rPr>
                <w:rFonts w:eastAsia="宋体"/>
                <w:rFonts w:ascii="Times New Roman" w:hAnsi="Times New Roman"/>
                <w:b w:val="0"/>
                <w:i w:val="0"/>
                <w:sz w:val="20"/>
              </w:rPr>
              <w:t>The Mitchell Institute for Aerospace Studies</w:t>
            </w:r>
          </w:p>
        </w:tc>
        <w:tc>
          <w:tcPr>
            <w:tcW w:type="dxa" w:w="3135"/>
          </w:tcPr>
          <w:p>
            <w:r/>
            <w:r>
              <w:rPr>
                <w:rFonts w:eastAsia="宋体"/>
                <w:rFonts w:ascii="Times New Roman" w:hAnsi="Times New Roman"/>
                <w:b w:val="0"/>
                <w:i w:val="0"/>
                <w:sz w:val="20"/>
              </w:rPr>
              <w:t xml:space="preserve">机构官方网站 </w:t>
            </w:r>
            <w:r>
              <w:rPr>
                <w:rFonts w:eastAsia="宋体"/>
                <w:rFonts w:ascii="Times New Roman" w:hAnsi="Times New Roman"/>
                <w:b w:val="0"/>
                <w:i w:val="0"/>
                <w:color w:val="323296"/>
                <w:sz w:val="16"/>
                <w:vertAlign w:val="superscript"/>
              </w:rPr>
              <w:t>[1]</w:t>
            </w:r>
          </w:p>
        </w:tc>
      </w:tr>
      <w:tr>
        <w:tc>
          <w:tcPr>
            <w:tcW w:type="dxa" w:w="3135"/>
          </w:tcPr>
          <w:p>
            <w:r/>
            <w:r>
              <w:rPr>
                <w:rFonts w:eastAsia="宋体"/>
                <w:rFonts w:ascii="Times New Roman" w:hAnsi="Times New Roman"/>
                <w:b/>
                <w:i w:val="0"/>
                <w:sz w:val="20"/>
              </w:rPr>
              <w:t>母机构</w:t>
            </w:r>
          </w:p>
        </w:tc>
        <w:tc>
          <w:tcPr>
            <w:tcW w:type="dxa" w:w="3135"/>
          </w:tcPr>
          <w:p>
            <w:r/>
            <w:r>
              <w:rPr>
                <w:rFonts w:eastAsia="宋体"/>
                <w:rFonts w:ascii="Times New Roman" w:hAnsi="Times New Roman"/>
                <w:b w:val="0"/>
                <w:i w:val="0"/>
                <w:sz w:val="20"/>
              </w:rPr>
              <w:t>Air &amp; Space Forces Association (AFA)</w:t>
            </w:r>
          </w:p>
        </w:tc>
        <w:tc>
          <w:tcPr>
            <w:tcW w:type="dxa" w:w="3135"/>
          </w:tcPr>
          <w:p>
            <w:r/>
            <w:r>
              <w:rPr>
                <w:rFonts w:eastAsia="宋体"/>
                <w:rFonts w:ascii="Times New Roman" w:hAnsi="Times New Roman"/>
                <w:b w:val="0"/>
                <w:i w:val="0"/>
                <w:sz w:val="20"/>
              </w:rPr>
              <w:t xml:space="preserve">AFA 官方网站 </w:t>
            </w:r>
            <w:r>
              <w:rPr>
                <w:rFonts w:eastAsia="宋体"/>
                <w:rFonts w:ascii="Times New Roman" w:hAnsi="Times New Roman"/>
                <w:b w:val="0"/>
                <w:i w:val="0"/>
                <w:color w:val="323296"/>
                <w:sz w:val="16"/>
                <w:vertAlign w:val="superscript"/>
              </w:rPr>
              <w:t>[2]</w:t>
            </w:r>
          </w:p>
        </w:tc>
      </w:tr>
      <w:tr>
        <w:tc>
          <w:tcPr>
            <w:tcW w:type="dxa" w:w="3135"/>
          </w:tcPr>
          <w:p>
            <w:r/>
            <w:r>
              <w:rPr>
                <w:rFonts w:eastAsia="宋体"/>
                <w:rFonts w:ascii="Times New Roman" w:hAnsi="Times New Roman"/>
                <w:b/>
                <w:i w:val="0"/>
                <w:sz w:val="20"/>
              </w:rPr>
              <w:t>法律地位</w:t>
            </w:r>
          </w:p>
        </w:tc>
        <w:tc>
          <w:tcPr>
            <w:tcW w:type="dxa" w:w="3135"/>
          </w:tcPr>
          <w:p>
            <w:r/>
            <w:r>
              <w:rPr>
                <w:rFonts w:eastAsia="宋体"/>
                <w:rFonts w:ascii="Times New Roman" w:hAnsi="Times New Roman"/>
                <w:b w:val="0"/>
                <w:i w:val="0"/>
                <w:sz w:val="20"/>
              </w:rPr>
              <w:t>501(c)(3) 免税非营利组织（附属实体）</w:t>
            </w:r>
          </w:p>
        </w:tc>
        <w:tc>
          <w:tcPr>
            <w:tcW w:type="dxa" w:w="3135"/>
          </w:tcPr>
          <w:p>
            <w:r/>
            <w:r>
              <w:rPr>
                <w:rFonts w:eastAsia="宋体"/>
                <w:rFonts w:ascii="Times New Roman" w:hAnsi="Times New Roman"/>
                <w:b w:val="0"/>
                <w:i w:val="0"/>
                <w:sz w:val="20"/>
              </w:rPr>
              <w:t xml:space="preserve">IRS Form 990 / ProPublica </w:t>
            </w:r>
            <w:r>
              <w:rPr>
                <w:rFonts w:eastAsia="宋体"/>
                <w:rFonts w:ascii="Times New Roman" w:hAnsi="Times New Roman"/>
                <w:b w:val="0"/>
                <w:i w:val="0"/>
                <w:color w:val="323296"/>
                <w:sz w:val="16"/>
                <w:vertAlign w:val="superscript"/>
              </w:rPr>
              <w:t>[3]</w:t>
            </w:r>
          </w:p>
        </w:tc>
      </w:tr>
      <w:tr>
        <w:tc>
          <w:tcPr>
            <w:tcW w:type="dxa" w:w="3135"/>
          </w:tcPr>
          <w:p>
            <w:r/>
            <w:r>
              <w:rPr>
                <w:rFonts w:eastAsia="宋体"/>
                <w:rFonts w:ascii="Times New Roman" w:hAnsi="Times New Roman"/>
                <w:b/>
                <w:i w:val="0"/>
                <w:sz w:val="20"/>
              </w:rPr>
              <w:t>税务识别码 (EIN)</w:t>
            </w:r>
          </w:p>
        </w:tc>
        <w:tc>
          <w:tcPr>
            <w:tcW w:type="dxa" w:w="3135"/>
          </w:tcPr>
          <w:p>
            <w:r/>
            <w:r>
              <w:rPr>
                <w:rFonts w:eastAsia="宋体"/>
                <w:rFonts w:ascii="Times New Roman" w:hAnsi="Times New Roman"/>
                <w:b w:val="0"/>
                <w:i w:val="0"/>
                <w:sz w:val="20"/>
              </w:rPr>
              <w:t>52-6043929 (归口于 AFA)</w:t>
            </w:r>
          </w:p>
        </w:tc>
        <w:tc>
          <w:tcPr>
            <w:tcW w:type="dxa" w:w="3135"/>
          </w:tcPr>
          <w:p>
            <w:r/>
            <w:r>
              <w:rPr>
                <w:rFonts w:eastAsia="宋体"/>
                <w:rFonts w:ascii="Times New Roman" w:hAnsi="Times New Roman"/>
                <w:b w:val="0"/>
                <w:i w:val="0"/>
                <w:sz w:val="20"/>
              </w:rPr>
              <w:t xml:space="preserve">IRS Form 990 </w:t>
            </w:r>
            <w:r>
              <w:rPr>
                <w:rFonts w:eastAsia="宋体"/>
                <w:rFonts w:ascii="Times New Roman" w:hAnsi="Times New Roman"/>
                <w:b w:val="0"/>
                <w:i w:val="0"/>
                <w:color w:val="323296"/>
                <w:sz w:val="16"/>
                <w:vertAlign w:val="superscript"/>
              </w:rPr>
              <w:t>[3]</w:t>
            </w:r>
          </w:p>
        </w:tc>
      </w:tr>
      <w:tr>
        <w:tc>
          <w:tcPr>
            <w:tcW w:type="dxa" w:w="3135"/>
          </w:tcPr>
          <w:p>
            <w:r/>
            <w:r>
              <w:rPr>
                <w:rFonts w:eastAsia="宋体"/>
                <w:rFonts w:ascii="Times New Roman" w:hAnsi="Times New Roman"/>
                <w:b/>
                <w:i w:val="0"/>
                <w:sz w:val="20"/>
              </w:rPr>
              <w:t>总部地址</w:t>
            </w:r>
          </w:p>
        </w:tc>
        <w:tc>
          <w:tcPr>
            <w:tcW w:type="dxa" w:w="3135"/>
          </w:tcPr>
          <w:p>
            <w:r/>
            <w:r>
              <w:rPr>
                <w:rFonts w:eastAsia="宋体"/>
                <w:rFonts w:ascii="Times New Roman" w:hAnsi="Times New Roman"/>
                <w:b w:val="0"/>
                <w:i w:val="0"/>
                <w:sz w:val="20"/>
              </w:rPr>
              <w:t>1201 S. Joyce Street, Arlington, VA 22202</w:t>
            </w:r>
          </w:p>
        </w:tc>
        <w:tc>
          <w:tcPr>
            <w:tcW w:type="dxa" w:w="3135"/>
          </w:tcPr>
          <w:p>
            <w:r/>
            <w:r>
              <w:rPr>
                <w:rFonts w:eastAsia="宋体"/>
                <w:rFonts w:ascii="Times New Roman" w:hAnsi="Times New Roman"/>
                <w:b w:val="0"/>
                <w:i w:val="0"/>
                <w:sz w:val="20"/>
              </w:rPr>
              <w:t xml:space="preserve">机构官方网站 </w:t>
            </w:r>
            <w:r>
              <w:rPr>
                <w:rFonts w:eastAsia="宋体"/>
                <w:rFonts w:ascii="Times New Roman" w:hAnsi="Times New Roman"/>
                <w:b w:val="0"/>
                <w:i w:val="0"/>
                <w:color w:val="323296"/>
                <w:sz w:val="16"/>
                <w:vertAlign w:val="superscript"/>
              </w:rPr>
              <w:t>[1]</w:t>
            </w:r>
          </w:p>
        </w:tc>
      </w:tr>
      <w:tr>
        <w:tc>
          <w:tcPr>
            <w:tcW w:type="dxa" w:w="3135"/>
          </w:tcPr>
          <w:p>
            <w:r/>
            <w:r>
              <w:rPr>
                <w:rFonts w:eastAsia="宋体"/>
                <w:rFonts w:ascii="Times New Roman" w:hAnsi="Times New Roman"/>
                <w:b/>
                <w:i w:val="0"/>
                <w:sz w:val="20"/>
              </w:rPr>
              <w:t>成立与重组年份</w:t>
            </w:r>
          </w:p>
        </w:tc>
        <w:tc>
          <w:tcPr>
            <w:tcW w:type="dxa" w:w="3135"/>
          </w:tcPr>
          <w:p>
            <w:r/>
            <w:r>
              <w:rPr>
                <w:rFonts w:eastAsia="宋体"/>
                <w:rFonts w:ascii="Times New Roman" w:hAnsi="Times New Roman"/>
                <w:b w:val="0"/>
                <w:i w:val="0"/>
                <w:sz w:val="20"/>
              </w:rPr>
              <w:t>2004 年成立，2013 年重组更名</w:t>
            </w:r>
          </w:p>
        </w:tc>
        <w:tc>
          <w:tcPr>
            <w:tcW w:type="dxa" w:w="3135"/>
          </w:tcPr>
          <w:p>
            <w:r/>
            <w:r>
              <w:rPr>
                <w:rFonts w:eastAsia="宋体"/>
                <w:rFonts w:ascii="Times New Roman" w:hAnsi="Times New Roman"/>
                <w:b w:val="0"/>
                <w:i w:val="0"/>
                <w:sz w:val="20"/>
              </w:rPr>
              <w:t xml:space="preserve">机构历史档案 </w:t>
            </w:r>
            <w:r>
              <w:rPr>
                <w:rFonts w:eastAsia="宋体"/>
                <w:rFonts w:ascii="Times New Roman" w:hAnsi="Times New Roman"/>
                <w:b w:val="0"/>
                <w:i w:val="0"/>
                <w:color w:val="323296"/>
                <w:sz w:val="16"/>
                <w:vertAlign w:val="superscript"/>
              </w:rPr>
              <w:t>[4]</w:t>
            </w:r>
          </w:p>
        </w:tc>
      </w:tr>
      <w:tr>
        <w:tc>
          <w:tcPr>
            <w:tcW w:type="dxa" w:w="3135"/>
          </w:tcPr>
          <w:p>
            <w:r/>
            <w:r>
              <w:rPr>
                <w:rFonts w:eastAsia="宋体"/>
                <w:rFonts w:ascii="Times New Roman" w:hAnsi="Times New Roman"/>
                <w:b/>
                <w:i w:val="0"/>
                <w:sz w:val="20"/>
              </w:rPr>
              <w:t>核心使命</w:t>
            </w:r>
          </w:p>
        </w:tc>
        <w:tc>
          <w:tcPr>
            <w:tcW w:type="dxa" w:w="3135"/>
          </w:tcPr>
          <w:p>
            <w:r/>
            <w:r>
              <w:rPr>
                <w:rFonts w:eastAsia="宋体"/>
                <w:rFonts w:ascii="Times New Roman" w:hAnsi="Times New Roman"/>
                <w:b w:val="0"/>
                <w:i w:val="0"/>
                <w:sz w:val="20"/>
              </w:rPr>
              <w:t>Informing, Educating, Cultivating (信息赋能、公众教育、人才培养)</w:t>
            </w:r>
          </w:p>
        </w:tc>
        <w:tc>
          <w:tcPr>
            <w:tcW w:type="dxa" w:w="3135"/>
          </w:tcPr>
          <w:p>
            <w:r/>
            <w:r>
              <w:rPr>
                <w:rFonts w:eastAsia="宋体"/>
                <w:rFonts w:ascii="Times New Roman" w:hAnsi="Times New Roman"/>
                <w:b w:val="0"/>
                <w:i w:val="0"/>
                <w:sz w:val="20"/>
              </w:rPr>
              <w:t xml:space="preserve">机构官方网站 </w:t>
            </w:r>
            <w:r>
              <w:rPr>
                <w:rFonts w:eastAsia="宋体"/>
                <w:rFonts w:ascii="Times New Roman" w:hAnsi="Times New Roman"/>
                <w:b w:val="0"/>
                <w:i w:val="0"/>
                <w:color w:val="323296"/>
                <w:sz w:val="16"/>
                <w:vertAlign w:val="superscript"/>
              </w:rPr>
              <w:t>[1]</w:t>
            </w:r>
          </w:p>
        </w:tc>
      </w:tr>
    </w:tbl>
    <w:p/>
    <w:p>
      <w:pPr>
        <w:spacing w:before="0" w:after="80" w:lineRule="auto" w:line="324"/>
        <w:ind w:firstLine="0"/>
        <w:jc w:val="both"/>
      </w:pPr>
      <w:r>
        <w:rPr>
          <w:rFonts w:eastAsia="宋体"/>
          <w:rFonts w:ascii="Times New Roman" w:hAnsi="Times New Roman"/>
          <w:b w:val="0"/>
          <w:i w:val="0"/>
          <w:sz w:val="22"/>
        </w:rPr>
        <w:t>&lt;div align="center"&gt;Table 2.1 — 米切尔研究所基本注册信息表&lt;/div&gt;</w:t>
      </w:r>
    </w:p>
    <w:p>
      <w:pPr>
        <w:spacing w:before="0" w:after="80" w:lineRule="auto" w:line="324"/>
        <w:ind w:firstLine="0"/>
        <w:jc w:val="both"/>
      </w:pPr>
      <w:r>
        <w:rPr>
          <w:rFonts w:eastAsia="宋体"/>
          <w:rFonts w:ascii="Times New Roman" w:hAnsi="Times New Roman"/>
          <w:b w:val="0"/>
          <w:i w:val="0"/>
          <w:sz w:val="22"/>
        </w:rPr>
        <w:t>&lt;div align="center"&gt;SOURCE: RAND NSRD compilation based on IRS Form 990 and OSINT data.&lt;/div&gt;</w:t>
      </w:r>
    </w:p>
    <w:p>
      <w:pPr>
        <w:spacing w:before="240" w:after="120" w:lineRule="auto" w:line="324"/>
        <w:jc w:val="both"/>
      </w:pPr>
      <w:r>
        <w:rPr>
          <w:rFonts w:eastAsia="黑体"/>
          <w:rFonts w:ascii="Arial" w:hAnsi="Arial"/>
          <w:b/>
          <w:i w:val="0"/>
          <w:color w:val="284682"/>
          <w:sz w:val="26"/>
        </w:rPr>
        <w:t>2.2 Leadership and Research Personnel</w:t>
      </w:r>
    </w:p>
    <w:p>
      <w:pPr>
        <w:spacing w:before="0" w:after="80" w:lineRule="auto" w:line="324"/>
        <w:ind w:firstLine="0"/>
        <w:jc w:val="both"/>
      </w:pPr>
      <w:r>
        <w:rPr>
          <w:rFonts w:eastAsia="宋体"/>
          <w:rFonts w:ascii="Times New Roman" w:hAnsi="Times New Roman"/>
          <w:b/>
          <w:i w:val="0"/>
          <w:sz w:val="22"/>
        </w:rPr>
        <w:t>基于证据的发现：</w:t>
      </w:r>
      <w:r>
        <w:rPr>
          <w:rFonts w:eastAsia="宋体"/>
          <w:rFonts w:ascii="Times New Roman" w:hAnsi="Times New Roman"/>
          <w:b w:val="0"/>
          <w:i w:val="0"/>
          <w:sz w:val="22"/>
        </w:rPr>
        <w:t xml:space="preserve"> 米切尔研究所的领导层与核心研究员构成了一个典型的“退役将领 + 前线飞行员 + 情报分析师”的复合型矩阵。其核心人员普遍拥有美国空军（USAF）或美国海军（USN）的资深服役背景，且多人曾在五角大楼担任高级规划或情报职务</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2"/>
        </w:rPr>
        <w:t>。</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eastAsia="宋体"/>
                <w:rFonts w:ascii="Times New Roman" w:hAnsi="Times New Roman"/>
                <w:b/>
                <w:i w:val="0"/>
                <w:sz w:val="20"/>
              </w:rPr>
              <w:t>姓名</w:t>
            </w:r>
          </w:p>
        </w:tc>
        <w:tc>
          <w:tcPr>
            <w:tcW w:type="dxa" w:w="1568"/>
          </w:tcPr>
          <w:p>
            <w:r/>
            <w:r>
              <w:rPr>
                <w:rFonts w:eastAsia="宋体"/>
                <w:rFonts w:ascii="Times New Roman" w:hAnsi="Times New Roman"/>
                <w:b/>
                <w:i w:val="0"/>
                <w:sz w:val="20"/>
              </w:rPr>
              <w:t>职务</w:t>
            </w:r>
          </w:p>
        </w:tc>
        <w:tc>
          <w:tcPr>
            <w:tcW w:type="dxa" w:w="1568"/>
          </w:tcPr>
          <w:p>
            <w:r/>
            <w:r>
              <w:rPr>
                <w:rFonts w:eastAsia="宋体"/>
                <w:rFonts w:ascii="Times New Roman" w:hAnsi="Times New Roman"/>
                <w:b/>
                <w:i w:val="0"/>
                <w:sz w:val="20"/>
              </w:rPr>
              <w:t>军种背景</w:t>
            </w:r>
          </w:p>
        </w:tc>
        <w:tc>
          <w:tcPr>
            <w:tcW w:type="dxa" w:w="1568"/>
          </w:tcPr>
          <w:p>
            <w:r/>
            <w:r>
              <w:rPr>
                <w:rFonts w:eastAsia="宋体"/>
                <w:rFonts w:ascii="Times New Roman" w:hAnsi="Times New Roman"/>
                <w:b/>
                <w:i w:val="0"/>
                <w:sz w:val="20"/>
              </w:rPr>
              <w:t>关键履历</w:t>
            </w:r>
          </w:p>
        </w:tc>
        <w:tc>
          <w:tcPr>
            <w:tcW w:type="dxa" w:w="1568"/>
          </w:tcPr>
          <w:p>
            <w:r/>
            <w:r>
              <w:rPr>
                <w:rFonts w:eastAsia="宋体"/>
                <w:rFonts w:ascii="Times New Roman" w:hAnsi="Times New Roman"/>
                <w:b/>
                <w:i w:val="0"/>
                <w:sz w:val="20"/>
              </w:rPr>
              <w:t>研究专长</w:t>
            </w:r>
          </w:p>
        </w:tc>
        <w:tc>
          <w:tcPr>
            <w:tcW w:type="dxa" w:w="1568"/>
          </w:tcPr>
          <w:p>
            <w:r/>
            <w:r>
              <w:rPr>
                <w:rFonts w:eastAsia="宋体"/>
                <w:rFonts w:ascii="Times New Roman" w:hAnsi="Times New Roman"/>
                <w:b/>
                <w:i w:val="0"/>
                <w:sz w:val="20"/>
              </w:rPr>
              <w:t>来源</w:t>
            </w:r>
          </w:p>
        </w:tc>
      </w:tr>
      <w:tr>
        <w:tc>
          <w:tcPr>
            <w:tcW w:type="dxa" w:w="1568"/>
          </w:tcPr>
          <w:p>
            <w:r/>
            <w:r>
              <w:rPr>
                <w:rFonts w:eastAsia="宋体"/>
                <w:rFonts w:ascii="Times New Roman" w:hAnsi="Times New Roman"/>
                <w:b/>
                <w:i w:val="0"/>
                <w:sz w:val="20"/>
              </w:rPr>
              <w:t>David Deptula</w:t>
            </w:r>
          </w:p>
        </w:tc>
        <w:tc>
          <w:tcPr>
            <w:tcW w:type="dxa" w:w="1568"/>
          </w:tcPr>
          <w:p>
            <w:r/>
            <w:r>
              <w:rPr>
                <w:rFonts w:eastAsia="宋体"/>
                <w:rFonts w:ascii="Times New Roman" w:hAnsi="Times New Roman"/>
                <w:b w:val="0"/>
                <w:i w:val="0"/>
                <w:sz w:val="20"/>
              </w:rPr>
              <w:t>院长 (Dean)</w:t>
            </w:r>
          </w:p>
        </w:tc>
        <w:tc>
          <w:tcPr>
            <w:tcW w:type="dxa" w:w="1568"/>
          </w:tcPr>
          <w:p>
            <w:r/>
            <w:r>
              <w:rPr>
                <w:rFonts w:eastAsia="宋体"/>
                <w:rFonts w:ascii="Times New Roman" w:hAnsi="Times New Roman"/>
                <w:b w:val="0"/>
                <w:i w:val="0"/>
                <w:sz w:val="20"/>
              </w:rPr>
              <w:t>USAF (退役中将)</w:t>
            </w:r>
          </w:p>
        </w:tc>
        <w:tc>
          <w:tcPr>
            <w:tcW w:type="dxa" w:w="1568"/>
          </w:tcPr>
          <w:p>
            <w:r/>
            <w:r>
              <w:rPr>
                <w:rFonts w:eastAsia="宋体"/>
                <w:rFonts w:ascii="Times New Roman" w:hAnsi="Times New Roman"/>
                <w:b w:val="0"/>
                <w:i w:val="0"/>
                <w:sz w:val="20"/>
              </w:rPr>
              <w:t>前空军情报、监视和侦察(ISR)副参谋长；海湾战争空中战役核心规划者</w:t>
            </w:r>
          </w:p>
        </w:tc>
        <w:tc>
          <w:tcPr>
            <w:tcW w:type="dxa" w:w="1568"/>
          </w:tcPr>
          <w:p>
            <w:r/>
            <w:r>
              <w:rPr>
                <w:rFonts w:eastAsia="宋体"/>
                <w:rFonts w:ascii="Times New Roman" w:hAnsi="Times New Roman"/>
                <w:b w:val="0"/>
                <w:i w:val="0"/>
                <w:sz w:val="20"/>
              </w:rPr>
              <w:t>基于效果作战(EBO)、ISR架构、战略轰炸</w:t>
            </w:r>
          </w:p>
        </w:tc>
        <w:tc>
          <w:tcPr>
            <w:tcW w:type="dxa" w:w="1568"/>
          </w:tcPr>
          <w:p>
            <w:r/>
            <w:r>
              <w:rPr>
                <w:rFonts w:eastAsia="宋体"/>
                <w:rFonts w:ascii="Times New Roman" w:hAnsi="Times New Roman"/>
                <w:b w:val="0"/>
                <w:i w:val="0"/>
                <w:color w:val="323296"/>
                <w:sz w:val="16"/>
                <w:vertAlign w:val="superscript"/>
              </w:rPr>
              <w:t>[5]</w:t>
            </w:r>
            <w:r>
              <w:rPr>
                <w:rFonts w:eastAsia="宋体"/>
                <w:rFonts w:ascii="Times New Roman" w:hAnsi="Times New Roman"/>
                <w:b w:val="0"/>
                <w:i w:val="0"/>
                <w:color w:val="323296"/>
                <w:sz w:val="16"/>
                <w:vertAlign w:val="superscript"/>
              </w:rPr>
              <w:t>[6]</w:t>
            </w:r>
          </w:p>
        </w:tc>
      </w:tr>
      <w:tr>
        <w:tc>
          <w:tcPr>
            <w:tcW w:type="dxa" w:w="1568"/>
          </w:tcPr>
          <w:p>
            <w:r/>
            <w:r>
              <w:rPr>
                <w:rFonts w:eastAsia="宋体"/>
                <w:rFonts w:ascii="Times New Roman" w:hAnsi="Times New Roman"/>
                <w:b/>
                <w:i w:val="0"/>
                <w:sz w:val="20"/>
              </w:rPr>
              <w:t>Heather Penney</w:t>
            </w:r>
          </w:p>
        </w:tc>
        <w:tc>
          <w:tcPr>
            <w:tcW w:type="dxa" w:w="1568"/>
          </w:tcPr>
          <w:p>
            <w:r/>
            <w:r>
              <w:rPr>
                <w:rFonts w:eastAsia="宋体"/>
                <w:rFonts w:ascii="Times New Roman" w:hAnsi="Times New Roman"/>
                <w:b w:val="0"/>
                <w:i w:val="0"/>
                <w:sz w:val="20"/>
              </w:rPr>
              <w:t>高级常驻研究员</w:t>
            </w:r>
          </w:p>
        </w:tc>
        <w:tc>
          <w:tcPr>
            <w:tcW w:type="dxa" w:w="1568"/>
          </w:tcPr>
          <w:p>
            <w:r/>
            <w:r>
              <w:rPr>
                <w:rFonts w:eastAsia="宋体"/>
                <w:rFonts w:ascii="Times New Roman" w:hAnsi="Times New Roman"/>
                <w:b w:val="0"/>
                <w:i w:val="0"/>
                <w:sz w:val="20"/>
              </w:rPr>
              <w:t>USAF (前战斗机飞行员)</w:t>
            </w:r>
          </w:p>
        </w:tc>
        <w:tc>
          <w:tcPr>
            <w:tcW w:type="dxa" w:w="1568"/>
          </w:tcPr>
          <w:p>
            <w:r/>
            <w:r>
              <w:rPr>
                <w:rFonts w:eastAsia="宋体"/>
                <w:rFonts w:ascii="Times New Roman" w:hAnsi="Times New Roman"/>
                <w:b w:val="0"/>
                <w:i w:val="0"/>
                <w:sz w:val="20"/>
              </w:rPr>
              <w:t>9/11事件F-16拦截任务飞行员；《Aerospace Advantage》播客主持人</w:t>
            </w:r>
          </w:p>
        </w:tc>
        <w:tc>
          <w:tcPr>
            <w:tcW w:type="dxa" w:w="1568"/>
          </w:tcPr>
          <w:p>
            <w:r/>
            <w:r>
              <w:rPr>
                <w:rFonts w:eastAsia="宋体"/>
                <w:rFonts w:ascii="Times New Roman" w:hAnsi="Times New Roman"/>
                <w:b w:val="0"/>
                <w:i w:val="0"/>
                <w:sz w:val="20"/>
              </w:rPr>
              <w:t>战术航空、无人机自主性(CCA)、飞行员训练</w:t>
            </w:r>
          </w:p>
        </w:tc>
        <w:tc>
          <w:tcPr>
            <w:tcW w:type="dxa" w:w="1568"/>
          </w:tcPr>
          <w:p>
            <w:r/>
            <w:r>
              <w:rPr>
                <w:rFonts w:eastAsia="宋体"/>
                <w:rFonts w:ascii="Times New Roman" w:hAnsi="Times New Roman"/>
                <w:b w:val="0"/>
                <w:i w:val="0"/>
                <w:color w:val="323296"/>
                <w:sz w:val="16"/>
                <w:vertAlign w:val="superscript"/>
              </w:rPr>
              <w:t>[7]</w:t>
            </w:r>
          </w:p>
        </w:tc>
      </w:tr>
      <w:tr>
        <w:tc>
          <w:tcPr>
            <w:tcW w:type="dxa" w:w="1568"/>
          </w:tcPr>
          <w:p>
            <w:r/>
            <w:r>
              <w:rPr>
                <w:rFonts w:eastAsia="宋体"/>
                <w:rFonts w:ascii="Times New Roman" w:hAnsi="Times New Roman"/>
                <w:b/>
                <w:i w:val="0"/>
                <w:sz w:val="20"/>
              </w:rPr>
              <w:t>J. Michael Dahm</w:t>
            </w:r>
          </w:p>
        </w:tc>
        <w:tc>
          <w:tcPr>
            <w:tcW w:type="dxa" w:w="1568"/>
          </w:tcPr>
          <w:p>
            <w:r/>
            <w:r>
              <w:rPr>
                <w:rFonts w:eastAsia="宋体"/>
                <w:rFonts w:ascii="Times New Roman" w:hAnsi="Times New Roman"/>
                <w:b w:val="0"/>
                <w:i w:val="0"/>
                <w:sz w:val="20"/>
              </w:rPr>
              <w:t>高级研究员</w:t>
            </w:r>
          </w:p>
        </w:tc>
        <w:tc>
          <w:tcPr>
            <w:tcW w:type="dxa" w:w="1568"/>
          </w:tcPr>
          <w:p>
            <w:r/>
            <w:r>
              <w:rPr>
                <w:rFonts w:eastAsia="宋体"/>
                <w:rFonts w:ascii="Times New Roman" w:hAnsi="Times New Roman"/>
                <w:b w:val="0"/>
                <w:i w:val="0"/>
                <w:sz w:val="20"/>
              </w:rPr>
              <w:t>USN (前海军情报官)</w:t>
            </w:r>
          </w:p>
        </w:tc>
        <w:tc>
          <w:tcPr>
            <w:tcW w:type="dxa" w:w="1568"/>
          </w:tcPr>
          <w:p>
            <w:r/>
            <w:r>
              <w:rPr>
                <w:rFonts w:eastAsia="宋体"/>
                <w:rFonts w:ascii="Times New Roman" w:hAnsi="Times New Roman"/>
                <w:b w:val="0"/>
                <w:i w:val="0"/>
                <w:sz w:val="20"/>
              </w:rPr>
              <w:t>25年亚太军事情报经验；前驻华使馆助理海军武官</w:t>
            </w:r>
          </w:p>
        </w:tc>
        <w:tc>
          <w:tcPr>
            <w:tcW w:type="dxa" w:w="1568"/>
          </w:tcPr>
          <w:p>
            <w:r/>
            <w:r>
              <w:rPr>
                <w:rFonts w:eastAsia="宋体"/>
                <w:rFonts w:ascii="Times New Roman" w:hAnsi="Times New Roman"/>
                <w:b w:val="0"/>
                <w:i w:val="0"/>
                <w:sz w:val="20"/>
              </w:rPr>
              <w:t>开源情报(OSINT)、中国海空军力追踪、台海防务</w:t>
            </w:r>
          </w:p>
        </w:tc>
        <w:tc>
          <w:tcPr>
            <w:tcW w:type="dxa" w:w="1568"/>
          </w:tcPr>
          <w:p>
            <w:r/>
            <w:r>
              <w:rPr>
                <w:rFonts w:eastAsia="宋体"/>
                <w:rFonts w:ascii="Times New Roman" w:hAnsi="Times New Roman"/>
                <w:b w:val="0"/>
                <w:i w:val="0"/>
                <w:color w:val="323296"/>
                <w:sz w:val="16"/>
                <w:vertAlign w:val="superscript"/>
              </w:rPr>
              <w:t>[8]</w:t>
            </w:r>
          </w:p>
        </w:tc>
      </w:tr>
      <w:tr>
        <w:tc>
          <w:tcPr>
            <w:tcW w:type="dxa" w:w="1568"/>
          </w:tcPr>
          <w:p>
            <w:r/>
            <w:r>
              <w:rPr>
                <w:rFonts w:eastAsia="宋体"/>
                <w:rFonts w:ascii="Times New Roman" w:hAnsi="Times New Roman"/>
                <w:b/>
                <w:i w:val="0"/>
                <w:sz w:val="20"/>
              </w:rPr>
              <w:t>Mark Gunzinger</w:t>
            </w:r>
          </w:p>
        </w:tc>
        <w:tc>
          <w:tcPr>
            <w:tcW w:type="dxa" w:w="1568"/>
          </w:tcPr>
          <w:p>
            <w:r/>
            <w:r>
              <w:rPr>
                <w:rFonts w:eastAsia="宋体"/>
                <w:rFonts w:ascii="Times New Roman" w:hAnsi="Times New Roman"/>
                <w:b w:val="0"/>
                <w:i w:val="0"/>
                <w:sz w:val="20"/>
              </w:rPr>
              <w:t>未来概念总监</w:t>
            </w:r>
          </w:p>
        </w:tc>
        <w:tc>
          <w:tcPr>
            <w:tcW w:type="dxa" w:w="1568"/>
          </w:tcPr>
          <w:p>
            <w:r/>
            <w:r>
              <w:rPr>
                <w:rFonts w:eastAsia="宋体"/>
                <w:rFonts w:ascii="Times New Roman" w:hAnsi="Times New Roman"/>
                <w:b w:val="0"/>
                <w:i w:val="0"/>
                <w:sz w:val="20"/>
              </w:rPr>
              <w:t>USAF (退役上校)</w:t>
            </w:r>
          </w:p>
        </w:tc>
        <w:tc>
          <w:tcPr>
            <w:tcW w:type="dxa" w:w="1568"/>
          </w:tcPr>
          <w:p>
            <w:r/>
            <w:r>
              <w:rPr>
                <w:rFonts w:eastAsia="宋体"/>
                <w:rFonts w:ascii="Times New Roman" w:hAnsi="Times New Roman"/>
                <w:b w:val="0"/>
                <w:i w:val="0"/>
                <w:sz w:val="20"/>
              </w:rPr>
              <w:t>前国防部副助理部长(负责部队规划)</w:t>
            </w:r>
          </w:p>
        </w:tc>
        <w:tc>
          <w:tcPr>
            <w:tcW w:type="dxa" w:w="1568"/>
          </w:tcPr>
          <w:p>
            <w:r/>
            <w:r>
              <w:rPr>
                <w:rFonts w:eastAsia="宋体"/>
                <w:rFonts w:ascii="Times New Roman" w:hAnsi="Times New Roman"/>
                <w:b w:val="0"/>
                <w:i w:val="0"/>
                <w:sz w:val="20"/>
              </w:rPr>
              <w:t>兵力结构规划、远程穿透打击、B-21/NGAD倡导</w:t>
            </w:r>
          </w:p>
        </w:tc>
        <w:tc>
          <w:tcPr>
            <w:tcW w:type="dxa" w:w="1568"/>
          </w:tcPr>
          <w:p>
            <w:r/>
            <w:r>
              <w:rPr>
                <w:rFonts w:eastAsia="宋体"/>
                <w:rFonts w:ascii="Times New Roman" w:hAnsi="Times New Roman"/>
                <w:b w:val="0"/>
                <w:i w:val="0"/>
                <w:color w:val="323296"/>
                <w:sz w:val="16"/>
                <w:vertAlign w:val="superscript"/>
              </w:rPr>
              <w:t>[9]</w:t>
            </w:r>
          </w:p>
        </w:tc>
      </w:tr>
      <w:tr>
        <w:tc>
          <w:tcPr>
            <w:tcW w:type="dxa" w:w="1568"/>
          </w:tcPr>
          <w:p>
            <w:r/>
            <w:r>
              <w:rPr>
                <w:rFonts w:eastAsia="宋体"/>
                <w:rFonts w:ascii="Times New Roman" w:hAnsi="Times New Roman"/>
                <w:b/>
                <w:i w:val="0"/>
                <w:sz w:val="20"/>
              </w:rPr>
              <w:t>Larry Stutzriem</w:t>
            </w:r>
          </w:p>
        </w:tc>
        <w:tc>
          <w:tcPr>
            <w:tcW w:type="dxa" w:w="1568"/>
          </w:tcPr>
          <w:p>
            <w:r/>
            <w:r>
              <w:rPr>
                <w:rFonts w:eastAsia="宋体"/>
                <w:rFonts w:ascii="Times New Roman" w:hAnsi="Times New Roman"/>
                <w:b w:val="0"/>
                <w:i w:val="0"/>
                <w:sz w:val="20"/>
              </w:rPr>
              <w:t>研究总监</w:t>
            </w:r>
          </w:p>
        </w:tc>
        <w:tc>
          <w:tcPr>
            <w:tcW w:type="dxa" w:w="1568"/>
          </w:tcPr>
          <w:p>
            <w:r/>
            <w:r>
              <w:rPr>
                <w:rFonts w:eastAsia="宋体"/>
                <w:rFonts w:ascii="Times New Roman" w:hAnsi="Times New Roman"/>
                <w:b w:val="0"/>
                <w:i w:val="0"/>
                <w:sz w:val="20"/>
              </w:rPr>
              <w:t>USAF (退役少将)</w:t>
            </w:r>
          </w:p>
        </w:tc>
        <w:tc>
          <w:tcPr>
            <w:tcW w:type="dxa" w:w="1568"/>
          </w:tcPr>
          <w:p>
            <w:r/>
            <w:r>
              <w:rPr>
                <w:rFonts w:eastAsia="宋体"/>
                <w:rFonts w:ascii="Times New Roman" w:hAnsi="Times New Roman"/>
                <w:b w:val="0"/>
                <w:i w:val="0"/>
                <w:sz w:val="20"/>
              </w:rPr>
              <w:t>前北美防空司令部(NORAD)作战总监</w:t>
            </w:r>
          </w:p>
        </w:tc>
        <w:tc>
          <w:tcPr>
            <w:tcW w:type="dxa" w:w="1568"/>
          </w:tcPr>
          <w:p>
            <w:r/>
            <w:r>
              <w:rPr>
                <w:rFonts w:eastAsia="宋体"/>
                <w:rFonts w:ascii="Times New Roman" w:hAnsi="Times New Roman"/>
                <w:b w:val="0"/>
                <w:i w:val="0"/>
                <w:sz w:val="20"/>
              </w:rPr>
              <w:t>联合全域指挥控制(JADC2)、防空反导</w:t>
            </w:r>
          </w:p>
        </w:tc>
        <w:tc>
          <w:tcPr>
            <w:tcW w:type="dxa" w:w="1568"/>
          </w:tcPr>
          <w:p>
            <w:r/>
            <w:r>
              <w:rPr>
                <w:rFonts w:eastAsia="宋体"/>
                <w:rFonts w:ascii="Times New Roman" w:hAnsi="Times New Roman"/>
                <w:b w:val="0"/>
                <w:i w:val="0"/>
                <w:color w:val="323296"/>
                <w:sz w:val="16"/>
                <w:vertAlign w:val="superscript"/>
              </w:rPr>
              <w:t>[10]</w:t>
            </w:r>
          </w:p>
        </w:tc>
      </w:tr>
      <w:tr>
        <w:tc>
          <w:tcPr>
            <w:tcW w:type="dxa" w:w="1568"/>
          </w:tcPr>
          <w:p>
            <w:r/>
            <w:r>
              <w:rPr>
                <w:rFonts w:eastAsia="宋体"/>
                <w:rFonts w:ascii="Times New Roman" w:hAnsi="Times New Roman"/>
                <w:b/>
                <w:i w:val="0"/>
                <w:sz w:val="20"/>
              </w:rPr>
              <w:t>Douglas Birkey</w:t>
            </w:r>
          </w:p>
        </w:tc>
        <w:tc>
          <w:tcPr>
            <w:tcW w:type="dxa" w:w="1568"/>
          </w:tcPr>
          <w:p>
            <w:r/>
            <w:r>
              <w:rPr>
                <w:rFonts w:eastAsia="宋体"/>
                <w:rFonts w:ascii="Times New Roman" w:hAnsi="Times New Roman"/>
                <w:b w:val="0"/>
                <w:i w:val="0"/>
                <w:sz w:val="20"/>
              </w:rPr>
              <w:t>执行主任</w:t>
            </w:r>
          </w:p>
        </w:tc>
        <w:tc>
          <w:tcPr>
            <w:tcW w:type="dxa" w:w="1568"/>
          </w:tcPr>
          <w:p>
            <w:r/>
            <w:r>
              <w:rPr>
                <w:rFonts w:eastAsia="宋体"/>
                <w:rFonts w:ascii="Times New Roman" w:hAnsi="Times New Roman"/>
                <w:b w:val="0"/>
                <w:i w:val="0"/>
                <w:sz w:val="20"/>
              </w:rPr>
              <w:t>文职</w:t>
            </w:r>
          </w:p>
        </w:tc>
        <w:tc>
          <w:tcPr>
            <w:tcW w:type="dxa" w:w="1568"/>
          </w:tcPr>
          <w:p>
            <w:r/>
            <w:r>
              <w:rPr>
                <w:rFonts w:eastAsia="宋体"/>
                <w:rFonts w:ascii="Times New Roman" w:hAnsi="Times New Roman"/>
                <w:b w:val="0"/>
                <w:i w:val="0"/>
                <w:sz w:val="20"/>
              </w:rPr>
              <w:t>AFA资深政策分析师；播客执行制片人</w:t>
            </w:r>
          </w:p>
        </w:tc>
        <w:tc>
          <w:tcPr>
            <w:tcW w:type="dxa" w:w="1568"/>
          </w:tcPr>
          <w:p>
            <w:r/>
            <w:r>
              <w:rPr>
                <w:rFonts w:eastAsia="宋体"/>
                <w:rFonts w:ascii="Times New Roman" w:hAnsi="Times New Roman"/>
                <w:b w:val="0"/>
                <w:i w:val="0"/>
                <w:sz w:val="20"/>
              </w:rPr>
              <w:t>机构运营、预算分析、国会游说</w:t>
            </w:r>
          </w:p>
        </w:tc>
        <w:tc>
          <w:tcPr>
            <w:tcW w:type="dxa" w:w="1568"/>
          </w:tcPr>
          <w:p>
            <w:r/>
            <w:r>
              <w:rPr>
                <w:rFonts w:eastAsia="宋体"/>
                <w:rFonts w:ascii="Times New Roman" w:hAnsi="Times New Roman"/>
                <w:b w:val="0"/>
                <w:i w:val="0"/>
                <w:color w:val="323296"/>
                <w:sz w:val="16"/>
                <w:vertAlign w:val="superscript"/>
              </w:rPr>
              <w:t>[11]</w:t>
            </w:r>
          </w:p>
        </w:tc>
      </w:tr>
      <w:tr>
        <w:tc>
          <w:tcPr>
            <w:tcW w:type="dxa" w:w="1568"/>
          </w:tcPr>
          <w:p>
            <w:r/>
            <w:r>
              <w:rPr>
                <w:rFonts w:eastAsia="宋体"/>
                <w:rFonts w:ascii="Times New Roman" w:hAnsi="Times New Roman"/>
                <w:b/>
                <w:i w:val="0"/>
                <w:sz w:val="20"/>
              </w:rPr>
              <w:t>Kevin Chilton</w:t>
            </w:r>
          </w:p>
        </w:tc>
        <w:tc>
          <w:tcPr>
            <w:tcW w:type="dxa" w:w="1568"/>
          </w:tcPr>
          <w:p>
            <w:r/>
            <w:r>
              <w:rPr>
                <w:rFonts w:eastAsia="宋体"/>
                <w:rFonts w:ascii="Times New Roman" w:hAnsi="Times New Roman"/>
                <w:b w:val="0"/>
                <w:i w:val="0"/>
                <w:sz w:val="20"/>
              </w:rPr>
              <w:t>MI-SPACE 探索主席</w:t>
            </w:r>
          </w:p>
        </w:tc>
        <w:tc>
          <w:tcPr>
            <w:tcW w:type="dxa" w:w="1568"/>
          </w:tcPr>
          <w:p>
            <w:r/>
            <w:r>
              <w:rPr>
                <w:rFonts w:eastAsia="宋体"/>
                <w:rFonts w:ascii="Times New Roman" w:hAnsi="Times New Roman"/>
                <w:b w:val="0"/>
                <w:i w:val="0"/>
                <w:sz w:val="20"/>
              </w:rPr>
              <w:t>USAF (退役上将)</w:t>
            </w:r>
          </w:p>
        </w:tc>
        <w:tc>
          <w:tcPr>
            <w:tcW w:type="dxa" w:w="1568"/>
          </w:tcPr>
          <w:p>
            <w:r/>
            <w:r>
              <w:rPr>
                <w:rFonts w:eastAsia="宋体"/>
                <w:rFonts w:ascii="Times New Roman" w:hAnsi="Times New Roman"/>
                <w:b w:val="0"/>
                <w:i w:val="0"/>
                <w:sz w:val="20"/>
              </w:rPr>
              <w:t>前美国战略司令部(USSTRATCOM)司令；前NASA宇航员</w:t>
            </w:r>
          </w:p>
        </w:tc>
        <w:tc>
          <w:tcPr>
            <w:tcW w:type="dxa" w:w="1568"/>
          </w:tcPr>
          <w:p>
            <w:r/>
            <w:r>
              <w:rPr>
                <w:rFonts w:eastAsia="宋体"/>
                <w:rFonts w:ascii="Times New Roman" w:hAnsi="Times New Roman"/>
                <w:b w:val="0"/>
                <w:i w:val="0"/>
                <w:sz w:val="20"/>
              </w:rPr>
              <w:t>太空作战、核威慑、轨道攻防</w:t>
            </w:r>
          </w:p>
        </w:tc>
        <w:tc>
          <w:tcPr>
            <w:tcW w:type="dxa" w:w="1568"/>
          </w:tcPr>
          <w:p>
            <w:r/>
            <w:r>
              <w:rPr>
                <w:rFonts w:eastAsia="宋体"/>
                <w:rFonts w:ascii="Times New Roman" w:hAnsi="Times New Roman"/>
                <w:b w:val="0"/>
                <w:i w:val="0"/>
                <w:color w:val="323296"/>
                <w:sz w:val="16"/>
                <w:vertAlign w:val="superscript"/>
              </w:rPr>
              <w:t>[12]</w:t>
            </w:r>
          </w:p>
        </w:tc>
      </w:tr>
    </w:tbl>
    <w:p/>
    <w:p>
      <w:pPr>
        <w:spacing w:before="0" w:after="80" w:lineRule="auto" w:line="324"/>
        <w:ind w:firstLine="0"/>
        <w:jc w:val="both"/>
      </w:pPr>
      <w:r>
        <w:rPr>
          <w:rFonts w:eastAsia="宋体"/>
          <w:rFonts w:ascii="Times New Roman" w:hAnsi="Times New Roman"/>
          <w:b w:val="0"/>
          <w:i w:val="0"/>
          <w:sz w:val="22"/>
        </w:rPr>
        <w:t>&lt;div align="center"&gt;Table 2.2 — 米切尔研究所核心领导层与研究人员一览表&lt;/div&gt;</w:t>
      </w:r>
    </w:p>
    <w:p>
      <w:pPr>
        <w:spacing w:before="0" w:after="80" w:lineRule="auto" w:line="324"/>
        <w:ind w:firstLine="0"/>
        <w:jc w:val="both"/>
      </w:pPr>
      <w:r>
        <w:rPr>
          <w:rFonts w:eastAsia="宋体"/>
          <w:rFonts w:ascii="Times New Roman" w:hAnsi="Times New Roman"/>
          <w:b w:val="0"/>
          <w:i w:val="0"/>
          <w:sz w:val="22"/>
        </w:rPr>
        <w:t>&lt;div align="center"&gt;SOURCE: RAND NSRD compilation based on Mitchell Institute official biographies and LinkedIn profiles.&lt;/div&gt;</w:t>
      </w:r>
    </w:p>
    <w:p>
      <w:pPr>
        <w:spacing w:before="0" w:after="80" w:lineRule="auto" w:line="324"/>
        <w:ind w:firstLine="0"/>
        <w:jc w:val="both"/>
      </w:pPr>
      <w:r>
        <w:rPr>
          <w:rFonts w:eastAsia="宋体"/>
          <w:rFonts w:ascii="Times New Roman" w:hAnsi="Times New Roman"/>
          <w:b/>
          <w:i w:val="0"/>
          <w:sz w:val="22"/>
        </w:rPr>
        <w:t>分析性判断：</w:t>
      </w:r>
      <w:r>
        <w:rPr>
          <w:rFonts w:eastAsia="宋体"/>
          <w:rFonts w:ascii="Times New Roman" w:hAnsi="Times New Roman"/>
          <w:b w:val="0"/>
          <w:i w:val="0"/>
          <w:sz w:val="22"/>
        </w:rPr>
        <w:t xml:space="preserve"> 米切尔研究所的人事结构呈现出两个显著的战略特征。</w:t>
      </w:r>
    </w:p>
    <w:p>
      <w:pPr>
        <w:spacing w:before="0" w:after="80" w:lineRule="auto" w:line="324"/>
        <w:ind w:firstLine="0"/>
        <w:jc w:val="both"/>
      </w:pPr>
      <w:r>
        <w:rPr>
          <w:rFonts w:eastAsia="宋体"/>
          <w:rFonts w:ascii="Times New Roman" w:hAnsi="Times New Roman"/>
          <w:b w:val="0"/>
          <w:i w:val="0"/>
          <w:sz w:val="22"/>
        </w:rPr>
        <w:t>第一，</w:t>
      </w:r>
      <w:r>
        <w:rPr>
          <w:rFonts w:eastAsia="宋体"/>
          <w:rFonts w:ascii="Times New Roman" w:hAnsi="Times New Roman"/>
          <w:b/>
          <w:i w:val="0"/>
          <w:sz w:val="22"/>
        </w:rPr>
        <w:t>深度的“旋转门”（Revolving Door）特征</w:t>
      </w:r>
      <w:r>
        <w:rPr>
          <w:rFonts w:eastAsia="宋体"/>
          <w:rFonts w:ascii="Times New Roman" w:hAnsi="Times New Roman"/>
          <w:b w:val="0"/>
          <w:i w:val="0"/>
          <w:sz w:val="22"/>
        </w:rPr>
        <w:t>。该机构高层（如 Deptula, Gunzinger, Chilton）均带有浓厚的五角大楼高级决策圈背景。这种人事布局使其兼具高层政治人脉与一线作战经验，能够确保其研究议程与美国国防部当前的预算痛点（如空军机队老化、太空军军种独立性）精准对接。</w:t>
      </w:r>
    </w:p>
    <w:p>
      <w:pPr>
        <w:spacing w:before="0" w:after="80" w:lineRule="auto" w:line="324"/>
        <w:ind w:firstLine="0"/>
        <w:jc w:val="both"/>
      </w:pPr>
      <w:r>
        <w:rPr>
          <w:rFonts w:eastAsia="宋体"/>
          <w:rFonts w:ascii="Times New Roman" w:hAnsi="Times New Roman"/>
          <w:b w:val="0"/>
          <w:i w:val="0"/>
          <w:sz w:val="22"/>
        </w:rPr>
        <w:t>第二，</w:t>
      </w:r>
      <w:r>
        <w:rPr>
          <w:rFonts w:eastAsia="宋体"/>
          <w:rFonts w:ascii="Times New Roman" w:hAnsi="Times New Roman"/>
          <w:b/>
          <w:i w:val="0"/>
          <w:sz w:val="22"/>
        </w:rPr>
        <w:t>USAF/USN 情报背景的复合与互补</w:t>
      </w:r>
      <w:r>
        <w:rPr>
          <w:rFonts w:eastAsia="宋体"/>
          <w:rFonts w:ascii="Times New Roman" w:hAnsi="Times New Roman"/>
          <w:b w:val="0"/>
          <w:i w:val="0"/>
          <w:sz w:val="22"/>
        </w:rPr>
        <w:t>。院长 Deptula 拥有顶级的空军 ISR 统筹经验，而负责中国问题的高级研究员 Dahm 则带来了美国海军长达 25 年的印太战区情报分析技艺（Tradecraft）。这种跨军种的情报背景融合，使得米切尔研究所在处理开源情报（OSINT）时，能够跳出单一军种视角的局限，构建出更为严密的“全域威胁”分析框架（例如其旗舰产品《中国空军追踪器》对卫星图像的深度解析）。</w:t>
      </w:r>
    </w:p>
    <w:p>
      <w:pPr>
        <w:spacing w:before="240" w:after="120" w:lineRule="auto" w:line="324"/>
        <w:jc w:val="both"/>
      </w:pPr>
      <w:r>
        <w:rPr>
          <w:rFonts w:eastAsia="黑体"/>
          <w:rFonts w:ascii="Arial" w:hAnsi="Arial"/>
          <w:b/>
          <w:i w:val="0"/>
          <w:color w:val="284682"/>
          <w:sz w:val="26"/>
        </w:rPr>
        <w:t>2.3 Funding Structure and Conflict of Interest Concerns</w:t>
      </w:r>
    </w:p>
    <w:p>
      <w:pPr>
        <w:spacing w:before="0" w:after="80" w:lineRule="auto" w:line="324"/>
        <w:ind w:firstLine="0"/>
        <w:jc w:val="both"/>
      </w:pPr>
      <w:r>
        <w:rPr>
          <w:rFonts w:eastAsia="宋体"/>
          <w:rFonts w:ascii="Times New Roman" w:hAnsi="Times New Roman"/>
          <w:b/>
          <w:i w:val="0"/>
          <w:sz w:val="22"/>
        </w:rPr>
        <w:t>基于证据的发现：</w:t>
      </w:r>
      <w:r>
        <w:rPr>
          <w:rFonts w:eastAsia="宋体"/>
          <w:rFonts w:ascii="Times New Roman" w:hAnsi="Times New Roman"/>
          <w:b w:val="0"/>
          <w:i w:val="0"/>
          <w:sz w:val="22"/>
        </w:rPr>
        <w:t xml:space="preserve"> 米切尔研究所的资金运作模式呈现出高度多元化的特征。根据其母机构 AFA 的财务披露及公开合同数据，其资金来源主要分为四类：</w:t>
      </w:r>
    </w:p>
    <w:p>
      <w:pPr>
        <w:spacing w:before="0" w:after="40" w:lineRule="auto" w:line="324"/>
        <w:ind w:firstLine="170"/>
        <w:jc w:val="both"/>
      </w:pPr>
      <w:r>
        <w:rPr>
          <w:rFonts w:eastAsia="宋体"/>
          <w:rFonts w:ascii="Times New Roman" w:hAnsi="Times New Roman"/>
          <w:b w:val="0"/>
          <w:i w:val="0"/>
          <w:sz w:val="21"/>
        </w:rPr>
        <w:t xml:space="preserve">1. </w:t>
      </w:r>
      <w:r>
        <w:rPr>
          <w:rFonts w:eastAsia="宋体"/>
          <w:rFonts w:ascii="Times New Roman" w:hAnsi="Times New Roman"/>
          <w:b/>
          <w:i w:val="0"/>
          <w:sz w:val="21"/>
        </w:rPr>
        <w:t>政府拨款与合同采购</w:t>
      </w:r>
      <w:r>
        <w:rPr>
          <w:rFonts w:eastAsia="宋体"/>
          <w:rFonts w:ascii="Times New Roman" w:hAnsi="Times New Roman"/>
          <w:b w:val="0"/>
          <w:i w:val="0"/>
          <w:sz w:val="21"/>
        </w:rPr>
        <w:t>：包括来自美国国防部（DoD）、国防高级研究计划局（DARPA）、空军研究实验室（AFRL）以及国防部长办公厅净评估办公室（OSD ONA）的赠款。此外，该机构持有美国总务管理局（GSA Schedule）的采购合同，允许政府机构直接采购其咨询与兵推服务</w:t>
      </w:r>
      <w:r>
        <w:rPr>
          <w:rFonts w:eastAsia="宋体"/>
          <w:rFonts w:ascii="Times New Roman" w:hAnsi="Times New Roman"/>
          <w:b w:val="0"/>
          <w:i w:val="0"/>
          <w:color w:val="323296"/>
          <w:sz w:val="16"/>
          <w:vertAlign w:val="superscript"/>
        </w:rPr>
        <w:t>[13]</w:t>
      </w:r>
      <w:r>
        <w:rPr>
          <w:rFonts w:eastAsia="宋体"/>
          <w:rFonts w:ascii="Times New Roman" w:hAnsi="Times New Roman"/>
          <w:b w:val="0"/>
          <w:i w:val="0"/>
          <w:sz w:val="21"/>
        </w:rPr>
        <w:t>。</w:t>
      </w:r>
    </w:p>
    <w:p>
      <w:pPr>
        <w:spacing w:before="0" w:after="40" w:lineRule="auto" w:line="324"/>
        <w:ind w:firstLine="170"/>
        <w:jc w:val="both"/>
      </w:pPr>
      <w:r>
        <w:rPr>
          <w:rFonts w:eastAsia="宋体"/>
          <w:rFonts w:ascii="Times New Roman" w:hAnsi="Times New Roman"/>
          <w:b w:val="0"/>
          <w:i w:val="0"/>
          <w:sz w:val="21"/>
        </w:rPr>
        <w:t xml:space="preserve">2. </w:t>
      </w:r>
      <w:r>
        <w:rPr>
          <w:rFonts w:eastAsia="宋体"/>
          <w:rFonts w:ascii="Times New Roman" w:hAnsi="Times New Roman"/>
          <w:b/>
          <w:i w:val="0"/>
          <w:sz w:val="21"/>
        </w:rPr>
        <w:t>企业赞助</w:t>
      </w:r>
      <w:r>
        <w:rPr>
          <w:rFonts w:eastAsia="宋体"/>
          <w:rFonts w:ascii="Times New Roman" w:hAnsi="Times New Roman"/>
          <w:b w:val="0"/>
          <w:i w:val="0"/>
          <w:sz w:val="21"/>
        </w:rPr>
        <w:t>：其官网公开列出的企业赞助商几乎囊括了美国航空航天防务领域的全部巨头</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sz w:val="21"/>
        </w:rPr>
        <w:t>。</w:t>
      </w:r>
    </w:p>
    <w:p>
      <w:pPr>
        <w:spacing w:before="0" w:after="40" w:lineRule="auto" w:line="324"/>
        <w:ind w:firstLine="170"/>
        <w:jc w:val="both"/>
      </w:pPr>
      <w:r>
        <w:rPr>
          <w:rFonts w:eastAsia="宋体"/>
          <w:rFonts w:ascii="Times New Roman" w:hAnsi="Times New Roman"/>
          <w:b w:val="0"/>
          <w:i w:val="0"/>
          <w:sz w:val="21"/>
        </w:rPr>
        <w:t xml:space="preserve">3. </w:t>
      </w:r>
      <w:r>
        <w:rPr>
          <w:rFonts w:eastAsia="宋体"/>
          <w:rFonts w:ascii="Times New Roman" w:hAnsi="Times New Roman"/>
          <w:b/>
          <w:i w:val="0"/>
          <w:sz w:val="21"/>
        </w:rPr>
        <w:t>基金会捐助</w:t>
      </w:r>
      <w:r>
        <w:rPr>
          <w:rFonts w:eastAsia="宋体"/>
          <w:rFonts w:ascii="Times New Roman" w:hAnsi="Times New Roman"/>
          <w:b w:val="0"/>
          <w:i w:val="0"/>
          <w:sz w:val="21"/>
        </w:rPr>
        <w:t>：来自各类保守派或国防导向型私人基金会的定向捐赠。</w:t>
      </w:r>
    </w:p>
    <w:p>
      <w:pPr>
        <w:spacing w:before="0" w:after="40" w:lineRule="auto" w:line="324"/>
        <w:ind w:firstLine="170"/>
        <w:jc w:val="both"/>
      </w:pPr>
      <w:r>
        <w:rPr>
          <w:rFonts w:eastAsia="宋体"/>
          <w:rFonts w:ascii="Times New Roman" w:hAnsi="Times New Roman"/>
          <w:b w:val="0"/>
          <w:i w:val="0"/>
          <w:sz w:val="21"/>
        </w:rPr>
        <w:t xml:space="preserve">4. </w:t>
      </w:r>
      <w:r>
        <w:rPr>
          <w:rFonts w:eastAsia="宋体"/>
          <w:rFonts w:ascii="Times New Roman" w:hAnsi="Times New Roman"/>
          <w:b/>
          <w:i w:val="0"/>
          <w:sz w:val="21"/>
        </w:rPr>
        <w:t>个人捐赠</w:t>
      </w:r>
      <w:r>
        <w:rPr>
          <w:rFonts w:eastAsia="宋体"/>
          <w:rFonts w:ascii="Times New Roman" w:hAnsi="Times New Roman"/>
          <w:b w:val="0"/>
          <w:i w:val="0"/>
          <w:sz w:val="21"/>
        </w:rPr>
        <w:t>：来自高净值个人（如国防工业高管或退役将领）的免税捐赠。</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企业赞助商</w:t>
            </w:r>
          </w:p>
        </w:tc>
        <w:tc>
          <w:tcPr>
            <w:tcW w:type="dxa" w:w="2351"/>
          </w:tcPr>
          <w:p>
            <w:r/>
            <w:r>
              <w:rPr>
                <w:rFonts w:eastAsia="宋体"/>
                <w:rFonts w:ascii="Times New Roman" w:hAnsi="Times New Roman"/>
                <w:b/>
                <w:i w:val="0"/>
                <w:sz w:val="20"/>
              </w:rPr>
              <w:t>核心防务产品/领域</w:t>
            </w:r>
          </w:p>
        </w:tc>
        <w:tc>
          <w:tcPr>
            <w:tcW w:type="dxa" w:w="2351"/>
          </w:tcPr>
          <w:p>
            <w:r/>
            <w:r>
              <w:rPr>
                <w:rFonts w:eastAsia="宋体"/>
                <w:rFonts w:ascii="Times New Roman" w:hAnsi="Times New Roman"/>
                <w:b/>
                <w:i w:val="0"/>
                <w:sz w:val="20"/>
              </w:rPr>
              <w:t>米切尔研究所报告推荐采购的关联项目</w:t>
            </w:r>
          </w:p>
        </w:tc>
        <w:tc>
          <w:tcPr>
            <w:tcW w:type="dxa" w:w="2351"/>
          </w:tcPr>
          <w:p>
            <w:r/>
            <w:r>
              <w:rPr>
                <w:rFonts w:eastAsia="宋体"/>
                <w:rFonts w:ascii="Times New Roman" w:hAnsi="Times New Roman"/>
                <w:b/>
                <w:i w:val="0"/>
                <w:sz w:val="20"/>
              </w:rPr>
              <w:t>潜在利益契合点</w:t>
            </w:r>
          </w:p>
        </w:tc>
      </w:tr>
      <w:tr>
        <w:tc>
          <w:tcPr>
            <w:tcW w:type="dxa" w:w="2351"/>
          </w:tcPr>
          <w:p>
            <w:r/>
            <w:r>
              <w:rPr>
                <w:rFonts w:eastAsia="宋体"/>
                <w:rFonts w:ascii="Times New Roman" w:hAnsi="Times New Roman"/>
                <w:b/>
                <w:i w:val="0"/>
                <w:sz w:val="20"/>
              </w:rPr>
              <w:t>Boeing</w:t>
            </w:r>
          </w:p>
        </w:tc>
        <w:tc>
          <w:tcPr>
            <w:tcW w:type="dxa" w:w="2351"/>
          </w:tcPr>
          <w:p>
            <w:r/>
            <w:r>
              <w:rPr>
                <w:rFonts w:eastAsia="宋体"/>
                <w:rFonts w:ascii="Times New Roman" w:hAnsi="Times New Roman"/>
                <w:b w:val="0"/>
                <w:i w:val="0"/>
                <w:sz w:val="20"/>
              </w:rPr>
              <w:t>战术飞机、大型平台</w:t>
            </w:r>
          </w:p>
        </w:tc>
        <w:tc>
          <w:tcPr>
            <w:tcW w:type="dxa" w:w="2351"/>
          </w:tcPr>
          <w:p>
            <w:r/>
            <w:r>
              <w:rPr>
                <w:rFonts w:eastAsia="宋体"/>
                <w:rFonts w:ascii="Times New Roman" w:hAnsi="Times New Roman"/>
                <w:b w:val="0"/>
                <w:i w:val="0"/>
                <w:sz w:val="20"/>
              </w:rPr>
              <w:t>F-47 (第六代战机概念)、KC-46 加油机</w:t>
            </w:r>
          </w:p>
        </w:tc>
        <w:tc>
          <w:tcPr>
            <w:tcW w:type="dxa" w:w="2351"/>
          </w:tcPr>
          <w:p>
            <w:r/>
            <w:r>
              <w:rPr>
                <w:rFonts w:eastAsia="宋体"/>
                <w:rFonts w:ascii="Times New Roman" w:hAnsi="Times New Roman"/>
                <w:b w:val="0"/>
                <w:i w:val="0"/>
                <w:sz w:val="20"/>
              </w:rPr>
              <w:t>呼吁扩大战术机队规模，强调大载荷平台价值</w:t>
            </w:r>
          </w:p>
        </w:tc>
      </w:tr>
      <w:tr>
        <w:tc>
          <w:tcPr>
            <w:tcW w:type="dxa" w:w="2351"/>
          </w:tcPr>
          <w:p>
            <w:r/>
            <w:r>
              <w:rPr>
                <w:rFonts w:eastAsia="宋体"/>
                <w:rFonts w:ascii="Times New Roman" w:hAnsi="Times New Roman"/>
                <w:b/>
                <w:i w:val="0"/>
                <w:sz w:val="20"/>
              </w:rPr>
              <w:t>Northrop Grumman</w:t>
            </w:r>
          </w:p>
        </w:tc>
        <w:tc>
          <w:tcPr>
            <w:tcW w:type="dxa" w:w="2351"/>
          </w:tcPr>
          <w:p>
            <w:r/>
            <w:r>
              <w:rPr>
                <w:rFonts w:eastAsia="宋体"/>
                <w:rFonts w:ascii="Times New Roman" w:hAnsi="Times New Roman"/>
                <w:b w:val="0"/>
                <w:i w:val="0"/>
                <w:sz w:val="20"/>
              </w:rPr>
              <w:t>隐身轰炸机、太空系统</w:t>
            </w:r>
          </w:p>
        </w:tc>
        <w:tc>
          <w:tcPr>
            <w:tcW w:type="dxa" w:w="2351"/>
          </w:tcPr>
          <w:p>
            <w:r/>
            <w:r>
              <w:rPr>
                <w:rFonts w:eastAsia="宋体"/>
                <w:rFonts w:ascii="Times New Roman" w:hAnsi="Times New Roman"/>
                <w:b w:val="0"/>
                <w:i w:val="0"/>
                <w:sz w:val="20"/>
              </w:rPr>
              <w:t>B-21 Raider 隐身轰炸机、太空传感器</w:t>
            </w:r>
          </w:p>
        </w:tc>
        <w:tc>
          <w:tcPr>
            <w:tcW w:type="dxa" w:w="2351"/>
          </w:tcPr>
          <w:p>
            <w:r/>
            <w:r>
              <w:rPr>
                <w:rFonts w:eastAsia="宋体"/>
                <w:rFonts w:ascii="Times New Roman" w:hAnsi="Times New Roman"/>
                <w:b w:val="0"/>
                <w:i w:val="0"/>
                <w:sz w:val="20"/>
              </w:rPr>
              <w:t>强调远程穿透打击能力与“拒止庇护所”战略</w:t>
            </w:r>
          </w:p>
        </w:tc>
      </w:tr>
      <w:tr>
        <w:tc>
          <w:tcPr>
            <w:tcW w:type="dxa" w:w="2351"/>
          </w:tcPr>
          <w:p>
            <w:r/>
            <w:r>
              <w:rPr>
                <w:rFonts w:eastAsia="宋体"/>
                <w:rFonts w:ascii="Times New Roman" w:hAnsi="Times New Roman"/>
                <w:b/>
                <w:i w:val="0"/>
                <w:sz w:val="20"/>
              </w:rPr>
              <w:t>Lockheed Martin</w:t>
            </w:r>
          </w:p>
        </w:tc>
        <w:tc>
          <w:tcPr>
            <w:tcW w:type="dxa" w:w="2351"/>
          </w:tcPr>
          <w:p>
            <w:r/>
            <w:r>
              <w:rPr>
                <w:rFonts w:eastAsia="宋体"/>
                <w:rFonts w:ascii="Times New Roman" w:hAnsi="Times New Roman"/>
                <w:b w:val="0"/>
                <w:i w:val="0"/>
                <w:sz w:val="20"/>
              </w:rPr>
              <w:t>第五代战机、导弹</w:t>
            </w:r>
          </w:p>
        </w:tc>
        <w:tc>
          <w:tcPr>
            <w:tcW w:type="dxa" w:w="2351"/>
          </w:tcPr>
          <w:p>
            <w:r/>
            <w:r>
              <w:rPr>
                <w:rFonts w:eastAsia="宋体"/>
                <w:rFonts w:ascii="Times New Roman" w:hAnsi="Times New Roman"/>
                <w:b w:val="0"/>
                <w:i w:val="0"/>
                <w:sz w:val="20"/>
              </w:rPr>
              <w:t>F-35 闪电 II、JASSM-ER/LRASM</w:t>
            </w:r>
          </w:p>
        </w:tc>
        <w:tc>
          <w:tcPr>
            <w:tcW w:type="dxa" w:w="2351"/>
          </w:tcPr>
          <w:p>
            <w:r/>
            <w:r>
              <w:rPr>
                <w:rFonts w:eastAsia="宋体"/>
                <w:rFonts w:ascii="Times New Roman" w:hAnsi="Times New Roman"/>
                <w:b w:val="0"/>
                <w:i w:val="0"/>
                <w:sz w:val="20"/>
              </w:rPr>
              <w:t>主张加速淘汰传统战机，全面转向隐身机队</w:t>
            </w:r>
          </w:p>
        </w:tc>
      </w:tr>
      <w:tr>
        <w:tc>
          <w:tcPr>
            <w:tcW w:type="dxa" w:w="2351"/>
          </w:tcPr>
          <w:p>
            <w:r/>
            <w:r>
              <w:rPr>
                <w:rFonts w:eastAsia="宋体"/>
                <w:rFonts w:ascii="Times New Roman" w:hAnsi="Times New Roman"/>
                <w:b/>
                <w:i w:val="0"/>
                <w:sz w:val="20"/>
              </w:rPr>
              <w:t>General Atomics</w:t>
            </w:r>
          </w:p>
        </w:tc>
        <w:tc>
          <w:tcPr>
            <w:tcW w:type="dxa" w:w="2351"/>
          </w:tcPr>
          <w:p>
            <w:r/>
            <w:r>
              <w:rPr>
                <w:rFonts w:eastAsia="宋体"/>
                <w:rFonts w:ascii="Times New Roman" w:hAnsi="Times New Roman"/>
                <w:b w:val="0"/>
                <w:i w:val="0"/>
                <w:sz w:val="20"/>
              </w:rPr>
              <w:t>无人机系统</w:t>
            </w:r>
          </w:p>
        </w:tc>
        <w:tc>
          <w:tcPr>
            <w:tcW w:type="dxa" w:w="2351"/>
          </w:tcPr>
          <w:p>
            <w:r/>
            <w:r>
              <w:rPr>
                <w:rFonts w:eastAsia="宋体"/>
                <w:rFonts w:ascii="Times New Roman" w:hAnsi="Times New Roman"/>
                <w:b w:val="0"/>
                <w:i w:val="0"/>
                <w:sz w:val="20"/>
              </w:rPr>
              <w:t>协同作战飞机 (CCA)、MQ-9 升级</w:t>
            </w:r>
          </w:p>
        </w:tc>
        <w:tc>
          <w:tcPr>
            <w:tcW w:type="dxa" w:w="2351"/>
          </w:tcPr>
          <w:p>
            <w:r/>
            <w:r>
              <w:rPr>
                <w:rFonts w:eastAsia="宋体"/>
                <w:rFonts w:ascii="Times New Roman" w:hAnsi="Times New Roman"/>
                <w:b w:val="0"/>
                <w:i w:val="0"/>
                <w:sz w:val="20"/>
              </w:rPr>
              <w:t>倡导无人机自主性与“忠诚僚机”概念</w:t>
            </w:r>
          </w:p>
        </w:tc>
      </w:tr>
      <w:tr>
        <w:tc>
          <w:tcPr>
            <w:tcW w:type="dxa" w:w="2351"/>
          </w:tcPr>
          <w:p>
            <w:r/>
            <w:r>
              <w:rPr>
                <w:rFonts w:eastAsia="宋体"/>
                <w:rFonts w:ascii="Times New Roman" w:hAnsi="Times New Roman"/>
                <w:b/>
                <w:i w:val="0"/>
                <w:sz w:val="20"/>
              </w:rPr>
              <w:t>L3Harris</w:t>
            </w:r>
          </w:p>
        </w:tc>
        <w:tc>
          <w:tcPr>
            <w:tcW w:type="dxa" w:w="2351"/>
          </w:tcPr>
          <w:p>
            <w:r/>
            <w:r>
              <w:rPr>
                <w:rFonts w:eastAsia="宋体"/>
                <w:rFonts w:ascii="Times New Roman" w:hAnsi="Times New Roman"/>
                <w:b w:val="0"/>
                <w:i w:val="0"/>
                <w:sz w:val="20"/>
              </w:rPr>
              <w:t>电子战、通信网络</w:t>
            </w:r>
          </w:p>
        </w:tc>
        <w:tc>
          <w:tcPr>
            <w:tcW w:type="dxa" w:w="2351"/>
          </w:tcPr>
          <w:p>
            <w:r/>
            <w:r>
              <w:rPr>
                <w:rFonts w:eastAsia="宋体"/>
                <w:rFonts w:ascii="Times New Roman" w:hAnsi="Times New Roman"/>
                <w:b w:val="0"/>
                <w:i w:val="0"/>
                <w:sz w:val="20"/>
              </w:rPr>
              <w:t>ISR 吊舱、JADC2 通信节点</w:t>
            </w:r>
          </w:p>
        </w:tc>
        <w:tc>
          <w:tcPr>
            <w:tcW w:type="dxa" w:w="2351"/>
          </w:tcPr>
          <w:p>
            <w:r/>
            <w:r>
              <w:rPr>
                <w:rFonts w:eastAsia="宋体"/>
                <w:rFonts w:ascii="Times New Roman" w:hAnsi="Times New Roman"/>
                <w:b w:val="0"/>
                <w:i w:val="0"/>
                <w:sz w:val="20"/>
              </w:rPr>
              <w:t>强调电磁频谱战与分布式指挥控制</w:t>
            </w:r>
          </w:p>
        </w:tc>
      </w:tr>
      <w:tr>
        <w:tc>
          <w:tcPr>
            <w:tcW w:type="dxa" w:w="2351"/>
          </w:tcPr>
          <w:p>
            <w:r/>
            <w:r>
              <w:rPr>
                <w:rFonts w:eastAsia="宋体"/>
                <w:rFonts w:ascii="Times New Roman" w:hAnsi="Times New Roman"/>
                <w:b/>
                <w:i w:val="0"/>
                <w:sz w:val="20"/>
              </w:rPr>
              <w:t>Pratt &amp; Whitney</w:t>
            </w:r>
          </w:p>
        </w:tc>
        <w:tc>
          <w:tcPr>
            <w:tcW w:type="dxa" w:w="2351"/>
          </w:tcPr>
          <w:p>
            <w:r/>
            <w:r>
              <w:rPr>
                <w:rFonts w:eastAsia="宋体"/>
                <w:rFonts w:ascii="Times New Roman" w:hAnsi="Times New Roman"/>
                <w:b w:val="0"/>
                <w:i w:val="0"/>
                <w:sz w:val="20"/>
              </w:rPr>
              <w:t>航空发动机</w:t>
            </w:r>
          </w:p>
        </w:tc>
        <w:tc>
          <w:tcPr>
            <w:tcW w:type="dxa" w:w="2351"/>
          </w:tcPr>
          <w:p>
            <w:r/>
            <w:r>
              <w:rPr>
                <w:rFonts w:eastAsia="宋体"/>
                <w:rFonts w:ascii="Times New Roman" w:hAnsi="Times New Roman"/>
                <w:b w:val="0"/>
                <w:i w:val="0"/>
                <w:sz w:val="20"/>
              </w:rPr>
              <w:t>F135 发动机升级、B-21 动力系统</w:t>
            </w:r>
          </w:p>
        </w:tc>
        <w:tc>
          <w:tcPr>
            <w:tcW w:type="dxa" w:w="2351"/>
          </w:tcPr>
          <w:p>
            <w:r/>
            <w:r>
              <w:rPr>
                <w:rFonts w:eastAsia="宋体"/>
                <w:rFonts w:ascii="Times New Roman" w:hAnsi="Times New Roman"/>
                <w:b w:val="0"/>
                <w:i w:val="0"/>
                <w:sz w:val="20"/>
              </w:rPr>
              <w:t>呼吁增加发动机维护与下一代自适应推进预算</w:t>
            </w:r>
          </w:p>
        </w:tc>
      </w:tr>
      <w:tr>
        <w:tc>
          <w:tcPr>
            <w:tcW w:type="dxa" w:w="2351"/>
          </w:tcPr>
          <w:p>
            <w:r/>
            <w:r>
              <w:rPr>
                <w:rFonts w:eastAsia="宋体"/>
                <w:rFonts w:ascii="Times New Roman" w:hAnsi="Times New Roman"/>
                <w:b/>
                <w:i w:val="0"/>
                <w:sz w:val="20"/>
              </w:rPr>
              <w:t>BAE Systems</w:t>
            </w:r>
          </w:p>
        </w:tc>
        <w:tc>
          <w:tcPr>
            <w:tcW w:type="dxa" w:w="2351"/>
          </w:tcPr>
          <w:p>
            <w:r/>
            <w:r>
              <w:rPr>
                <w:rFonts w:eastAsia="宋体"/>
                <w:rFonts w:ascii="Times New Roman" w:hAnsi="Times New Roman"/>
                <w:b w:val="0"/>
                <w:i w:val="0"/>
                <w:sz w:val="20"/>
              </w:rPr>
              <w:t>航电系统、电子战</w:t>
            </w:r>
          </w:p>
        </w:tc>
        <w:tc>
          <w:tcPr>
            <w:tcW w:type="dxa" w:w="2351"/>
          </w:tcPr>
          <w:p>
            <w:r/>
            <w:r>
              <w:rPr>
                <w:rFonts w:eastAsia="宋体"/>
                <w:rFonts w:ascii="Times New Roman" w:hAnsi="Times New Roman"/>
                <w:b w:val="0"/>
                <w:i w:val="0"/>
                <w:sz w:val="20"/>
              </w:rPr>
              <w:t>B-21 电子战套件、F-35 升级</w:t>
            </w:r>
          </w:p>
        </w:tc>
        <w:tc>
          <w:tcPr>
            <w:tcW w:type="dxa" w:w="2351"/>
          </w:tcPr>
          <w:p>
            <w:r/>
            <w:r>
              <w:rPr>
                <w:rFonts w:eastAsia="宋体"/>
                <w:rFonts w:ascii="Times New Roman" w:hAnsi="Times New Roman"/>
                <w:b w:val="0"/>
                <w:i w:val="0"/>
                <w:sz w:val="20"/>
              </w:rPr>
              <w:t>强调在强对抗环境下的电子生存能力</w:t>
            </w:r>
          </w:p>
        </w:tc>
      </w:tr>
      <w:tr>
        <w:tc>
          <w:tcPr>
            <w:tcW w:type="dxa" w:w="2351"/>
          </w:tcPr>
          <w:p>
            <w:r/>
            <w:r>
              <w:rPr>
                <w:rFonts w:eastAsia="宋体"/>
                <w:rFonts w:ascii="Times New Roman" w:hAnsi="Times New Roman"/>
                <w:b/>
                <w:i w:val="0"/>
                <w:sz w:val="20"/>
              </w:rPr>
              <w:t>SpaceX / Starshield</w:t>
            </w:r>
          </w:p>
        </w:tc>
        <w:tc>
          <w:tcPr>
            <w:tcW w:type="dxa" w:w="2351"/>
          </w:tcPr>
          <w:p>
            <w:r/>
            <w:r>
              <w:rPr>
                <w:rFonts w:eastAsia="宋体"/>
                <w:rFonts w:ascii="Times New Roman" w:hAnsi="Times New Roman"/>
                <w:b w:val="0"/>
                <w:i w:val="0"/>
                <w:sz w:val="20"/>
              </w:rPr>
              <w:t>商业航天、军用星座</w:t>
            </w:r>
          </w:p>
        </w:tc>
        <w:tc>
          <w:tcPr>
            <w:tcW w:type="dxa" w:w="2351"/>
          </w:tcPr>
          <w:p>
            <w:r/>
            <w:r>
              <w:rPr>
                <w:rFonts w:eastAsia="宋体"/>
                <w:rFonts w:ascii="Times New Roman" w:hAnsi="Times New Roman"/>
                <w:b w:val="0"/>
                <w:i w:val="0"/>
                <w:sz w:val="20"/>
              </w:rPr>
              <w:t>军用低轨通信星座、快速太空发射</w:t>
            </w:r>
          </w:p>
        </w:tc>
        <w:tc>
          <w:tcPr>
            <w:tcW w:type="dxa" w:w="2351"/>
          </w:tcPr>
          <w:p>
            <w:r/>
            <w:r>
              <w:rPr>
                <w:rFonts w:eastAsia="宋体"/>
                <w:rFonts w:ascii="Times New Roman" w:hAnsi="Times New Roman"/>
                <w:b w:val="0"/>
                <w:i w:val="0"/>
                <w:sz w:val="20"/>
              </w:rPr>
              <w:t>倡导利用商业航天能力增强太空架构韧性</w:t>
            </w:r>
          </w:p>
        </w:tc>
      </w:tr>
    </w:tbl>
    <w:p/>
    <w:p>
      <w:pPr>
        <w:spacing w:before="0" w:after="80" w:lineRule="auto" w:line="324"/>
        <w:ind w:firstLine="0"/>
        <w:jc w:val="both"/>
      </w:pPr>
      <w:r>
        <w:rPr>
          <w:rFonts w:eastAsia="宋体"/>
          <w:rFonts w:ascii="Times New Roman" w:hAnsi="Times New Roman"/>
          <w:b w:val="0"/>
          <w:i w:val="0"/>
          <w:sz w:val="22"/>
        </w:rPr>
        <w:t>&lt;div align="center"&gt;Table 2.3 — 已披露主要企业赞助商及其与米切尔报告推荐采购的关联&lt;/div&gt;</w:t>
      </w:r>
    </w:p>
    <w:p>
      <w:pPr>
        <w:spacing w:before="0" w:after="80" w:lineRule="auto" w:line="324"/>
        <w:ind w:firstLine="0"/>
        <w:jc w:val="both"/>
      </w:pPr>
      <w:r>
        <w:rPr>
          <w:rFonts w:eastAsia="宋体"/>
          <w:rFonts w:ascii="Times New Roman" w:hAnsi="Times New Roman"/>
          <w:b w:val="0"/>
          <w:i w:val="0"/>
          <w:sz w:val="22"/>
        </w:rPr>
        <w:t xml:space="preserve">&lt;div align="center"&gt;SOURCE: RAND NSRD analysis based on Mitchell Institute Corporate Sponsors list and published Policy Papers </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color w:val="323296"/>
          <w:sz w:val="16"/>
          <w:vertAlign w:val="superscript"/>
        </w:rPr>
        <w:t>[15]</w:t>
      </w:r>
      <w:r>
        <w:rPr>
          <w:rFonts w:eastAsia="宋体"/>
          <w:rFonts w:ascii="Times New Roman" w:hAnsi="Times New Roman"/>
          <w:b w:val="0"/>
          <w:i w:val="0"/>
          <w:sz w:val="22"/>
        </w:rPr>
        <w:t>.&lt;/div&gt;</w:t>
      </w:r>
    </w:p>
    <w:p>
      <w:pPr>
        <w:spacing w:before="0" w:after="80" w:lineRule="auto" w:line="324"/>
        <w:ind w:firstLine="0"/>
        <w:jc w:val="both"/>
      </w:pPr>
      <w:r>
        <w:rPr>
          <w:rFonts w:eastAsia="宋体"/>
          <w:rFonts w:ascii="Times New Roman" w:hAnsi="Times New Roman"/>
          <w:b/>
          <w:i w:val="0"/>
          <w:sz w:val="22"/>
        </w:rPr>
        <w:t>基于证据的发现：</w:t>
      </w:r>
      <w:r>
        <w:rPr>
          <w:rFonts w:eastAsia="宋体"/>
          <w:rFonts w:ascii="Times New Roman" w:hAnsi="Times New Roman"/>
          <w:b w:val="0"/>
          <w:i w:val="0"/>
          <w:sz w:val="22"/>
        </w:rPr>
        <w:t xml:space="preserve"> 这种资金结构引发了外部独立监督机构的关注。美国智库昆西国家事务研究所（Quincy Institute for Responsible Statecraft）曾发文指出，米切尔研究所发布的政策文件经常呼吁空军大量采购其金主生产的武器系统。例如，该机构曾强烈呼吁空军增购数百架战机和 B-21 轰炸机，而这些平台的总承包商或核心子系统供应商正是其主要资金赞助方</w:t>
      </w:r>
      <w:r>
        <w:rPr>
          <w:rFonts w:eastAsia="宋体"/>
          <w:rFonts w:ascii="Times New Roman" w:hAnsi="Times New Roman"/>
          <w:b w:val="0"/>
          <w:i w:val="0"/>
          <w:color w:val="323296"/>
          <w:sz w:val="16"/>
          <w:vertAlign w:val="superscript"/>
        </w:rPr>
        <w:t>[16]</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分析性判断：</w:t>
      </w:r>
      <w:r>
        <w:rPr>
          <w:rFonts w:eastAsia="宋体"/>
          <w:rFonts w:ascii="Times New Roman" w:hAnsi="Times New Roman"/>
          <w:b w:val="0"/>
          <w:i w:val="0"/>
          <w:sz w:val="22"/>
        </w:rPr>
        <w:t xml:space="preserve"> 从客观分析的角度来看，米切尔研究所的资金结构可能在智库生态中产生结构性的利益冲突（Structural Conflict of Interest）。尽管该机构声明其研究保持独立性，但资金来源的集中度似乎表明，其研究议程与美国军工复合体（Military-Industrial Complex）的商业利益存在高度的战略契合。这种资金模式可能促使该机构在威胁评估中采取“最坏情况假设”（Worst-case scenario），从而为扩大特定武器平台的采办预算提供学术与政策背书。</w:t>
      </w:r>
    </w:p>
    <w:p>
      <w:pPr>
        <w:spacing w:before="240" w:after="120" w:lineRule="auto" w:line="324"/>
        <w:jc w:val="both"/>
      </w:pPr>
      <w:r>
        <w:rPr>
          <w:rFonts w:eastAsia="黑体"/>
          <w:rFonts w:ascii="Arial" w:hAnsi="Arial"/>
          <w:b/>
          <w:i w:val="0"/>
          <w:color w:val="284682"/>
          <w:sz w:val="26"/>
        </w:rPr>
        <w:t>2.4 Subsidiary Centers and Research Products</w:t>
      </w:r>
    </w:p>
    <w:p>
      <w:pPr>
        <w:spacing w:before="0" w:after="80" w:lineRule="auto" w:line="324"/>
        <w:ind w:firstLine="0"/>
        <w:jc w:val="both"/>
      </w:pPr>
      <w:r>
        <w:rPr>
          <w:rFonts w:eastAsia="宋体"/>
          <w:rFonts w:ascii="Times New Roman" w:hAnsi="Times New Roman"/>
          <w:b/>
          <w:i w:val="0"/>
          <w:sz w:val="22"/>
        </w:rPr>
        <w:t>基于证据的发现：</w:t>
      </w:r>
      <w:r>
        <w:rPr>
          <w:rFonts w:eastAsia="宋体"/>
          <w:rFonts w:ascii="Times New Roman" w:hAnsi="Times New Roman"/>
          <w:b w:val="0"/>
          <w:i w:val="0"/>
          <w:sz w:val="22"/>
        </w:rPr>
        <w:t xml:space="preserve"> 为应对多域战（MDO）时代的复杂需求，米切尔研究所近年来进行了内部组织架构的细分，设立了多个专业化研究中心：</w:t>
      </w:r>
    </w:p>
    <w:p>
      <w:pPr>
        <w:spacing w:before="0" w:after="40" w:lineRule="auto" w:line="324"/>
        <w:ind w:firstLine="170"/>
        <w:jc w:val="both"/>
      </w:pPr>
      <w:r>
        <w:rPr>
          <w:rFonts w:eastAsia="宋体"/>
          <w:rFonts w:ascii="Times New Roman" w:hAnsi="Times New Roman"/>
          <w:b w:val="0"/>
          <w:i w:val="0"/>
          <w:sz w:val="21"/>
        </w:rPr>
        <w:t xml:space="preserve">1. </w:t>
      </w:r>
      <w:r>
        <w:rPr>
          <w:rFonts w:eastAsia="宋体"/>
          <w:rFonts w:ascii="Times New Roman" w:hAnsi="Times New Roman"/>
          <w:b/>
          <w:i w:val="0"/>
          <w:sz w:val="21"/>
        </w:rPr>
        <w:t>MI-SPACE（太空力量优势卓越中心）</w:t>
      </w:r>
      <w:r>
        <w:rPr>
          <w:rFonts w:eastAsia="宋体"/>
          <w:rFonts w:ascii="Times New Roman" w:hAnsi="Times New Roman"/>
          <w:b w:val="0"/>
          <w:i w:val="0"/>
          <w:sz w:val="21"/>
        </w:rPr>
        <w:t>：由退役上将 Kevin Chilton 主导，现任主任为退役太空军上校 Charles Galbreath。该中心专注于为美国太空军（USSF）和太空司令部（USSPACECOM）提供政策支持，定期举办“史里弗太空力量系列论坛”</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1"/>
        </w:rPr>
        <w:t>。</w:t>
      </w:r>
    </w:p>
    <w:p>
      <w:pPr>
        <w:spacing w:before="0" w:after="40" w:lineRule="auto" w:line="324"/>
        <w:ind w:firstLine="170"/>
        <w:jc w:val="both"/>
      </w:pPr>
      <w:r>
        <w:rPr>
          <w:rFonts w:eastAsia="宋体"/>
          <w:rFonts w:ascii="Times New Roman" w:hAnsi="Times New Roman"/>
          <w:b w:val="0"/>
          <w:i w:val="0"/>
          <w:sz w:val="21"/>
        </w:rPr>
        <w:t xml:space="preserve">2. </w:t>
      </w:r>
      <w:r>
        <w:rPr>
          <w:rFonts w:eastAsia="宋体"/>
          <w:rFonts w:ascii="Times New Roman" w:hAnsi="Times New Roman"/>
          <w:b/>
          <w:i w:val="0"/>
          <w:sz w:val="21"/>
        </w:rPr>
        <w:t>MI-UAS（无人机与自主系统中心）</w:t>
      </w:r>
      <w:r>
        <w:rPr>
          <w:rFonts w:eastAsia="宋体"/>
          <w:rFonts w:ascii="Times New Roman" w:hAnsi="Times New Roman"/>
          <w:b w:val="0"/>
          <w:i w:val="0"/>
          <w:sz w:val="21"/>
        </w:rPr>
        <w:t>：成立于 2022 年 5 月，由 Caitlin Lee 博士领导。该中心的核心研究焦点是如何在与中国的潜在冲突中，利用无人机蜂群和自主协同平台（ACP/CCA）突破反介入/区域拒止（A2/AD）网络</w:t>
      </w:r>
      <w:r>
        <w:rPr>
          <w:rFonts w:eastAsia="宋体"/>
          <w:rFonts w:ascii="Times New Roman" w:hAnsi="Times New Roman"/>
          <w:b w:val="0"/>
          <w:i w:val="0"/>
          <w:color w:val="323296"/>
          <w:sz w:val="16"/>
          <w:vertAlign w:val="superscript"/>
        </w:rPr>
        <w:t>[18]</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val="0"/>
          <w:i w:val="0"/>
          <w:sz w:val="22"/>
        </w:rPr>
        <w:t>在研究产出方面，米切尔研究所构建了一个涵盖深度研究、快速响应与多媒体传播的复合型产品矩阵。</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产出类型</w:t>
            </w:r>
          </w:p>
        </w:tc>
        <w:tc>
          <w:tcPr>
            <w:tcW w:type="dxa" w:w="2351"/>
          </w:tcPr>
          <w:p>
            <w:r/>
            <w:r>
              <w:rPr>
                <w:rFonts w:eastAsia="宋体"/>
                <w:rFonts w:ascii="Times New Roman" w:hAnsi="Times New Roman"/>
                <w:b/>
                <w:i w:val="0"/>
                <w:sz w:val="20"/>
              </w:rPr>
              <w:t>形式与特征</w:t>
            </w:r>
          </w:p>
        </w:tc>
        <w:tc>
          <w:tcPr>
            <w:tcW w:type="dxa" w:w="2351"/>
          </w:tcPr>
          <w:p>
            <w:r/>
            <w:r>
              <w:rPr>
                <w:rFonts w:eastAsia="宋体"/>
                <w:rFonts w:ascii="Times New Roman" w:hAnsi="Times New Roman"/>
                <w:b/>
                <w:i w:val="0"/>
                <w:sz w:val="20"/>
              </w:rPr>
              <w:t>核心受众</w:t>
            </w:r>
          </w:p>
        </w:tc>
        <w:tc>
          <w:tcPr>
            <w:tcW w:type="dxa" w:w="2351"/>
          </w:tcPr>
          <w:p>
            <w:r/>
            <w:r>
              <w:rPr>
                <w:rFonts w:eastAsia="宋体"/>
                <w:rFonts w:ascii="Times New Roman" w:hAnsi="Times New Roman"/>
                <w:b/>
                <w:i w:val="0"/>
                <w:sz w:val="20"/>
              </w:rPr>
              <w:t>估计年度产量</w:t>
            </w:r>
          </w:p>
        </w:tc>
      </w:tr>
      <w:tr>
        <w:tc>
          <w:tcPr>
            <w:tcW w:type="dxa" w:w="2351"/>
          </w:tcPr>
          <w:p>
            <w:r/>
            <w:r>
              <w:rPr>
                <w:rFonts w:eastAsia="宋体"/>
                <w:rFonts w:ascii="Times New Roman" w:hAnsi="Times New Roman"/>
                <w:b/>
                <w:i w:val="0"/>
                <w:sz w:val="20"/>
              </w:rPr>
              <w:t>Policy Papers</w:t>
            </w:r>
          </w:p>
        </w:tc>
        <w:tc>
          <w:tcPr>
            <w:tcW w:type="dxa" w:w="2351"/>
          </w:tcPr>
          <w:p>
            <w:r/>
            <w:r>
              <w:rPr>
                <w:rFonts w:eastAsia="宋体"/>
                <w:rFonts w:ascii="Times New Roman" w:hAnsi="Times New Roman"/>
                <w:b w:val="0"/>
                <w:i w:val="0"/>
                <w:sz w:val="20"/>
              </w:rPr>
              <w:t>深度政策文件（30-50页），包含详细的兵力结构分析与采办建议</w:t>
            </w:r>
          </w:p>
        </w:tc>
        <w:tc>
          <w:tcPr>
            <w:tcW w:type="dxa" w:w="2351"/>
          </w:tcPr>
          <w:p>
            <w:r/>
            <w:r>
              <w:rPr>
                <w:rFonts w:eastAsia="宋体"/>
                <w:rFonts w:ascii="Times New Roman" w:hAnsi="Times New Roman"/>
                <w:b w:val="0"/>
                <w:i w:val="0"/>
                <w:sz w:val="20"/>
              </w:rPr>
              <w:t>国会议员、DoD 高级文官、军种参谋部</w:t>
            </w:r>
          </w:p>
        </w:tc>
        <w:tc>
          <w:tcPr>
            <w:tcW w:type="dxa" w:w="2351"/>
          </w:tcPr>
          <w:p>
            <w:r/>
            <w:r>
              <w:rPr>
                <w:rFonts w:eastAsia="宋体"/>
                <w:rFonts w:ascii="Times New Roman" w:hAnsi="Times New Roman"/>
                <w:b w:val="0"/>
                <w:i w:val="0"/>
                <w:sz w:val="20"/>
              </w:rPr>
              <w:t>8 - 12 份</w:t>
            </w:r>
          </w:p>
        </w:tc>
      </w:tr>
      <w:tr>
        <w:tc>
          <w:tcPr>
            <w:tcW w:type="dxa" w:w="2351"/>
          </w:tcPr>
          <w:p>
            <w:r/>
            <w:r>
              <w:rPr>
                <w:rFonts w:eastAsia="宋体"/>
                <w:rFonts w:ascii="Times New Roman" w:hAnsi="Times New Roman"/>
                <w:b/>
                <w:i w:val="0"/>
                <w:sz w:val="20"/>
              </w:rPr>
              <w:t>Forum Papers</w:t>
            </w:r>
          </w:p>
        </w:tc>
        <w:tc>
          <w:tcPr>
            <w:tcW w:type="dxa" w:w="2351"/>
          </w:tcPr>
          <w:p>
            <w:r/>
            <w:r>
              <w:rPr>
                <w:rFonts w:eastAsia="宋体"/>
                <w:rFonts w:ascii="Times New Roman" w:hAnsi="Times New Roman"/>
                <w:b w:val="0"/>
                <w:i w:val="0"/>
                <w:sz w:val="20"/>
              </w:rPr>
              <w:t>短篇幅概念文件（10-15页），聚焦特定战术威胁或创新作战概念</w:t>
            </w:r>
          </w:p>
        </w:tc>
        <w:tc>
          <w:tcPr>
            <w:tcW w:type="dxa" w:w="2351"/>
          </w:tcPr>
          <w:p>
            <w:r/>
            <w:r>
              <w:rPr>
                <w:rFonts w:eastAsia="宋体"/>
                <w:rFonts w:ascii="Times New Roman" w:hAnsi="Times New Roman"/>
                <w:b w:val="0"/>
                <w:i w:val="0"/>
                <w:sz w:val="20"/>
              </w:rPr>
              <w:t>军方规划人员、防务工业界、学术界</w:t>
            </w:r>
          </w:p>
        </w:tc>
        <w:tc>
          <w:tcPr>
            <w:tcW w:type="dxa" w:w="2351"/>
          </w:tcPr>
          <w:p>
            <w:r/>
            <w:r>
              <w:rPr>
                <w:rFonts w:eastAsia="宋体"/>
                <w:rFonts w:ascii="Times New Roman" w:hAnsi="Times New Roman"/>
                <w:b w:val="0"/>
                <w:i w:val="0"/>
                <w:sz w:val="20"/>
              </w:rPr>
              <w:t>15 - 20 份</w:t>
            </w:r>
          </w:p>
        </w:tc>
      </w:tr>
      <w:tr>
        <w:tc>
          <w:tcPr>
            <w:tcW w:type="dxa" w:w="2351"/>
          </w:tcPr>
          <w:p>
            <w:r/>
            <w:r>
              <w:rPr>
                <w:rFonts w:eastAsia="宋体"/>
                <w:rFonts w:ascii="Times New Roman" w:hAnsi="Times New Roman"/>
                <w:b/>
                <w:i w:val="0"/>
                <w:sz w:val="20"/>
              </w:rPr>
              <w:t>Aerospace Advantage</w:t>
            </w:r>
          </w:p>
        </w:tc>
        <w:tc>
          <w:tcPr>
            <w:tcW w:type="dxa" w:w="2351"/>
          </w:tcPr>
          <w:p>
            <w:r/>
            <w:r>
              <w:rPr>
                <w:rFonts w:eastAsia="宋体"/>
                <w:rFonts w:ascii="Times New Roman" w:hAnsi="Times New Roman"/>
                <w:b w:val="0"/>
                <w:i w:val="0"/>
                <w:sz w:val="20"/>
              </w:rPr>
              <w:t>每周更新的音频播客，结合时事热点进行战术与战略访谈</w:t>
            </w:r>
          </w:p>
        </w:tc>
        <w:tc>
          <w:tcPr>
            <w:tcW w:type="dxa" w:w="2351"/>
          </w:tcPr>
          <w:p>
            <w:r/>
            <w:r>
              <w:rPr>
                <w:rFonts w:eastAsia="宋体"/>
                <w:rFonts w:ascii="Times New Roman" w:hAnsi="Times New Roman"/>
                <w:b w:val="0"/>
                <w:i w:val="0"/>
                <w:sz w:val="20"/>
              </w:rPr>
              <w:t>现役军人、防务媒体、公众</w:t>
            </w:r>
          </w:p>
        </w:tc>
        <w:tc>
          <w:tcPr>
            <w:tcW w:type="dxa" w:w="2351"/>
          </w:tcPr>
          <w:p>
            <w:r/>
            <w:r>
              <w:rPr>
                <w:rFonts w:eastAsia="宋体"/>
                <w:rFonts w:ascii="Times New Roman" w:hAnsi="Times New Roman"/>
                <w:b w:val="0"/>
                <w:i w:val="0"/>
                <w:sz w:val="20"/>
              </w:rPr>
              <w:t>50+ 期</w:t>
            </w:r>
          </w:p>
        </w:tc>
      </w:tr>
      <w:tr>
        <w:tc>
          <w:tcPr>
            <w:tcW w:type="dxa" w:w="2351"/>
          </w:tcPr>
          <w:p>
            <w:r/>
            <w:r>
              <w:rPr>
                <w:rFonts w:eastAsia="宋体"/>
                <w:rFonts w:ascii="Times New Roman" w:hAnsi="Times New Roman"/>
                <w:b/>
                <w:i w:val="0"/>
                <w:sz w:val="20"/>
              </w:rPr>
              <w:t>Aerospace Nation</w:t>
            </w:r>
          </w:p>
        </w:tc>
        <w:tc>
          <w:tcPr>
            <w:tcW w:type="dxa" w:w="2351"/>
          </w:tcPr>
          <w:p>
            <w:r/>
            <w:r>
              <w:rPr>
                <w:rFonts w:eastAsia="宋体"/>
                <w:rFonts w:ascii="Times New Roman" w:hAnsi="Times New Roman"/>
                <w:b w:val="0"/>
                <w:i w:val="0"/>
                <w:sz w:val="20"/>
              </w:rPr>
              <w:t>线上/线下高级别圆桌会议，通常邀请现役四星上将或军工高管</w:t>
            </w:r>
          </w:p>
        </w:tc>
        <w:tc>
          <w:tcPr>
            <w:tcW w:type="dxa" w:w="2351"/>
          </w:tcPr>
          <w:p>
            <w:r/>
            <w:r>
              <w:rPr>
                <w:rFonts w:eastAsia="宋体"/>
                <w:rFonts w:ascii="Times New Roman" w:hAnsi="Times New Roman"/>
                <w:b w:val="0"/>
                <w:i w:val="0"/>
                <w:sz w:val="20"/>
              </w:rPr>
              <w:t>政策制定者、防务承包商、智库同行</w:t>
            </w:r>
          </w:p>
        </w:tc>
        <w:tc>
          <w:tcPr>
            <w:tcW w:type="dxa" w:w="2351"/>
          </w:tcPr>
          <w:p>
            <w:r/>
            <w:r>
              <w:rPr>
                <w:rFonts w:eastAsia="宋体"/>
                <w:rFonts w:ascii="Times New Roman" w:hAnsi="Times New Roman"/>
                <w:b w:val="0"/>
                <w:i w:val="0"/>
                <w:sz w:val="20"/>
              </w:rPr>
              <w:t>10 - 15 场</w:t>
            </w:r>
          </w:p>
        </w:tc>
      </w:tr>
      <w:tr>
        <w:tc>
          <w:tcPr>
            <w:tcW w:type="dxa" w:w="2351"/>
          </w:tcPr>
          <w:p>
            <w:r/>
            <w:r>
              <w:rPr>
                <w:rFonts w:eastAsia="宋体"/>
                <w:rFonts w:ascii="Times New Roman" w:hAnsi="Times New Roman"/>
                <w:b/>
                <w:i w:val="0"/>
                <w:sz w:val="20"/>
              </w:rPr>
              <w:t>Wargaming (兵棋推演)</w:t>
            </w:r>
          </w:p>
        </w:tc>
        <w:tc>
          <w:tcPr>
            <w:tcW w:type="dxa" w:w="2351"/>
          </w:tcPr>
          <w:p>
            <w:r/>
            <w:r>
              <w:rPr>
                <w:rFonts w:eastAsia="宋体"/>
                <w:rFonts w:ascii="Times New Roman" w:hAnsi="Times New Roman"/>
                <w:b w:val="0"/>
                <w:i w:val="0"/>
                <w:sz w:val="20"/>
              </w:rPr>
              <w:t>闭门或半公开的桌面推演，模拟特定战区（如台海）的冲突情境</w:t>
            </w:r>
          </w:p>
        </w:tc>
        <w:tc>
          <w:tcPr>
            <w:tcW w:type="dxa" w:w="2351"/>
          </w:tcPr>
          <w:p>
            <w:r/>
            <w:r>
              <w:rPr>
                <w:rFonts w:eastAsia="宋体"/>
                <w:rFonts w:ascii="Times New Roman" w:hAnsi="Times New Roman"/>
                <w:b w:val="0"/>
                <w:i w:val="0"/>
                <w:sz w:val="20"/>
              </w:rPr>
              <w:t>军方高层、盟国联络官、国会幕僚</w:t>
            </w:r>
          </w:p>
        </w:tc>
        <w:tc>
          <w:tcPr>
            <w:tcW w:type="dxa" w:w="2351"/>
          </w:tcPr>
          <w:p>
            <w:r/>
            <w:r>
              <w:rPr>
                <w:rFonts w:eastAsia="宋体"/>
                <w:rFonts w:ascii="Times New Roman" w:hAnsi="Times New Roman"/>
                <w:b w:val="0"/>
                <w:i w:val="0"/>
                <w:sz w:val="20"/>
              </w:rPr>
              <w:t>2 - 3 场</w:t>
            </w:r>
          </w:p>
        </w:tc>
      </w:tr>
      <w:tr>
        <w:tc>
          <w:tcPr>
            <w:tcW w:type="dxa" w:w="2351"/>
          </w:tcPr>
          <w:p>
            <w:r/>
            <w:r>
              <w:rPr>
                <w:rFonts w:eastAsia="宋体"/>
                <w:rFonts w:ascii="Times New Roman" w:hAnsi="Times New Roman"/>
                <w:b/>
                <w:i w:val="0"/>
                <w:sz w:val="20"/>
              </w:rPr>
              <w:t>China Airpower Tracker</w:t>
            </w:r>
          </w:p>
        </w:tc>
        <w:tc>
          <w:tcPr>
            <w:tcW w:type="dxa" w:w="2351"/>
          </w:tcPr>
          <w:p>
            <w:r/>
            <w:r>
              <w:rPr>
                <w:rFonts w:eastAsia="宋体"/>
                <w:rFonts w:ascii="Times New Roman" w:hAnsi="Times New Roman"/>
                <w:b w:val="0"/>
                <w:i w:val="0"/>
                <w:sz w:val="20"/>
              </w:rPr>
              <w:t>动态更新的开源情报（OSINT）数据库与可视化仪表盘</w:t>
            </w:r>
          </w:p>
        </w:tc>
        <w:tc>
          <w:tcPr>
            <w:tcW w:type="dxa" w:w="2351"/>
          </w:tcPr>
          <w:p>
            <w:r/>
            <w:r>
              <w:rPr>
                <w:rFonts w:eastAsia="宋体"/>
                <w:rFonts w:ascii="Times New Roman" w:hAnsi="Times New Roman"/>
                <w:b w:val="0"/>
                <w:i w:val="0"/>
                <w:sz w:val="20"/>
              </w:rPr>
              <w:t>情报界、防务分析师、印太盟友</w:t>
            </w:r>
          </w:p>
        </w:tc>
        <w:tc>
          <w:tcPr>
            <w:tcW w:type="dxa" w:w="2351"/>
          </w:tcPr>
          <w:p>
            <w:r/>
            <w:r>
              <w:rPr>
                <w:rFonts w:eastAsia="宋体"/>
                <w:rFonts w:ascii="Times New Roman" w:hAnsi="Times New Roman"/>
                <w:b w:val="0"/>
                <w:i w:val="0"/>
                <w:sz w:val="20"/>
              </w:rPr>
              <w:t>持续更新</w:t>
            </w:r>
          </w:p>
        </w:tc>
      </w:tr>
    </w:tbl>
    <w:p/>
    <w:p>
      <w:pPr>
        <w:spacing w:before="0" w:after="80" w:lineRule="auto" w:line="324"/>
        <w:ind w:firstLine="0"/>
        <w:jc w:val="both"/>
      </w:pPr>
      <w:r>
        <w:rPr>
          <w:rFonts w:eastAsia="宋体"/>
          <w:rFonts w:ascii="Times New Roman" w:hAnsi="Times New Roman"/>
          <w:b w:val="0"/>
          <w:i w:val="0"/>
          <w:sz w:val="22"/>
        </w:rPr>
        <w:t>&lt;div align="center"&gt;Table 2.4 — 米切尔研究所产出类型与年度产量估计&lt;/div&gt;</w:t>
      </w:r>
    </w:p>
    <w:p>
      <w:pPr>
        <w:spacing w:before="0" w:after="80" w:lineRule="auto" w:line="324"/>
        <w:ind w:firstLine="0"/>
        <w:jc w:val="both"/>
      </w:pPr>
      <w:r>
        <w:rPr>
          <w:rFonts w:eastAsia="宋体"/>
          <w:rFonts w:ascii="Times New Roman" w:hAnsi="Times New Roman"/>
          <w:b w:val="0"/>
          <w:i w:val="0"/>
          <w:sz w:val="22"/>
        </w:rPr>
        <w:t xml:space="preserve">&lt;div align="center"&gt;SOURCE: RAND NSRD estimation based on Mitchell Institute publication archives and podcast feeds (2024-2026) </w:t>
      </w:r>
      <w:r>
        <w:rPr>
          <w:rFonts w:eastAsia="宋体"/>
          <w:rFonts w:ascii="Times New Roman" w:hAnsi="Times New Roman"/>
          <w:b w:val="0"/>
          <w:i w:val="0"/>
          <w:color w:val="323296"/>
          <w:sz w:val="16"/>
          <w:vertAlign w:val="superscript"/>
        </w:rPr>
        <w:t>[19]</w:t>
      </w:r>
      <w:r>
        <w:rPr>
          <w:rFonts w:eastAsia="宋体"/>
          <w:rFonts w:ascii="Times New Roman" w:hAnsi="Times New Roman"/>
          <w:b w:val="0"/>
          <w:i w:val="0"/>
          <w:sz w:val="22"/>
        </w:rPr>
        <w:t>.&lt;/div&gt;</w:t>
      </w:r>
    </w:p>
    <w:p>
      <w:pPr>
        <w:spacing w:before="0" w:after="80" w:lineRule="auto" w:line="324"/>
        <w:ind w:firstLine="0"/>
        <w:jc w:val="both"/>
      </w:pPr>
      <w:r>
        <w:rPr>
          <w:rFonts w:eastAsia="宋体"/>
          <w:rFonts w:ascii="Times New Roman" w:hAnsi="Times New Roman"/>
          <w:b/>
          <w:i w:val="0"/>
          <w:sz w:val="22"/>
        </w:rPr>
        <w:t>分析性判断：</w:t>
      </w:r>
      <w:r>
        <w:rPr>
          <w:rFonts w:eastAsia="宋体"/>
          <w:rFonts w:ascii="Times New Roman" w:hAnsi="Times New Roman"/>
          <w:b w:val="0"/>
          <w:i w:val="0"/>
          <w:sz w:val="22"/>
        </w:rPr>
        <w:t xml:space="preserve"> 这一产品矩阵显示出高度的“武器化”特征。与传统学术机构追求理论建树不同，米切尔研究所的产出旨在实现快速的政策干预。其播客和圆桌会议用于塑造日常的防务舆论环境，而 Policy Papers 和兵棋推演则在国防预算周期的关键节点（如 NDAA 审议期）精准投放，以期直接影响资源分配。</w:t>
      </w:r>
    </w:p>
    <w:p>
      <w:pPr>
        <w:spacing w:before="240" w:after="120" w:lineRule="auto" w:line="324"/>
        <w:jc w:val="both"/>
      </w:pPr>
      <w:r>
        <w:rPr>
          <w:rFonts w:eastAsia="黑体"/>
          <w:rFonts w:ascii="Arial" w:hAnsi="Arial"/>
          <w:b/>
          <w:i w:val="0"/>
          <w:color w:val="284682"/>
          <w:sz w:val="26"/>
        </w:rPr>
        <w:t>2.5 Strategic Niche in the U.S. Defense Think-Tank Ecosystem</w:t>
      </w:r>
    </w:p>
    <w:p>
      <w:pPr>
        <w:spacing w:before="0" w:after="80" w:lineRule="auto" w:line="324"/>
        <w:ind w:firstLine="0"/>
        <w:jc w:val="both"/>
      </w:pPr>
      <w:r>
        <w:rPr>
          <w:rFonts w:eastAsia="宋体"/>
          <w:rFonts w:ascii="Times New Roman" w:hAnsi="Times New Roman"/>
          <w:b/>
          <w:i w:val="0"/>
          <w:sz w:val="22"/>
        </w:rPr>
        <w:t>分析性判断：</w:t>
      </w:r>
      <w:r>
        <w:rPr>
          <w:rFonts w:eastAsia="宋体"/>
          <w:rFonts w:ascii="Times New Roman" w:hAnsi="Times New Roman"/>
          <w:b w:val="0"/>
          <w:i w:val="0"/>
          <w:sz w:val="22"/>
        </w:rPr>
        <w:t xml:space="preserve"> 在华盛顿林立的防务智库群中，米切尔研究所占据着一个极其特殊且高度垂直的战略生态位（Strategic Niche）。我们可以通过一个定位光谱来界定其坐标：</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CASI（空军大学中国航空研究所）</w:t>
      </w:r>
      <w:r>
        <w:rPr>
          <w:rFonts w:eastAsia="宋体"/>
          <w:rFonts w:ascii="Times New Roman" w:hAnsi="Times New Roman"/>
          <w:b w:val="0"/>
          <w:i w:val="0"/>
          <w:sz w:val="21"/>
        </w:rPr>
        <w:t>：偏向纯学术与文献翻译，客观性强，但政策干预力度弱。</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RAND Corporation（兰德公司）</w:t>
      </w:r>
      <w:r>
        <w:rPr>
          <w:rFonts w:eastAsia="宋体"/>
          <w:rFonts w:ascii="Times New Roman" w:hAnsi="Times New Roman"/>
          <w:b w:val="0"/>
          <w:i w:val="0"/>
          <w:sz w:val="21"/>
        </w:rPr>
        <w:t>：作为联邦资助研发中心（FFRDC），提供客观、严谨、经过严格同行评审的定量与定性分析，服务于 DoD 的长期战略规划。</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Mitchell Institute（米切尔研究所）</w:t>
      </w:r>
      <w:r>
        <w:rPr>
          <w:rFonts w:eastAsia="宋体"/>
          <w:rFonts w:ascii="Times New Roman" w:hAnsi="Times New Roman"/>
          <w:b w:val="0"/>
          <w:i w:val="0"/>
          <w:sz w:val="21"/>
        </w:rPr>
        <w:t>：处于</w:t>
      </w:r>
      <w:r>
        <w:rPr>
          <w:rFonts w:eastAsia="宋体"/>
          <w:rFonts w:ascii="Times New Roman" w:hAnsi="Times New Roman"/>
          <w:b/>
          <w:i w:val="0"/>
          <w:sz w:val="21"/>
        </w:rPr>
        <w:t>“倡导-研究混合体”（Advocacy-Research Hybrid）</w:t>
      </w:r>
      <w:r>
        <w:rPr>
          <w:rFonts w:eastAsia="宋体"/>
          <w:rFonts w:ascii="Times New Roman" w:hAnsi="Times New Roman"/>
          <w:b w:val="0"/>
          <w:i w:val="0"/>
          <w:sz w:val="21"/>
        </w:rPr>
        <w:t>的位置。它不受 FFRDC 客观性审查的严格限制，立场鲜明地代表航空航天力量与相关工业界的利益。</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Hudson Institute / AEI</w:t>
      </w:r>
      <w:r>
        <w:rPr>
          <w:rFonts w:eastAsia="宋体"/>
          <w:rFonts w:ascii="Times New Roman" w:hAnsi="Times New Roman"/>
          <w:b w:val="0"/>
          <w:i w:val="0"/>
          <w:sz w:val="21"/>
        </w:rPr>
        <w:t>：具有强烈的宏观政治与意识形态倾向，覆盖全政府战略，非垂直于单一军种。</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Aviation Week（航空周刊）</w:t>
      </w:r>
      <w:r>
        <w:rPr>
          <w:rFonts w:eastAsia="宋体"/>
          <w:rFonts w:ascii="Times New Roman" w:hAnsi="Times New Roman"/>
          <w:b w:val="0"/>
          <w:i w:val="0"/>
          <w:sz w:val="21"/>
        </w:rPr>
        <w:t>：纯粹的行业技术与商业新闻。</w:t>
      </w:r>
    </w:p>
    <w:p>
      <w:pPr>
        <w:spacing w:before="0" w:after="80" w:lineRule="auto" w:line="324"/>
        <w:ind w:firstLine="0"/>
        <w:jc w:val="both"/>
      </w:pPr>
      <w:r>
        <w:rPr>
          <w:rFonts w:eastAsia="宋体"/>
          <w:rFonts w:ascii="Times New Roman" w:hAnsi="Times New Roman"/>
          <w:b w:val="0"/>
          <w:i w:val="0"/>
          <w:sz w:val="22"/>
        </w:rPr>
        <w:t>在这种生态中，米切尔研究所与 RAND Project AIR FORCE 等机构形成了一种复杂的“功能互补与议程接力”关系。RAND 提供底层的数据建模与客观的战略选项评估；而米切尔研究所则可能利用这些宏观背景，提取符合其倡导方向的元素，通过更具攻击性的叙事和游说渠道，将其转化为国会山上的政治行动。</w:t>
      </w:r>
    </w:p>
    <w:p>
      <w:pPr>
        <w:spacing w:before="0" w:after="120" w:lineRule="auto" w:line="324"/>
        <w:jc w:val="both"/>
      </w:pPr>
      <w:r>
        <w:rPr>
          <w:rFonts w:eastAsia="Consolas"/>
          <w:rFonts w:ascii="Consolas" w:hAnsi="Consolas"/>
          <w:b w:val="0"/>
          <w:i w:val="0"/>
          <w:color w:val="3C3C3C"/>
          <w:sz w:val="18"/>
        </w:rPr>
        <w:t>[Figure 2.1 — 美对华空天战略思想生产的"议程链"图]</w:t>
        <w:br/>
        <w:br/>
        <w:t xml:space="preserve">  +--------------------+       +--------------------+       +--------------------+</w:t>
        <w:br/>
        <w:t xml:space="preserve">  |  Mitchell 报告/兵推 | ----&gt; | AFA 媒体与播客矩阵 | ----&gt; | 国会武装力量委员会 |</w:t>
        <w:br/>
        <w:t xml:space="preserve">  |  (概念生成与威胁塑造)|       |  (舆论放大与社会化) |       |  (听证会简报与作证) |</w:t>
        <w:br/>
        <w:t xml:space="preserve">  +--------------------+       +--------------------+       +--------------------+</w:t>
        <w:br/>
        <w:t xml:space="preserve">                                                                      |</w:t>
        <w:br/>
        <w:t xml:space="preserve">                                                                      v</w:t>
        <w:br/>
        <w:t xml:space="preserve">  +--------------------+       +--------------------+       +--------------------+</w:t>
        <w:br/>
        <w:t xml:space="preserve">  |  DoD 采办与部署决策 | &lt;---- | NDAA 预算语言修订  | &lt;---- | 军工企业游说网络   |</w:t>
        <w:br/>
        <w:t xml:space="preserve">  |  (军备扩张与合同落地)|       |  (法定资源分配)    |       |  (利益集团协同)    |</w:t>
        <w:br/>
        <w:t xml:space="preserve">  +--------------------+       +--------------------+       +--------------------+</w:t>
      </w:r>
    </w:p>
    <w:p>
      <w:pPr>
        <w:spacing w:before="0" w:after="80" w:lineRule="auto" w:line="324"/>
        <w:ind w:firstLine="0"/>
        <w:jc w:val="both"/>
      </w:pPr>
      <w:r>
        <w:rPr>
          <w:rFonts w:eastAsia="宋体"/>
          <w:rFonts w:ascii="Times New Roman" w:hAnsi="Times New Roman"/>
          <w:b w:val="0"/>
          <w:i w:val="0"/>
          <w:sz w:val="22"/>
        </w:rPr>
        <w:t>&lt;div align="center"&gt;SOURCE: RAND NSRD analytic construct based on U.S. defense policy formulation processes.&lt;/div&gt;</w:t>
      </w:r>
    </w:p>
    <w:p>
      <w:pPr>
        <w:spacing w:before="240" w:after="120" w:lineRule="auto" w:line="324"/>
        <w:jc w:val="both"/>
      </w:pPr>
      <w:r>
        <w:rPr>
          <w:rFonts w:eastAsia="黑体"/>
          <w:rFonts w:ascii="Arial" w:hAnsi="Arial"/>
          <w:b/>
          <w:i w:val="0"/>
          <w:color w:val="284682"/>
          <w:sz w:val="26"/>
        </w:rPr>
        <w:t>2.6 Influence Pathways</w:t>
      </w:r>
    </w:p>
    <w:p>
      <w:pPr>
        <w:spacing w:before="0" w:after="80" w:lineRule="auto" w:line="324"/>
        <w:ind w:firstLine="0"/>
        <w:jc w:val="both"/>
      </w:pPr>
      <w:r>
        <w:rPr>
          <w:rFonts w:eastAsia="宋体"/>
          <w:rFonts w:ascii="Times New Roman" w:hAnsi="Times New Roman"/>
          <w:b/>
          <w:i w:val="0"/>
          <w:sz w:val="22"/>
        </w:rPr>
        <w:t>基于证据的发现与分析性判断：</w:t>
      </w:r>
      <w:r>
        <w:rPr>
          <w:rFonts w:eastAsia="宋体"/>
          <w:rFonts w:ascii="Times New Roman" w:hAnsi="Times New Roman"/>
          <w:b w:val="0"/>
          <w:i w:val="0"/>
          <w:sz w:val="22"/>
        </w:rPr>
        <w:t xml:space="preserve"> 米切尔研究所将其研究产出转化为实际政策影响力的路径，主要依赖于三条高度协同的通道（Pathways）：</w:t>
      </w:r>
    </w:p>
    <w:p>
      <w:pPr>
        <w:spacing w:before="0" w:after="80" w:lineRule="auto" w:line="324"/>
        <w:ind w:firstLine="0"/>
        <w:jc w:val="both"/>
      </w:pPr>
      <w:r>
        <w:rPr>
          <w:rFonts w:eastAsia="宋体"/>
          <w:rFonts w:ascii="Times New Roman" w:hAnsi="Times New Roman"/>
          <w:b/>
          <w:i w:val="0"/>
          <w:sz w:val="22"/>
        </w:rPr>
        <w:t>路径一 (P1)：国会简报与 NDAA 议案语言植入 (Congressional Briefings &amp; NDAA Language)</w:t>
      </w:r>
    </w:p>
    <w:p>
      <w:pPr>
        <w:spacing w:before="0" w:after="80" w:lineRule="auto" w:line="324"/>
        <w:ind w:firstLine="0"/>
        <w:jc w:val="both"/>
      </w:pPr>
      <w:r>
        <w:rPr>
          <w:rFonts w:eastAsia="宋体"/>
          <w:rFonts w:ascii="Times New Roman" w:hAnsi="Times New Roman"/>
          <w:b w:val="0"/>
          <w:i w:val="0"/>
          <w:sz w:val="22"/>
        </w:rPr>
        <w:t>该机构的领导层（如 Deptula 和 Gunzinger）频繁受邀在美国国会参众两院的武装力量委员会（SASC/HASC）作证。</w:t>
      </w:r>
      <w:r>
        <w:rPr>
          <w:rFonts w:eastAsia="宋体"/>
          <w:rFonts w:ascii="Times New Roman" w:hAnsi="Times New Roman"/>
          <w:b/>
          <w:i w:val="0"/>
          <w:sz w:val="22"/>
        </w:rPr>
        <w:t>分析性判断表明</w:t>
      </w:r>
      <w:r>
        <w:rPr>
          <w:rFonts w:eastAsia="宋体"/>
          <w:rFonts w:ascii="Times New Roman" w:hAnsi="Times New Roman"/>
          <w:b w:val="0"/>
          <w:i w:val="0"/>
          <w:sz w:val="22"/>
        </w:rPr>
        <w:t>，其提供的证词往往直接针对《国防授权法案》（NDAA）的特定条款。例如，通过强调“中国空军的区域拒止能力”，直接游说国会议员在 NDAA 中增加对 B-21 轰炸机或下一代空战系统（NGAD）的专项拨款语言。据估计，其核心观点每年在国会相关听证会记录中被引用的次数可达数十次</w:t>
      </w:r>
      <w:r>
        <w:rPr>
          <w:rFonts w:eastAsia="宋体"/>
          <w:rFonts w:ascii="Times New Roman" w:hAnsi="Times New Roman"/>
          <w:b w:val="0"/>
          <w:i w:val="0"/>
          <w:color w:val="323296"/>
          <w:sz w:val="16"/>
          <w:vertAlign w:val="superscript"/>
        </w:rPr>
        <w:t>[20]</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路径二 (P2)：媒体矩阵与公众话语塑造 (Media Matrix &amp; Public Discourse)</w:t>
      </w:r>
    </w:p>
    <w:p>
      <w:pPr>
        <w:spacing w:before="0" w:after="80" w:lineRule="auto" w:line="324"/>
        <w:ind w:firstLine="0"/>
        <w:jc w:val="both"/>
      </w:pPr>
      <w:r>
        <w:rPr>
          <w:rFonts w:eastAsia="宋体"/>
          <w:rFonts w:ascii="Times New Roman" w:hAnsi="Times New Roman"/>
          <w:b w:val="0"/>
          <w:i w:val="0"/>
          <w:sz w:val="22"/>
        </w:rPr>
        <w:t>依托母机构 AFA 旗下的《空天军杂志》（Air &amp; Space Forces Magazine）以及自身的《Aerospace Advantage》播客，米切尔研究所拥有强大的自有发声渠道。</w:t>
      </w:r>
      <w:r>
        <w:rPr>
          <w:rFonts w:eastAsia="宋体"/>
          <w:rFonts w:ascii="Times New Roman" w:hAnsi="Times New Roman"/>
          <w:b/>
          <w:i w:val="0"/>
          <w:sz w:val="22"/>
        </w:rPr>
        <w:t>基于证据的发现</w:t>
      </w:r>
      <w:r>
        <w:rPr>
          <w:rFonts w:eastAsia="宋体"/>
          <w:rFonts w:ascii="Times New Roman" w:hAnsi="Times New Roman"/>
          <w:b w:val="0"/>
          <w:i w:val="0"/>
          <w:sz w:val="22"/>
        </w:rPr>
        <w:t>，其播客节目不仅在防务圈内拥有稳定的受众（单期下载量估计在数千至上万次不等），其核心观点还经常被《华尔街日报》、《防务新闻》（Defense News）等主流媒体二次引用，从而有效塑造了华盛顿关于“空天威胁”的公众话语</w:t>
      </w:r>
      <w:r>
        <w:rPr>
          <w:rFonts w:eastAsia="宋体"/>
          <w:rFonts w:ascii="Times New Roman" w:hAnsi="Times New Roman"/>
          <w:b w:val="0"/>
          <w:i w:val="0"/>
          <w:color w:val="323296"/>
          <w:sz w:val="16"/>
          <w:vertAlign w:val="superscript"/>
        </w:rPr>
        <w:t>[21]</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路径三 (P3)：兵棋推演输出与 DoD 规划对接 (Wargame Outputs &amp; DoD Planning)</w:t>
      </w:r>
    </w:p>
    <w:p>
      <w:pPr>
        <w:spacing w:before="0" w:after="80" w:lineRule="auto" w:line="324"/>
        <w:ind w:firstLine="0"/>
        <w:jc w:val="both"/>
      </w:pPr>
      <w:r>
        <w:rPr>
          <w:rFonts w:eastAsia="宋体"/>
          <w:rFonts w:ascii="Times New Roman" w:hAnsi="Times New Roman"/>
          <w:b/>
          <w:i w:val="0"/>
          <w:sz w:val="22"/>
        </w:rPr>
        <w:t>基于证据的发现</w:t>
      </w:r>
      <w:r>
        <w:rPr>
          <w:rFonts w:eastAsia="宋体"/>
          <w:rFonts w:ascii="Times New Roman" w:hAnsi="Times New Roman"/>
          <w:b w:val="0"/>
          <w:i w:val="0"/>
          <w:sz w:val="22"/>
        </w:rPr>
        <w:t>，米切尔研究所组织的兵棋推演（如 2025 年 6 月针对 2035 年台海冲突的推演）通常邀请现役美军将领及盟国军官参与</w:t>
      </w:r>
      <w:r>
        <w:rPr>
          <w:rFonts w:eastAsia="宋体"/>
          <w:rFonts w:ascii="Times New Roman" w:hAnsi="Times New Roman"/>
          <w:b w:val="0"/>
          <w:i w:val="0"/>
          <w:color w:val="323296"/>
          <w:sz w:val="16"/>
          <w:vertAlign w:val="superscript"/>
        </w:rPr>
        <w:t>[22]</w:t>
      </w:r>
      <w:r>
        <w:rPr>
          <w:rFonts w:eastAsia="宋体"/>
          <w:rFonts w:ascii="Times New Roman" w:hAnsi="Times New Roman"/>
          <w:b w:val="0"/>
          <w:i w:val="0"/>
          <w:sz w:val="22"/>
        </w:rPr>
        <w:t>。</w:t>
      </w:r>
      <w:r>
        <w:rPr>
          <w:rFonts w:eastAsia="宋体"/>
          <w:rFonts w:ascii="Times New Roman" w:hAnsi="Times New Roman"/>
          <w:b/>
          <w:i w:val="0"/>
          <w:sz w:val="22"/>
        </w:rPr>
        <w:t>分析性判断认为</w:t>
      </w:r>
      <w:r>
        <w:rPr>
          <w:rFonts w:eastAsia="宋体"/>
          <w:rFonts w:ascii="Times New Roman" w:hAnsi="Times New Roman"/>
          <w:b w:val="0"/>
          <w:i w:val="0"/>
          <w:sz w:val="22"/>
        </w:rPr>
        <w:t>，这种推演并非纯粹的学术探讨，而是一种“认知塑造工具”。通过在推演规则中设定特定的战损比和后勤瓶颈，推演结果往往“不可避免地”指向需要采购更多米切尔研究所倡导的武器平台。这些推演结论随后以非正式简报的形式进入五角大楼的规划循环，影响空军参谋部（AF/A5）的未来兵力结构设计。</w:t>
      </w:r>
    </w:p>
    <w:p>
      <w:pPr>
        <w:jc w:val="center"/>
      </w:pPr>
      <w:r>
        <w:rPr>
          <w:rFonts w:eastAsia="宋体"/>
          <w:rFonts w:ascii="Times New Roman" w:hAnsi="Times New Roman"/>
          <w:b w:val="0"/>
          <w:i w:val="0"/>
          <w:color w:val="A0A0A0"/>
          <w:sz w:val="22"/>
        </w:rPr>
        <w:t>─────────────────────────</w:t>
      </w:r>
    </w:p>
    <w:p>
      <w:pPr>
        <w:spacing w:before="0" w:after="80" w:lineRule="auto" w:line="324"/>
        <w:ind w:firstLine="0"/>
        <w:jc w:val="both"/>
      </w:pPr>
      <w:r>
        <w:rPr>
          <w:rFonts w:eastAsia="宋体"/>
          <w:rFonts w:ascii="Times New Roman" w:hAnsi="Times New Roman"/>
          <w:b w:val="0"/>
          <w:i w:val="0"/>
          <w:sz w:val="22"/>
        </w:rPr>
        <w:t>&lt;div style="background-color: #f0f0f0; padding: 15px; border-left: 5px solid #333; margin-top: 20px; margin-bottom: 20px;"&gt;</w:t>
      </w:r>
    </w:p>
    <w:p>
      <w:pPr>
        <w:spacing w:before="0" w:after="80" w:lineRule="auto" w:line="324"/>
        <w:ind w:firstLine="0"/>
        <w:jc w:val="both"/>
      </w:pPr>
      <w:r>
        <w:rPr>
          <w:rFonts w:eastAsia="宋体"/>
          <w:rFonts w:ascii="Times New Roman" w:hAnsi="Times New Roman"/>
          <w:b w:val="0"/>
          <w:i w:val="0"/>
          <w:sz w:val="22"/>
        </w:rPr>
        <w:t>&lt;b&gt;Key Findings of This Chapter&lt;/b&gt;&lt;br&gt;&lt;br&gt;</w:t>
      </w:r>
    </w:p>
    <w:p>
      <w:pPr>
        <w:spacing w:before="0" w:after="80" w:lineRule="auto" w:line="324"/>
        <w:ind w:firstLine="0"/>
        <w:jc w:val="both"/>
      </w:pPr>
      <w:r>
        <w:rPr>
          <w:rFonts w:eastAsia="宋体"/>
          <w:rFonts w:ascii="Times New Roman" w:hAnsi="Times New Roman"/>
          <w:b w:val="0"/>
          <w:i w:val="0"/>
          <w:sz w:val="22"/>
        </w:rPr>
        <w:t>&lt;b&gt;KF 2.1&lt;/b&gt; — 米切尔研究所作为 AFA 的下属机构，利用 501(c)(3) 免税地位，在“公共教育”的法律框架下，实质性地充当了美国航空航天力量及相关国防工业的超级政策倡导者。&lt;br&gt;&lt;br&gt;</w:t>
      </w:r>
    </w:p>
    <w:p>
      <w:pPr>
        <w:spacing w:before="0" w:after="80" w:lineRule="auto" w:line="324"/>
        <w:ind w:firstLine="0"/>
        <w:jc w:val="both"/>
      </w:pPr>
      <w:r>
        <w:rPr>
          <w:rFonts w:eastAsia="宋体"/>
          <w:rFonts w:ascii="Times New Roman" w:hAnsi="Times New Roman"/>
          <w:b w:val="0"/>
          <w:i w:val="0"/>
          <w:sz w:val="22"/>
        </w:rPr>
        <w:t>&lt;b&gt;KF 2.2&lt;/b&gt; — 该机构的领导层呈现出典型的“旋转门”特征，深度融合了美国空军的高层规划经验与跨军种（USAF/USN）的情报分析技艺，确保其研究议程与五角大楼的预算痛点精准对接。&lt;br&gt;&lt;br&gt;</w:t>
      </w:r>
    </w:p>
    <w:p>
      <w:pPr>
        <w:spacing w:before="0" w:after="80" w:lineRule="auto" w:line="324"/>
        <w:ind w:firstLine="0"/>
        <w:jc w:val="both"/>
      </w:pPr>
      <w:r>
        <w:rPr>
          <w:rFonts w:eastAsia="宋体"/>
          <w:rFonts w:ascii="Times New Roman" w:hAnsi="Times New Roman"/>
          <w:b w:val="0"/>
          <w:i w:val="0"/>
          <w:sz w:val="22"/>
        </w:rPr>
        <w:t>&lt;b&gt;KF 2.3&lt;/b&gt; — 资金结构分析表明，该机构接受了几乎所有美国主要航空航天防务巨头的赞助。这种资金模式在智库生态中构成了结构性的利益冲突，其政策建议与赞助商的商业利益存在高度的战略契合。&lt;br&gt;&lt;br&gt;</w:t>
      </w:r>
    </w:p>
    <w:p>
      <w:pPr>
        <w:spacing w:before="0" w:after="80" w:lineRule="auto" w:line="324"/>
        <w:ind w:firstLine="0"/>
        <w:jc w:val="both"/>
      </w:pPr>
      <w:r>
        <w:rPr>
          <w:rFonts w:eastAsia="宋体"/>
          <w:rFonts w:ascii="Times New Roman" w:hAnsi="Times New Roman"/>
          <w:b w:val="0"/>
          <w:i w:val="0"/>
          <w:sz w:val="22"/>
        </w:rPr>
        <w:t>&lt;b&gt;KF 2.4&lt;/b&gt; — 在美国防务智库生态中，米切尔研究所占据了“倡导-研究混合体”的垂直生态位。与 RAND 等提供客观分析的 FFRDC 不同，米切尔研究所侧重于利用兵棋推演和开源情报（如《中国空军追踪器》）进行快速的威胁塑造与政策干预。&lt;br&gt;&lt;br&gt;</w:t>
      </w:r>
    </w:p>
    <w:p>
      <w:pPr>
        <w:spacing w:before="0" w:after="80" w:lineRule="auto" w:line="324"/>
        <w:ind w:firstLine="0"/>
        <w:jc w:val="both"/>
      </w:pPr>
      <w:r>
        <w:rPr>
          <w:rFonts w:eastAsia="宋体"/>
          <w:rFonts w:ascii="Times New Roman" w:hAnsi="Times New Roman"/>
          <w:b w:val="0"/>
          <w:i w:val="0"/>
          <w:sz w:val="22"/>
        </w:rPr>
        <w:t>&lt;b&gt;KF 2.5&lt;/b&gt; — 该机构通过国会作证、自有媒体矩阵放大以及兵棋推演结论输出三条核心路径，成功将其带有军工利益背景的战略构想，转化为影响《国防授权法案》（NDAA）和 DoD 采办决策的实质性政治压力。</w:t>
      </w:r>
    </w:p>
    <w:p>
      <w:pPr>
        <w:spacing w:before="0" w:after="80" w:lineRule="auto" w:line="324"/>
        <w:ind w:firstLine="0"/>
        <w:jc w:val="both"/>
      </w:pPr>
      <w:r>
        <w:rPr>
          <w:rFonts w:eastAsia="宋体"/>
          <w:rFonts w:ascii="Times New Roman" w:hAnsi="Times New Roman"/>
          <w:b w:val="0"/>
          <w:i w:val="0"/>
          <w:sz w:val="22"/>
        </w:rPr>
        <w:t>&lt;/div&gt;</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Chapter 3. Mitchell Institute Engagement with Taiwan: NSB, MIB, INDSR, and Track-2 Channels</w:t>
      </w:r>
    </w:p>
    <w:p>
      <w:pPr>
        <w:spacing w:before="240" w:after="120" w:lineRule="auto" w:line="324"/>
        <w:jc w:val="both"/>
      </w:pPr>
      <w:r>
        <w:rPr>
          <w:rFonts w:eastAsia="黑体"/>
          <w:rFonts w:ascii="Arial" w:hAnsi="Arial"/>
          <w:b/>
          <w:i w:val="0"/>
          <w:color w:val="284682"/>
          <w:sz w:val="26"/>
        </w:rPr>
        <w:t>3.1 Strategic Context: Taiwan in the Mitchell Research Agenda</w:t>
      </w:r>
    </w:p>
    <w:p>
      <w:pPr>
        <w:spacing w:before="0" w:after="80" w:lineRule="auto" w:line="324"/>
        <w:ind w:firstLine="0"/>
        <w:jc w:val="both"/>
      </w:pPr>
      <w:r>
        <w:rPr>
          <w:rFonts w:eastAsia="宋体"/>
          <w:rFonts w:ascii="Times New Roman" w:hAnsi="Times New Roman"/>
          <w:b w:val="0"/>
          <w:i w:val="0"/>
          <w:sz w:val="22"/>
        </w:rPr>
        <w:t>在当前美国印太战略向“大国竞争”（Great Power Competition, GPC）转型的背景下，台湾地区在米切尔航空航天研究所（The Mitchell Institute for Aerospace Studies，以下简称“米切尔研究所”）的研究议程中占据了日益核心的位置。</w:t>
      </w: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过去五年间（2021-2026），米切尔研究所发布的涉台直接相关报告、论坛简报（Forum Papers）及播客节目数量呈现显著上升趋势。特别是在2025年至2026年第一季度，该机构推出了《中国空军追踪器》（China Airpower Tracker）并发布了基于2025年台海兵棋推演的《重建美国空军》（Rebuilding American Airpower）综合报告</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台湾议题在米切尔研究所议程中的权重增加，似乎与美国空军太平洋司令部（PACAF）的战略优先事项高度对齐。米切尔研究所对解放军反介入/区域拒止（A2/AD）能力的强调，以及对台湾防空压力的评估，为其倡导美国空军加速推进“敏捷战斗部署”（Agile Combat Employment, ACE）、采购B-21隐身轰炸机及协同作战飞机（CCA）提供了场景化的逻辑支撑。在此框架下，台湾不仅是地缘政治的研究客体，更可能被用作论证美国空军军备扩张必要性的“压力测试场”。</w:t>
      </w:r>
    </w:p>
    <w:p>
      <w:pPr>
        <w:spacing w:before="240" w:after="120" w:lineRule="auto" w:line="324"/>
        <w:jc w:val="both"/>
      </w:pPr>
      <w:r>
        <w:rPr>
          <w:rFonts w:eastAsia="黑体"/>
          <w:rFonts w:ascii="Arial" w:hAnsi="Arial"/>
          <w:b/>
          <w:i w:val="0"/>
          <w:color w:val="284682"/>
          <w:sz w:val="26"/>
        </w:rPr>
        <w:t>3.2 Taiwan's Defense Intelligence Architecture (Reference Frame)</w:t>
      </w:r>
    </w:p>
    <w:p>
      <w:pPr>
        <w:spacing w:before="0" w:after="80" w:lineRule="auto" w:line="324"/>
        <w:ind w:firstLine="0"/>
        <w:jc w:val="both"/>
      </w:pPr>
      <w:r>
        <w:rPr>
          <w:rFonts w:eastAsia="宋体"/>
          <w:rFonts w:ascii="Times New Roman" w:hAnsi="Times New Roman"/>
          <w:b w:val="0"/>
          <w:i w:val="0"/>
          <w:sz w:val="22"/>
        </w:rPr>
        <w:t>为准确评估米切尔研究所与台湾防务及情报生态的互动，本节首先界定台湾现行情报与防务智库的组织架构。该架构构成了本章后续分析的参考系。</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台湾的情报与安全架构由多个职能明确的机构组成，其中国家安全局（NSB）扮演统筹角色，军事情报局（MIB）与法务部调查局（MJIB）分担具体情报搜集与反间谍任务，而国防安全研究院（INDSR）则作为准官方智库负责战略评估与二轨外交</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国家安全局（NSB）</w:t>
      </w:r>
      <w:r>
        <w:rPr>
          <w:rFonts w:eastAsia="宋体"/>
          <w:rFonts w:ascii="Times New Roman" w:hAnsi="Times New Roman"/>
          <w:b w:val="0"/>
          <w:i w:val="0"/>
          <w:sz w:val="21"/>
        </w:rPr>
        <w:t>：隶属于台湾地区领导人办公室及“国家安全会议”，是台湾最高情报统筹机关。现任局长蔡明彦。其核心职权包括对外情报搜集、大陆事务情报、特种勤务以及统筹协调其他情报机构。近年来，NSB 高度关注网络战、认知作战及“灰色地带”威胁</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1"/>
        </w:rPr>
        <w:t>。</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军事情报局（MIB）</w:t>
      </w:r>
      <w:r>
        <w:rPr>
          <w:rFonts w:eastAsia="宋体"/>
          <w:rFonts w:ascii="Times New Roman" w:hAnsi="Times New Roman"/>
          <w:b w:val="0"/>
          <w:i w:val="0"/>
          <w:sz w:val="21"/>
        </w:rPr>
        <w:t>：隶属于台湾防务部门“参谋本部”，前身为“军统局”及“保密局”。其主要任务是针对中国大陆进行军事情报搜集（HUMINT与SIGINT）及战略预警。</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法务部调查局（MJIB）</w:t>
      </w:r>
      <w:r>
        <w:rPr>
          <w:rFonts w:eastAsia="宋体"/>
          <w:rFonts w:ascii="Times New Roman" w:hAnsi="Times New Roman"/>
          <w:b w:val="0"/>
          <w:i w:val="0"/>
          <w:sz w:val="21"/>
        </w:rPr>
        <w:t>：主要负责内部安全、反间谍、反贪腐及重大经济犯罪调查。</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国防安全研究院（INDSR）</w:t>
      </w:r>
      <w:r>
        <w:rPr>
          <w:rFonts w:eastAsia="宋体"/>
          <w:rFonts w:ascii="Times New Roman" w:hAnsi="Times New Roman"/>
          <w:b w:val="0"/>
          <w:i w:val="0"/>
          <w:sz w:val="21"/>
        </w:rPr>
        <w:t>：成立于2018年，法律定性为“公设财团法人”，资金主要来自台湾防务部门。INDSR 是台湾官方指定的最高级别防务智库，负责防务战略研究并充当对外军事交流的“白手套”</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sz w:val="21"/>
        </w:rPr>
        <w:t>。</w:t>
      </w:r>
    </w:p>
    <w:p>
      <w:pPr>
        <w:spacing w:before="160" w:after="80" w:lineRule="auto" w:line="324"/>
        <w:jc w:val="both"/>
      </w:pPr>
      <w:r>
        <w:rPr>
          <w:rFonts w:eastAsia="黑体"/>
          <w:rFonts w:ascii="Arial" w:hAnsi="Arial"/>
          <w:b/>
          <w:i w:val="0"/>
          <w:color w:val="3C5A96"/>
          <w:sz w:val="24"/>
        </w:rPr>
        <w:t>Table 3.1 台湾情报与防务智库结构对照表</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机构名称 (缩写)</w:t>
            </w:r>
          </w:p>
        </w:tc>
        <w:tc>
          <w:tcPr>
            <w:tcW w:type="dxa" w:w="2351"/>
          </w:tcPr>
          <w:p>
            <w:r/>
            <w:r>
              <w:rPr>
                <w:rFonts w:eastAsia="宋体"/>
                <w:rFonts w:ascii="Times New Roman" w:hAnsi="Times New Roman"/>
                <w:b/>
                <w:i w:val="0"/>
                <w:sz w:val="20"/>
              </w:rPr>
              <w:t>组织隶属</w:t>
            </w:r>
          </w:p>
        </w:tc>
        <w:tc>
          <w:tcPr>
            <w:tcW w:type="dxa" w:w="2351"/>
          </w:tcPr>
          <w:p>
            <w:r/>
            <w:r>
              <w:rPr>
                <w:rFonts w:eastAsia="宋体"/>
                <w:rFonts w:ascii="Times New Roman" w:hAnsi="Times New Roman"/>
                <w:b/>
                <w:i w:val="0"/>
                <w:sz w:val="20"/>
              </w:rPr>
              <w:t>核心职能与关注领域</w:t>
            </w:r>
          </w:p>
        </w:tc>
        <w:tc>
          <w:tcPr>
            <w:tcW w:type="dxa" w:w="2351"/>
          </w:tcPr>
          <w:p>
            <w:r/>
            <w:r>
              <w:rPr>
                <w:rFonts w:eastAsia="宋体"/>
                <w:rFonts w:ascii="Times New Roman" w:hAnsi="Times New Roman"/>
                <w:b/>
                <w:i w:val="0"/>
                <w:sz w:val="20"/>
              </w:rPr>
              <w:t>与米切尔研究所的潜在交集领域</w:t>
            </w:r>
          </w:p>
        </w:tc>
      </w:tr>
      <w:tr>
        <w:tc>
          <w:tcPr>
            <w:tcW w:type="dxa" w:w="2351"/>
          </w:tcPr>
          <w:p>
            <w:r/>
            <w:r>
              <w:rPr>
                <w:rFonts w:eastAsia="宋体"/>
                <w:rFonts w:ascii="Times New Roman" w:hAnsi="Times New Roman"/>
                <w:b w:val="0"/>
                <w:i w:val="0"/>
                <w:sz w:val="20"/>
              </w:rPr>
              <w:t>国家安全局 (NSB)</w:t>
            </w:r>
          </w:p>
        </w:tc>
        <w:tc>
          <w:tcPr>
            <w:tcW w:type="dxa" w:w="2351"/>
          </w:tcPr>
          <w:p>
            <w:r/>
            <w:r>
              <w:rPr>
                <w:rFonts w:eastAsia="宋体"/>
                <w:rFonts w:ascii="Times New Roman" w:hAnsi="Times New Roman"/>
                <w:b w:val="0"/>
                <w:i w:val="0"/>
                <w:sz w:val="20"/>
              </w:rPr>
              <w:t>“国安会”</w:t>
            </w:r>
          </w:p>
        </w:tc>
        <w:tc>
          <w:tcPr>
            <w:tcW w:type="dxa" w:w="2351"/>
          </w:tcPr>
          <w:p>
            <w:r/>
            <w:r>
              <w:rPr>
                <w:rFonts w:eastAsia="宋体"/>
                <w:rFonts w:ascii="Times New Roman" w:hAnsi="Times New Roman"/>
                <w:b w:val="0"/>
                <w:i w:val="0"/>
                <w:sz w:val="20"/>
              </w:rPr>
              <w:t>战略情报统筹、网络战、认知作战防范</w:t>
            </w:r>
          </w:p>
        </w:tc>
        <w:tc>
          <w:tcPr>
            <w:tcW w:type="dxa" w:w="2351"/>
          </w:tcPr>
          <w:p>
            <w:r/>
            <w:r>
              <w:rPr>
                <w:rFonts w:eastAsia="宋体"/>
                <w:rFonts w:ascii="Times New Roman" w:hAnsi="Times New Roman"/>
                <w:b w:val="0"/>
                <w:i w:val="0"/>
                <w:sz w:val="20"/>
              </w:rPr>
              <w:t>灰色地带行动评估、太空/网络域威胁认知</w:t>
            </w:r>
          </w:p>
        </w:tc>
      </w:tr>
      <w:tr>
        <w:tc>
          <w:tcPr>
            <w:tcW w:type="dxa" w:w="2351"/>
          </w:tcPr>
          <w:p>
            <w:r/>
            <w:r>
              <w:rPr>
                <w:rFonts w:eastAsia="宋体"/>
                <w:rFonts w:ascii="Times New Roman" w:hAnsi="Times New Roman"/>
                <w:b w:val="0"/>
                <w:i w:val="0"/>
                <w:sz w:val="20"/>
              </w:rPr>
              <w:t>军事情报局 (MIB)</w:t>
            </w:r>
          </w:p>
        </w:tc>
        <w:tc>
          <w:tcPr>
            <w:tcW w:type="dxa" w:w="2351"/>
          </w:tcPr>
          <w:p>
            <w:r/>
            <w:r>
              <w:rPr>
                <w:rFonts w:eastAsia="宋体"/>
                <w:rFonts w:ascii="Times New Roman" w:hAnsi="Times New Roman"/>
                <w:b w:val="0"/>
                <w:i w:val="0"/>
                <w:sz w:val="20"/>
              </w:rPr>
              <w:t>防务部门参谋本部</w:t>
            </w:r>
          </w:p>
        </w:tc>
        <w:tc>
          <w:tcPr>
            <w:tcW w:type="dxa" w:w="2351"/>
          </w:tcPr>
          <w:p>
            <w:r/>
            <w:r>
              <w:rPr>
                <w:rFonts w:eastAsia="宋体"/>
                <w:rFonts w:ascii="Times New Roman" w:hAnsi="Times New Roman"/>
                <w:b w:val="0"/>
                <w:i w:val="0"/>
                <w:sz w:val="20"/>
              </w:rPr>
              <w:t>大陆军事情报、战略预警、战术动态</w:t>
            </w:r>
          </w:p>
        </w:tc>
        <w:tc>
          <w:tcPr>
            <w:tcW w:type="dxa" w:w="2351"/>
          </w:tcPr>
          <w:p>
            <w:r/>
            <w:r>
              <w:rPr>
                <w:rFonts w:eastAsia="宋体"/>
                <w:rFonts w:ascii="Times New Roman" w:hAnsi="Times New Roman"/>
                <w:b w:val="0"/>
                <w:i w:val="0"/>
                <w:sz w:val="20"/>
              </w:rPr>
              <w:t>解放军空军基地动态、开源情报 (OSINT) 交叉验证</w:t>
            </w:r>
          </w:p>
        </w:tc>
      </w:tr>
      <w:tr>
        <w:tc>
          <w:tcPr>
            <w:tcW w:type="dxa" w:w="2351"/>
          </w:tcPr>
          <w:p>
            <w:r/>
            <w:r>
              <w:rPr>
                <w:rFonts w:eastAsia="宋体"/>
                <w:rFonts w:ascii="Times New Roman" w:hAnsi="Times New Roman"/>
                <w:b w:val="0"/>
                <w:i w:val="0"/>
                <w:sz w:val="20"/>
              </w:rPr>
              <w:t>法务部调查局 (MJIB)</w:t>
            </w:r>
          </w:p>
        </w:tc>
        <w:tc>
          <w:tcPr>
            <w:tcW w:type="dxa" w:w="2351"/>
          </w:tcPr>
          <w:p>
            <w:r/>
            <w:r>
              <w:rPr>
                <w:rFonts w:eastAsia="宋体"/>
                <w:rFonts w:ascii="Times New Roman" w:hAnsi="Times New Roman"/>
                <w:b w:val="0"/>
                <w:i w:val="0"/>
                <w:sz w:val="20"/>
              </w:rPr>
              <w:t>法务部门</w:t>
            </w:r>
          </w:p>
        </w:tc>
        <w:tc>
          <w:tcPr>
            <w:tcW w:type="dxa" w:w="2351"/>
          </w:tcPr>
          <w:p>
            <w:r/>
            <w:r>
              <w:rPr>
                <w:rFonts w:eastAsia="宋体"/>
                <w:rFonts w:ascii="Times New Roman" w:hAnsi="Times New Roman"/>
                <w:b w:val="0"/>
                <w:i w:val="0"/>
                <w:sz w:val="20"/>
              </w:rPr>
              <w:t>反间谍、内部安全、反恐</w:t>
            </w:r>
          </w:p>
        </w:tc>
        <w:tc>
          <w:tcPr>
            <w:tcW w:type="dxa" w:w="2351"/>
          </w:tcPr>
          <w:p>
            <w:r/>
            <w:r>
              <w:rPr>
                <w:rFonts w:eastAsia="宋体"/>
                <w:rFonts w:ascii="Times New Roman" w:hAnsi="Times New Roman"/>
                <w:b w:val="0"/>
                <w:i w:val="0"/>
                <w:sz w:val="20"/>
              </w:rPr>
              <w:t>极低（无明显交集）</w:t>
            </w:r>
          </w:p>
        </w:tc>
      </w:tr>
      <w:tr>
        <w:tc>
          <w:tcPr>
            <w:tcW w:type="dxa" w:w="2351"/>
          </w:tcPr>
          <w:p>
            <w:r/>
            <w:r>
              <w:rPr>
                <w:rFonts w:eastAsia="宋体"/>
                <w:rFonts w:ascii="Times New Roman" w:hAnsi="Times New Roman"/>
                <w:b w:val="0"/>
                <w:i w:val="0"/>
                <w:sz w:val="20"/>
              </w:rPr>
              <w:t>国防安全研究院 (INDSR)</w:t>
            </w:r>
          </w:p>
        </w:tc>
        <w:tc>
          <w:tcPr>
            <w:tcW w:type="dxa" w:w="2351"/>
          </w:tcPr>
          <w:p>
            <w:r/>
            <w:r>
              <w:rPr>
                <w:rFonts w:eastAsia="宋体"/>
                <w:rFonts w:ascii="Times New Roman" w:hAnsi="Times New Roman"/>
                <w:b w:val="0"/>
                <w:i w:val="0"/>
                <w:sz w:val="20"/>
              </w:rPr>
              <w:t>防务部门 (全资资助)</w:t>
            </w:r>
          </w:p>
        </w:tc>
        <w:tc>
          <w:tcPr>
            <w:tcW w:type="dxa" w:w="2351"/>
          </w:tcPr>
          <w:p>
            <w:r/>
            <w:r>
              <w:rPr>
                <w:rFonts w:eastAsia="宋体"/>
                <w:rFonts w:ascii="Times New Roman" w:hAnsi="Times New Roman"/>
                <w:b w:val="0"/>
                <w:i w:val="0"/>
                <w:sz w:val="20"/>
              </w:rPr>
              <w:t>防务政策研究、二轨外交、不对称作战</w:t>
            </w:r>
          </w:p>
        </w:tc>
        <w:tc>
          <w:tcPr>
            <w:tcW w:type="dxa" w:w="2351"/>
          </w:tcPr>
          <w:p>
            <w:r/>
            <w:r>
              <w:rPr>
                <w:rFonts w:eastAsia="宋体"/>
                <w:rFonts w:ascii="Times New Roman" w:hAnsi="Times New Roman"/>
                <w:b w:val="0"/>
                <w:i w:val="0"/>
                <w:sz w:val="20"/>
              </w:rPr>
              <w:t>联合兵推、学术互访、防务政策倡导、报告引用</w:t>
            </w:r>
          </w:p>
        </w:tc>
      </w:tr>
    </w:tbl>
    <w:p/>
    <w:p>
      <w:pPr>
        <w:spacing w:before="0" w:after="80" w:lineRule="auto" w:line="324"/>
        <w:ind w:firstLine="0"/>
        <w:jc w:val="both"/>
      </w:pPr>
      <w:r>
        <w:rPr>
          <w:rFonts w:eastAsia="宋体"/>
          <w:rFonts w:ascii="Times New Roman" w:hAnsi="Times New Roman"/>
          <w:b w:val="0"/>
          <w:i/>
          <w:sz w:val="22"/>
        </w:rPr>
        <w:t>SOURCE: Compiled from open-source institutional mandates and Taiwan's National Intelligence Work Law.</w:t>
      </w:r>
    </w:p>
    <w:p>
      <w:pPr>
        <w:spacing w:before="240" w:after="120" w:lineRule="auto" w:line="324"/>
        <w:jc w:val="both"/>
      </w:pPr>
      <w:r>
        <w:rPr>
          <w:rFonts w:eastAsia="黑体"/>
          <w:rFonts w:ascii="Arial" w:hAnsi="Arial"/>
          <w:b/>
          <w:i w:val="0"/>
          <w:color w:val="284682"/>
          <w:sz w:val="26"/>
        </w:rPr>
        <w:t>3.3 Documented Engagement: Mitchell Institute and INDSR</w:t>
      </w:r>
    </w:p>
    <w:p>
      <w:pPr>
        <w:spacing w:before="0" w:after="80" w:lineRule="auto" w:line="324"/>
        <w:ind w:firstLine="0"/>
        <w:jc w:val="both"/>
      </w:pPr>
      <w:r>
        <w:rPr>
          <w:rFonts w:eastAsia="宋体"/>
          <w:rFonts w:ascii="Times New Roman" w:hAnsi="Times New Roman"/>
          <w:b w:val="0"/>
          <w:i w:val="0"/>
          <w:sz w:val="22"/>
        </w:rPr>
        <w:t xml:space="preserve">在台湾防务架构中，国防安全研究院（INDSR）是米切尔研究所唯一具有明确、公开互动记录的机构。本节评估的置信度为 </w:t>
      </w:r>
      <w:r>
        <w:rPr>
          <w:rFonts w:eastAsia="宋体"/>
          <w:rFonts w:ascii="Times New Roman" w:hAnsi="Times New Roman"/>
          <w:b/>
          <w:i w:val="0"/>
          <w:sz w:val="22"/>
        </w:rPr>
        <w:t>High</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INDSR 在其公开发布的《国防安全双周报》、季报及政策简报中，频繁引用米切尔研究所的产出。引用的典型语境集中在“解放军空军现代化”、“无人机（UAV）在台海冲突中的应用”以及“美国空军协防台湾的能力缺口”三个方面</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双方关键人员存在明确的互动与接触记录。2026年冬末，米切尔研究所高级研究员 J. Michael Dahm（戴泓）对台湾进行了广泛的实地访问。返回美国后，Dahm 与米切尔研究所研究主任 Heather Penney（潘尼）在第 274 期《Aerospace Advantage》播客（标题：</w:t>
      </w:r>
      <w:r>
        <w:rPr>
          <w:rFonts w:eastAsia="宋体"/>
          <w:rFonts w:ascii="Times New Roman" w:hAnsi="Times New Roman"/>
          <w:b w:val="0"/>
          <w:i/>
          <w:sz w:val="22"/>
        </w:rPr>
        <w:t>Pacific Threat Update: Taiwan Assessment</w:t>
      </w:r>
      <w:r>
        <w:rPr>
          <w:rFonts w:eastAsia="宋体"/>
          <w:rFonts w:ascii="Times New Roman" w:hAnsi="Times New Roman"/>
          <w:b w:val="0"/>
          <w:i w:val="0"/>
          <w:sz w:val="22"/>
        </w:rPr>
        <w:t>）中，详细讨论了台湾抵御解放军胁迫的防卫能力</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sz w:val="22"/>
        </w:rPr>
        <w:t>。此外，米切尔研究所所长 David Deptula（德普图拉）的观点也多次在 INDSR 主办的“台北安全对话”（Taipei Security Dialogue）等场域被引用或作为讨论基准</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2"/>
        </w:rPr>
        <w:t>。</w:t>
      </w:r>
    </w:p>
    <w:p>
      <w:pPr>
        <w:spacing w:before="160" w:after="80" w:lineRule="auto" w:line="324"/>
        <w:jc w:val="both"/>
      </w:pPr>
      <w:r>
        <w:rPr>
          <w:rFonts w:eastAsia="黑体"/>
          <w:rFonts w:ascii="Arial" w:hAnsi="Arial"/>
          <w:b/>
          <w:i w:val="0"/>
          <w:color w:val="3C5A96"/>
          <w:sz w:val="24"/>
        </w:rPr>
        <w:t>Table 3.2 INDSR 公开发布物中引用米切尔报告/播客的清单（部分枚举）</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INDSR 发布物/活动</w:t>
            </w:r>
          </w:p>
        </w:tc>
        <w:tc>
          <w:tcPr>
            <w:tcW w:type="dxa" w:w="2351"/>
          </w:tcPr>
          <w:p>
            <w:r/>
            <w:r>
              <w:rPr>
                <w:rFonts w:eastAsia="宋体"/>
                <w:rFonts w:ascii="Times New Roman" w:hAnsi="Times New Roman"/>
                <w:b/>
                <w:i w:val="0"/>
                <w:sz w:val="20"/>
              </w:rPr>
              <w:t>引用语境与主题</w:t>
            </w:r>
          </w:p>
        </w:tc>
        <w:tc>
          <w:tcPr>
            <w:tcW w:type="dxa" w:w="2351"/>
          </w:tcPr>
          <w:p>
            <w:r/>
            <w:r>
              <w:rPr>
                <w:rFonts w:eastAsia="宋体"/>
                <w:rFonts w:ascii="Times New Roman" w:hAnsi="Times New Roman"/>
                <w:b/>
                <w:i w:val="0"/>
                <w:sz w:val="20"/>
              </w:rPr>
              <w:t>对应的米切尔研究所来源</w:t>
            </w:r>
          </w:p>
        </w:tc>
        <w:tc>
          <w:tcPr>
            <w:tcW w:type="dxa" w:w="2351"/>
          </w:tcPr>
          <w:p>
            <w:r/>
            <w:r>
              <w:rPr>
                <w:rFonts w:eastAsia="宋体"/>
                <w:rFonts w:ascii="Times New Roman" w:hAnsi="Times New Roman"/>
                <w:b/>
                <w:i w:val="0"/>
                <w:sz w:val="20"/>
              </w:rPr>
              <w:t>时间</w:t>
            </w:r>
          </w:p>
        </w:tc>
      </w:tr>
      <w:tr>
        <w:tc>
          <w:tcPr>
            <w:tcW w:type="dxa" w:w="2351"/>
          </w:tcPr>
          <w:p>
            <w:r/>
            <w:r>
              <w:rPr>
                <w:rFonts w:eastAsia="宋体"/>
                <w:rFonts w:ascii="Times New Roman" w:hAnsi="Times New Roman"/>
                <w:b w:val="0"/>
                <w:i w:val="0"/>
                <w:sz w:val="20"/>
              </w:rPr>
              <w:t>《国防安全双周报》</w:t>
            </w:r>
          </w:p>
        </w:tc>
        <w:tc>
          <w:tcPr>
            <w:tcW w:type="dxa" w:w="2351"/>
          </w:tcPr>
          <w:p>
            <w:r/>
            <w:r>
              <w:rPr>
                <w:rFonts w:eastAsia="宋体"/>
                <w:rFonts w:ascii="Times New Roman" w:hAnsi="Times New Roman"/>
                <w:b w:val="0"/>
                <w:i w:val="0"/>
                <w:sz w:val="20"/>
              </w:rPr>
              <w:t>评估解放军在东南沿海的机场扩建及加固机库（HAS）建设</w:t>
            </w:r>
          </w:p>
        </w:tc>
        <w:tc>
          <w:tcPr>
            <w:tcW w:type="dxa" w:w="2351"/>
          </w:tcPr>
          <w:p>
            <w:r/>
            <w:r>
              <w:rPr>
                <w:rFonts w:eastAsia="宋体"/>
                <w:rFonts w:ascii="Times New Roman" w:hAnsi="Times New Roman"/>
                <w:b w:val="0"/>
                <w:i w:val="0"/>
                <w:sz w:val="20"/>
              </w:rPr>
              <w:t xml:space="preserve">Forum Paper 47: </w:t>
            </w:r>
            <w:r>
              <w:rPr>
                <w:rFonts w:eastAsia="宋体"/>
                <w:rFonts w:ascii="Times New Roman" w:hAnsi="Times New Roman"/>
                <w:b w:val="0"/>
                <w:i/>
                <w:sz w:val="20"/>
              </w:rPr>
              <w:t>Hardened Shelters and UCAVs</w:t>
            </w:r>
            <w:r>
              <w:rPr>
                <w:rFonts w:eastAsia="宋体"/>
                <w:rFonts w:ascii="Times New Roman" w:hAnsi="Times New Roman"/>
                <w:b w:val="0"/>
                <w:i w:val="0"/>
                <w:sz w:val="20"/>
              </w:rPr>
              <w:t xml:space="preserve"> (Daniel Rice)</w:t>
            </w:r>
          </w:p>
        </w:tc>
        <w:tc>
          <w:tcPr>
            <w:tcW w:type="dxa" w:w="2351"/>
          </w:tcPr>
          <w:p>
            <w:r/>
            <w:r>
              <w:rPr>
                <w:rFonts w:eastAsia="宋体"/>
                <w:rFonts w:ascii="Times New Roman" w:hAnsi="Times New Roman"/>
                <w:b w:val="0"/>
                <w:i w:val="0"/>
                <w:sz w:val="20"/>
              </w:rPr>
              <w:t>2023-2024</w:t>
            </w:r>
          </w:p>
        </w:tc>
      </w:tr>
      <w:tr>
        <w:tc>
          <w:tcPr>
            <w:tcW w:type="dxa" w:w="2351"/>
          </w:tcPr>
          <w:p>
            <w:r/>
            <w:r>
              <w:rPr>
                <w:rFonts w:eastAsia="宋体"/>
                <w:rFonts w:ascii="Times New Roman" w:hAnsi="Times New Roman"/>
                <w:b w:val="0"/>
                <w:i w:val="0"/>
                <w:sz w:val="20"/>
              </w:rPr>
              <w:t>内部政策简报</w:t>
            </w:r>
          </w:p>
        </w:tc>
        <w:tc>
          <w:tcPr>
            <w:tcW w:type="dxa" w:w="2351"/>
          </w:tcPr>
          <w:p>
            <w:r/>
            <w:r>
              <w:rPr>
                <w:rFonts w:eastAsia="宋体"/>
                <w:rFonts w:ascii="Times New Roman" w:hAnsi="Times New Roman"/>
                <w:b w:val="0"/>
                <w:i w:val="0"/>
                <w:sz w:val="20"/>
              </w:rPr>
              <w:t>探讨乌克兰无人机作战经验对台湾“不对称作战”的启示</w:t>
            </w:r>
          </w:p>
        </w:tc>
        <w:tc>
          <w:tcPr>
            <w:tcW w:type="dxa" w:w="2351"/>
          </w:tcPr>
          <w:p>
            <w:r/>
            <w:r>
              <w:rPr>
                <w:rFonts w:eastAsia="宋体"/>
                <w:rFonts w:ascii="Times New Roman" w:hAnsi="Times New Roman"/>
                <w:b w:val="0"/>
                <w:i w:val="0"/>
                <w:sz w:val="20"/>
              </w:rPr>
              <w:t xml:space="preserve">Podcast Ep. 123: </w:t>
            </w:r>
            <w:r>
              <w:rPr>
                <w:rFonts w:eastAsia="宋体"/>
                <w:rFonts w:ascii="Times New Roman" w:hAnsi="Times New Roman"/>
                <w:b w:val="0"/>
                <w:i/>
                <w:sz w:val="20"/>
              </w:rPr>
              <w:t>The Air Battle for Taiwan: Lessons Learned from Ukraine’s Drone Operations</w:t>
            </w:r>
          </w:p>
        </w:tc>
        <w:tc>
          <w:tcPr>
            <w:tcW w:type="dxa" w:w="2351"/>
          </w:tcPr>
          <w:p>
            <w:r/>
            <w:r>
              <w:rPr>
                <w:rFonts w:eastAsia="宋体"/>
                <w:rFonts w:ascii="Times New Roman" w:hAnsi="Times New Roman"/>
                <w:b w:val="0"/>
                <w:i w:val="0"/>
                <w:sz w:val="20"/>
              </w:rPr>
              <w:t>2024-2025</w:t>
            </w:r>
          </w:p>
        </w:tc>
      </w:tr>
      <w:tr>
        <w:tc>
          <w:tcPr>
            <w:tcW w:type="dxa" w:w="2351"/>
          </w:tcPr>
          <w:p>
            <w:r/>
            <w:r>
              <w:rPr>
                <w:rFonts w:eastAsia="宋体"/>
                <w:rFonts w:ascii="Times New Roman" w:hAnsi="Times New Roman"/>
                <w:b w:val="0"/>
                <w:i w:val="0"/>
                <w:sz w:val="20"/>
              </w:rPr>
              <w:t>台北安全对话 (周边讨论)</w:t>
            </w:r>
          </w:p>
        </w:tc>
        <w:tc>
          <w:tcPr>
            <w:tcW w:type="dxa" w:w="2351"/>
          </w:tcPr>
          <w:p>
            <w:r/>
            <w:r>
              <w:rPr>
                <w:rFonts w:eastAsia="宋体"/>
                <w:rFonts w:ascii="Times New Roman" w:hAnsi="Times New Roman"/>
                <w:b w:val="0"/>
                <w:i w:val="0"/>
                <w:sz w:val="20"/>
              </w:rPr>
              <w:t>论证美国空军在印太地区前沿部署的脆弱性及台湾的源头打击需求</w:t>
            </w:r>
          </w:p>
        </w:tc>
        <w:tc>
          <w:tcPr>
            <w:tcW w:type="dxa" w:w="2351"/>
          </w:tcPr>
          <w:p>
            <w:r/>
            <w:r>
              <w:rPr>
                <w:rFonts w:eastAsia="宋体"/>
                <w:rFonts w:ascii="Times New Roman" w:hAnsi="Times New Roman"/>
                <w:b w:val="0"/>
                <w:i/>
                <w:sz w:val="20"/>
              </w:rPr>
              <w:t>Rebuilding American Airpower</w:t>
            </w:r>
            <w:r>
              <w:rPr>
                <w:rFonts w:eastAsia="宋体"/>
                <w:rFonts w:ascii="Times New Roman" w:hAnsi="Times New Roman"/>
                <w:b w:val="0"/>
                <w:i w:val="0"/>
                <w:sz w:val="20"/>
              </w:rPr>
              <w:t xml:space="preserve"> (基于2025年兵推的报告)</w:t>
            </w:r>
          </w:p>
        </w:tc>
        <w:tc>
          <w:tcPr>
            <w:tcW w:type="dxa" w:w="2351"/>
          </w:tcPr>
          <w:p>
            <w:r/>
            <w:r>
              <w:rPr>
                <w:rFonts w:eastAsia="宋体"/>
                <w:rFonts w:ascii="Times New Roman" w:hAnsi="Times New Roman"/>
                <w:b w:val="0"/>
                <w:i w:val="0"/>
                <w:sz w:val="20"/>
              </w:rPr>
              <w:t>2026-04</w:t>
            </w:r>
          </w:p>
        </w:tc>
      </w:tr>
    </w:tbl>
    <w:p/>
    <w:p>
      <w:pPr>
        <w:spacing w:before="0" w:after="80" w:lineRule="auto" w:line="324"/>
        <w:ind w:firstLine="0"/>
        <w:jc w:val="both"/>
      </w:pPr>
      <w:r>
        <w:rPr>
          <w:rFonts w:eastAsia="宋体"/>
          <w:rFonts w:ascii="Times New Roman" w:hAnsi="Times New Roman"/>
          <w:b w:val="0"/>
          <w:i/>
          <w:sz w:val="22"/>
        </w:rPr>
        <w:t>SOURCE: INDSR official publications database and Mitchell Institute publication archives.</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INDSR 与米切尔研究所之间形成了一种互利的信息共生关系。INDSR 利用米切尔研究所的权威报告作为“外部背书”，以向台湾立法机构和民众论证增加防务预算（特别是采购美制不对称武器）的合理性；而米切尔研究所则通过 INDSR 获取台湾视角的在地评估，进一步丰富其台海兵推的参数设定。</w:t>
      </w:r>
    </w:p>
    <w:p>
      <w:pPr>
        <w:spacing w:before="240" w:after="120" w:lineRule="auto" w:line="324"/>
        <w:jc w:val="both"/>
      </w:pPr>
      <w:r>
        <w:rPr>
          <w:rFonts w:eastAsia="黑体"/>
          <w:rFonts w:ascii="Arial" w:hAnsi="Arial"/>
          <w:b/>
          <w:i w:val="0"/>
          <w:color w:val="284682"/>
          <w:sz w:val="26"/>
        </w:rPr>
        <w:t>3.4 Limited Direct Evidence: Mitchell Institute and NSB</w:t>
      </w:r>
    </w:p>
    <w:p>
      <w:pPr>
        <w:spacing w:before="0" w:after="80" w:lineRule="auto" w:line="324"/>
        <w:ind w:firstLine="0"/>
        <w:jc w:val="both"/>
      </w:pPr>
      <w:r>
        <w:rPr>
          <w:rFonts w:eastAsia="宋体"/>
          <w:rFonts w:ascii="Times New Roman" w:hAnsi="Times New Roman"/>
          <w:b w:val="0"/>
          <w:i w:val="0"/>
          <w:sz w:val="22"/>
        </w:rPr>
        <w:t xml:space="preserve">关于米切尔研究所与台湾国家安全局（NSB）的关系，本报告的评估置信度为 </w:t>
      </w:r>
      <w:r>
        <w:rPr>
          <w:rFonts w:eastAsia="宋体"/>
          <w:rFonts w:ascii="Times New Roman" w:hAnsi="Times New Roman"/>
          <w:b/>
          <w:i w:val="0"/>
          <w:sz w:val="22"/>
        </w:rPr>
        <w:t>Low</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经过对多源公开情报（OSINT）的穷尽检索，</w:t>
      </w:r>
      <w:r>
        <w:rPr>
          <w:rFonts w:eastAsia="宋体"/>
          <w:rFonts w:ascii="Times New Roman" w:hAnsi="Times New Roman"/>
          <w:b/>
          <w:i w:val="0"/>
          <w:sz w:val="22"/>
        </w:rPr>
        <w:t>本报告无法在公开来源中确认米切尔研究所与 NSB 存在正式机构合作关系</w:t>
      </w:r>
      <w:r>
        <w:rPr>
          <w:rFonts w:eastAsia="宋体"/>
          <w:rFonts w:ascii="Times New Roman" w:hAnsi="Times New Roman"/>
          <w:b w:val="0"/>
          <w:i w:val="0"/>
          <w:sz w:val="22"/>
        </w:rPr>
        <w:t>。未发现米切尔研究员与 NSB 局长蔡明彦或副局长级别的官员存在直接的公开会面记录或签署任何合作备忘录。</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尽管缺乏直接证据，但基于行为模式分析，双方可能存在间接的关联通道与认知域的共振：</w:t>
      </w:r>
    </w:p>
    <w:p>
      <w:pPr>
        <w:spacing w:before="0" w:after="40" w:lineRule="auto" w:line="324"/>
        <w:ind w:firstLine="170"/>
        <w:jc w:val="both"/>
      </w:pPr>
      <w:r>
        <w:rPr>
          <w:rFonts w:eastAsia="宋体"/>
          <w:rFonts w:ascii="Times New Roman" w:hAnsi="Times New Roman"/>
          <w:b w:val="0"/>
          <w:i w:val="0"/>
          <w:sz w:val="21"/>
        </w:rPr>
        <w:t xml:space="preserve">1.  </w:t>
      </w:r>
      <w:r>
        <w:rPr>
          <w:rFonts w:eastAsia="宋体"/>
          <w:rFonts w:ascii="Times New Roman" w:hAnsi="Times New Roman"/>
          <w:b/>
          <w:i w:val="0"/>
          <w:sz w:val="21"/>
        </w:rPr>
        <w:t>议程映射</w:t>
      </w:r>
      <w:r>
        <w:rPr>
          <w:rFonts w:eastAsia="宋体"/>
          <w:rFonts w:ascii="Times New Roman" w:hAnsi="Times New Roman"/>
          <w:b w:val="0"/>
          <w:i w:val="0"/>
          <w:sz w:val="21"/>
        </w:rPr>
        <w:t>：NSB 局长蔡明彦多次公开警告解放军对台的“灰色地带”行动及日均数百万次的网络攻击</w:t>
      </w:r>
      <w:r>
        <w:rPr>
          <w:rFonts w:eastAsia="宋体"/>
          <w:rFonts w:ascii="Times New Roman" w:hAnsi="Times New Roman"/>
          <w:b w:val="0"/>
          <w:i w:val="0"/>
          <w:color w:val="323296"/>
          <w:sz w:val="16"/>
          <w:vertAlign w:val="superscript"/>
        </w:rPr>
        <w:t>[10]</w:t>
      </w:r>
      <w:r>
        <w:rPr>
          <w:rFonts w:eastAsia="宋体"/>
          <w:rFonts w:ascii="Times New Roman" w:hAnsi="Times New Roman"/>
          <w:b w:val="0"/>
          <w:i w:val="0"/>
          <w:sz w:val="21"/>
        </w:rPr>
        <w:t>。这一威胁认知与米切尔研究所 MI-SPACE 中心关于“全域作战”及太空/网络域拒止的研究框架高度重合。</w:t>
      </w:r>
    </w:p>
    <w:p>
      <w:pPr>
        <w:spacing w:before="0" w:after="40" w:lineRule="auto" w:line="324"/>
        <w:ind w:firstLine="170"/>
        <w:jc w:val="both"/>
      </w:pPr>
      <w:r>
        <w:rPr>
          <w:rFonts w:eastAsia="宋体"/>
          <w:rFonts w:ascii="Times New Roman" w:hAnsi="Times New Roman"/>
          <w:b w:val="0"/>
          <w:i w:val="0"/>
          <w:sz w:val="21"/>
        </w:rPr>
        <w:t xml:space="preserve">2.  </w:t>
      </w:r>
      <w:r>
        <w:rPr>
          <w:rFonts w:eastAsia="宋体"/>
          <w:rFonts w:ascii="Times New Roman" w:hAnsi="Times New Roman"/>
          <w:b/>
          <w:i w:val="0"/>
          <w:sz w:val="21"/>
        </w:rPr>
        <w:t>USCC 听证通道</w:t>
      </w:r>
      <w:r>
        <w:rPr>
          <w:rFonts w:eastAsia="宋体"/>
          <w:rFonts w:ascii="Times New Roman" w:hAnsi="Times New Roman"/>
          <w:b w:val="0"/>
          <w:i w:val="0"/>
          <w:sz w:val="21"/>
        </w:rPr>
        <w:t>：米切尔研究员（如 Dahm）在美国美中经济暨安全检讨委员会（USCC）的证词，通常会被 NSB 纳入其对美战略评估的参考库。</w:t>
      </w:r>
    </w:p>
    <w:p>
      <w:pPr>
        <w:spacing w:before="0" w:after="40" w:lineRule="auto" w:line="324"/>
        <w:ind w:firstLine="170"/>
        <w:jc w:val="both"/>
      </w:pPr>
      <w:r>
        <w:rPr>
          <w:rFonts w:eastAsia="宋体"/>
          <w:rFonts w:ascii="Times New Roman" w:hAnsi="Times New Roman"/>
          <w:b w:val="0"/>
          <w:i w:val="0"/>
          <w:sz w:val="21"/>
        </w:rPr>
        <w:t xml:space="preserve">3.  </w:t>
      </w:r>
      <w:r>
        <w:rPr>
          <w:rFonts w:eastAsia="宋体"/>
          <w:rFonts w:ascii="Times New Roman" w:hAnsi="Times New Roman"/>
          <w:b/>
          <w:i w:val="0"/>
          <w:sz w:val="21"/>
        </w:rPr>
        <w:t>中介重叠</w:t>
      </w:r>
      <w:r>
        <w:rPr>
          <w:rFonts w:eastAsia="宋体"/>
          <w:rFonts w:ascii="Times New Roman" w:hAnsi="Times New Roman"/>
          <w:b w:val="0"/>
          <w:i w:val="0"/>
          <w:sz w:val="21"/>
        </w:rPr>
        <w:t>：2026年1月，美国在台协会（AIT）处长 Raymond Greene 在 INDSR 发表演讲，强调加强台湾供应链与防务韧性</w:t>
      </w:r>
      <w:r>
        <w:rPr>
          <w:rFonts w:eastAsia="宋体"/>
          <w:rFonts w:ascii="Times New Roman" w:hAnsi="Times New Roman"/>
          <w:b w:val="0"/>
          <w:i w:val="0"/>
          <w:color w:val="323296"/>
          <w:sz w:val="16"/>
          <w:vertAlign w:val="superscript"/>
        </w:rPr>
        <w:t>[11]</w:t>
      </w:r>
      <w:r>
        <w:rPr>
          <w:rFonts w:eastAsia="宋体"/>
          <w:rFonts w:ascii="Times New Roman" w:hAnsi="Times New Roman"/>
          <w:b w:val="0"/>
          <w:i w:val="0"/>
          <w:sz w:val="21"/>
        </w:rPr>
        <w:t>。米切尔学者 Dahm 随后的访台行程与此类高层政策宣示在时间节点上存在重叠，表明 NSB 可能通过 AIT 或 INDSR 间接接收了米切尔研究所的评估简报。</w:t>
      </w:r>
    </w:p>
    <w:p>
      <w:pPr>
        <w:spacing w:before="240" w:after="120" w:lineRule="auto" w:line="324"/>
        <w:jc w:val="both"/>
      </w:pPr>
      <w:r>
        <w:rPr>
          <w:rFonts w:eastAsia="黑体"/>
          <w:rFonts w:ascii="Arial" w:hAnsi="Arial"/>
          <w:b/>
          <w:i w:val="0"/>
          <w:color w:val="284682"/>
          <w:sz w:val="26"/>
        </w:rPr>
        <w:t>3.5 Limited Direct Evidence: Mitchell Institute and MIB</w:t>
      </w:r>
    </w:p>
    <w:p>
      <w:pPr>
        <w:spacing w:before="0" w:after="80" w:lineRule="auto" w:line="324"/>
        <w:ind w:firstLine="0"/>
        <w:jc w:val="both"/>
      </w:pPr>
      <w:r>
        <w:rPr>
          <w:rFonts w:eastAsia="宋体"/>
          <w:rFonts w:ascii="Times New Roman" w:hAnsi="Times New Roman"/>
          <w:b w:val="0"/>
          <w:i w:val="0"/>
          <w:sz w:val="22"/>
        </w:rPr>
        <w:t xml:space="preserve">关于米切尔研究所与台湾军事情报局（MIB）的关系，本报告的评估置信度同样为 </w:t>
      </w:r>
      <w:r>
        <w:rPr>
          <w:rFonts w:eastAsia="宋体"/>
          <w:rFonts w:ascii="Times New Roman" w:hAnsi="Times New Roman"/>
          <w:b/>
          <w:i w:val="0"/>
          <w:sz w:val="22"/>
        </w:rPr>
        <w:t>Low</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w:t>
      </w:r>
      <w:r>
        <w:rPr>
          <w:rFonts w:eastAsia="宋体"/>
          <w:rFonts w:ascii="Times New Roman" w:hAnsi="Times New Roman"/>
          <w:b/>
          <w:i w:val="0"/>
          <w:sz w:val="22"/>
        </w:rPr>
        <w:t>公开来源中未发现米切尔研究所与 MIB 存在任何实质性合作或人员接触的证据。</w:t>
      </w:r>
      <w:r>
        <w:rPr>
          <w:rFonts w:eastAsia="宋体"/>
          <w:rFonts w:ascii="Times New Roman" w:hAnsi="Times New Roman"/>
          <w:b w:val="0"/>
          <w:i w:val="0"/>
          <w:sz w:val="22"/>
        </w:rPr>
        <w:t xml:space="preserve"> 2025年曾有媒体指控 MIB 人员赴欧洲与外国情报机构接触，但这与米切尔研究所无关</w:t>
      </w:r>
      <w:r>
        <w:rPr>
          <w:rFonts w:eastAsia="宋体"/>
          <w:rFonts w:ascii="Times New Roman" w:hAnsi="Times New Roman"/>
          <w:b w:val="0"/>
          <w:i w:val="0"/>
          <w:color w:val="323296"/>
          <w:sz w:val="16"/>
          <w:vertAlign w:val="superscript"/>
        </w:rPr>
        <w:t>[12]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双方的潜在交集仅停留在“同业语言”与研究焦点的重合上。米切尔高级研究员 Dahm 拥有 25 年美国海军情报官履历，其主导的《中国空军追踪器》大量使用商业卫星 SAR 影像与 OSINT 技术。这种技术情报（TECHINT）分析方法正是传统人力情报（HUMINT）受挫后，MIB 当前急需转型的方向。</w:t>
      </w:r>
    </w:p>
    <w:p>
      <w:pPr>
        <w:spacing w:before="160" w:after="80" w:lineRule="auto" w:line="324"/>
        <w:jc w:val="both"/>
      </w:pPr>
      <w:r>
        <w:rPr>
          <w:rFonts w:eastAsia="黑体"/>
          <w:rFonts w:ascii="Arial" w:hAnsi="Arial"/>
          <w:b/>
          <w:i w:val="0"/>
          <w:color w:val="3C5A96"/>
          <w:sz w:val="24"/>
        </w:rPr>
        <w:t>Table 3.3 已检索的可能交集多边会议清单（2024-2026）</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eastAsia="宋体"/>
                <w:rFonts w:ascii="Times New Roman" w:hAnsi="Times New Roman"/>
                <w:b/>
                <w:i w:val="0"/>
                <w:sz w:val="20"/>
              </w:rPr>
              <w:t>会议名称</w:t>
            </w:r>
          </w:p>
        </w:tc>
        <w:tc>
          <w:tcPr>
            <w:tcW w:type="dxa" w:w="1881"/>
          </w:tcPr>
          <w:p>
            <w:r/>
            <w:r>
              <w:rPr>
                <w:rFonts w:eastAsia="宋体"/>
                <w:rFonts w:ascii="Times New Roman" w:hAnsi="Times New Roman"/>
                <w:b/>
                <w:i w:val="0"/>
                <w:sz w:val="20"/>
              </w:rPr>
              <w:t>地点</w:t>
            </w:r>
          </w:p>
        </w:tc>
        <w:tc>
          <w:tcPr>
            <w:tcW w:type="dxa" w:w="1881"/>
          </w:tcPr>
          <w:p>
            <w:r/>
            <w:r>
              <w:rPr>
                <w:rFonts w:eastAsia="宋体"/>
                <w:rFonts w:ascii="Times New Roman" w:hAnsi="Times New Roman"/>
                <w:b/>
                <w:i w:val="0"/>
                <w:sz w:val="20"/>
              </w:rPr>
              <w:t>米切尔人员出席记录</w:t>
            </w:r>
          </w:p>
        </w:tc>
        <w:tc>
          <w:tcPr>
            <w:tcW w:type="dxa" w:w="1881"/>
          </w:tcPr>
          <w:p>
            <w:r/>
            <w:r>
              <w:rPr>
                <w:rFonts w:eastAsia="宋体"/>
                <w:rFonts w:ascii="Times New Roman" w:hAnsi="Times New Roman"/>
                <w:b/>
                <w:i w:val="0"/>
                <w:sz w:val="20"/>
              </w:rPr>
              <w:t>台湾防务/情报人员同期出席记录</w:t>
            </w:r>
          </w:p>
        </w:tc>
        <w:tc>
          <w:tcPr>
            <w:tcW w:type="dxa" w:w="1881"/>
          </w:tcPr>
          <w:p>
            <w:r/>
            <w:r>
              <w:rPr>
                <w:rFonts w:eastAsia="宋体"/>
                <w:rFonts w:ascii="Times New Roman" w:hAnsi="Times New Roman"/>
                <w:b/>
                <w:i w:val="0"/>
                <w:sz w:val="20"/>
              </w:rPr>
              <w:t>接触状态评估</w:t>
            </w:r>
          </w:p>
        </w:tc>
      </w:tr>
      <w:tr>
        <w:tc>
          <w:tcPr>
            <w:tcW w:type="dxa" w:w="1881"/>
          </w:tcPr>
          <w:p>
            <w:r/>
            <w:r>
              <w:rPr>
                <w:rFonts w:eastAsia="宋体"/>
                <w:rFonts w:ascii="Times New Roman" w:hAnsi="Times New Roman"/>
                <w:b w:val="0"/>
                <w:i w:val="0"/>
                <w:sz w:val="20"/>
              </w:rPr>
              <w:t>Halifax International Security Forum</w:t>
            </w:r>
          </w:p>
        </w:tc>
        <w:tc>
          <w:tcPr>
            <w:tcW w:type="dxa" w:w="1881"/>
          </w:tcPr>
          <w:p>
            <w:r/>
            <w:r>
              <w:rPr>
                <w:rFonts w:eastAsia="宋体"/>
                <w:rFonts w:ascii="Times New Roman" w:hAnsi="Times New Roman"/>
                <w:b w:val="0"/>
                <w:i w:val="0"/>
                <w:sz w:val="20"/>
              </w:rPr>
              <w:t>加拿大</w:t>
            </w:r>
          </w:p>
        </w:tc>
        <w:tc>
          <w:tcPr>
            <w:tcW w:type="dxa" w:w="1881"/>
          </w:tcPr>
          <w:p>
            <w:r/>
            <w:r>
              <w:rPr>
                <w:rFonts w:eastAsia="宋体"/>
                <w:rFonts w:ascii="Times New Roman" w:hAnsi="Times New Roman"/>
                <w:b w:val="0"/>
                <w:i w:val="0"/>
                <w:sz w:val="20"/>
              </w:rPr>
              <w:t>是 (高级研究员)</w:t>
            </w:r>
          </w:p>
        </w:tc>
        <w:tc>
          <w:tcPr>
            <w:tcW w:type="dxa" w:w="1881"/>
          </w:tcPr>
          <w:p>
            <w:r/>
            <w:r>
              <w:rPr>
                <w:rFonts w:eastAsia="宋体"/>
                <w:rFonts w:ascii="Times New Roman" w:hAnsi="Times New Roman"/>
                <w:b w:val="0"/>
                <w:i w:val="0"/>
                <w:sz w:val="20"/>
              </w:rPr>
              <w:t>是 (防务部门代表团)</w:t>
            </w:r>
          </w:p>
        </w:tc>
        <w:tc>
          <w:tcPr>
            <w:tcW w:type="dxa" w:w="1881"/>
          </w:tcPr>
          <w:p>
            <w:r/>
            <w:r>
              <w:rPr>
                <w:rFonts w:eastAsia="宋体"/>
                <w:rFonts w:ascii="Times New Roman" w:hAnsi="Times New Roman"/>
                <w:b/>
                <w:i w:val="0"/>
                <w:sz w:val="20"/>
              </w:rPr>
              <w:t>未确认双方有实质性交流</w:t>
            </w:r>
          </w:p>
        </w:tc>
      </w:tr>
      <w:tr>
        <w:tc>
          <w:tcPr>
            <w:tcW w:type="dxa" w:w="1881"/>
          </w:tcPr>
          <w:p>
            <w:r/>
            <w:r>
              <w:rPr>
                <w:rFonts w:eastAsia="宋体"/>
                <w:rFonts w:ascii="Times New Roman" w:hAnsi="Times New Roman"/>
                <w:b w:val="0"/>
                <w:i w:val="0"/>
                <w:sz w:val="20"/>
              </w:rPr>
              <w:t>Aspen Security Forum</w:t>
            </w:r>
          </w:p>
        </w:tc>
        <w:tc>
          <w:tcPr>
            <w:tcW w:type="dxa" w:w="1881"/>
          </w:tcPr>
          <w:p>
            <w:r/>
            <w:r>
              <w:rPr>
                <w:rFonts w:eastAsia="宋体"/>
                <w:rFonts w:ascii="Times New Roman" w:hAnsi="Times New Roman"/>
                <w:b w:val="0"/>
                <w:i w:val="0"/>
                <w:sz w:val="20"/>
              </w:rPr>
              <w:t>美国</w:t>
            </w:r>
          </w:p>
        </w:tc>
        <w:tc>
          <w:tcPr>
            <w:tcW w:type="dxa" w:w="1881"/>
          </w:tcPr>
          <w:p>
            <w:r/>
            <w:r>
              <w:rPr>
                <w:rFonts w:eastAsia="宋体"/>
                <w:rFonts w:ascii="Times New Roman" w:hAnsi="Times New Roman"/>
                <w:b w:val="0"/>
                <w:i w:val="0"/>
                <w:sz w:val="20"/>
              </w:rPr>
              <w:t>是 (所长级别)</w:t>
            </w:r>
          </w:p>
        </w:tc>
        <w:tc>
          <w:tcPr>
            <w:tcW w:type="dxa" w:w="1881"/>
          </w:tcPr>
          <w:p>
            <w:r/>
            <w:r>
              <w:rPr>
                <w:rFonts w:eastAsia="宋体"/>
                <w:rFonts w:ascii="Times New Roman" w:hAnsi="Times New Roman"/>
                <w:b w:val="0"/>
                <w:i w:val="0"/>
                <w:sz w:val="20"/>
              </w:rPr>
              <w:t>是 (驻美代表处/国安官员)</w:t>
            </w:r>
          </w:p>
        </w:tc>
        <w:tc>
          <w:tcPr>
            <w:tcW w:type="dxa" w:w="1881"/>
          </w:tcPr>
          <w:p>
            <w:r/>
            <w:r>
              <w:rPr>
                <w:rFonts w:eastAsia="宋体"/>
                <w:rFonts w:ascii="Times New Roman" w:hAnsi="Times New Roman"/>
                <w:b/>
                <w:i w:val="0"/>
                <w:sz w:val="20"/>
              </w:rPr>
              <w:t>未确认双方有实质性交流</w:t>
            </w:r>
          </w:p>
        </w:tc>
      </w:tr>
      <w:tr>
        <w:tc>
          <w:tcPr>
            <w:tcW w:type="dxa" w:w="1881"/>
          </w:tcPr>
          <w:p>
            <w:r/>
            <w:r>
              <w:rPr>
                <w:rFonts w:eastAsia="宋体"/>
                <w:rFonts w:ascii="Times New Roman" w:hAnsi="Times New Roman"/>
                <w:b w:val="0"/>
                <w:i w:val="0"/>
                <w:sz w:val="20"/>
              </w:rPr>
              <w:t>IISS Shangri-La Dialogue</w:t>
            </w:r>
          </w:p>
        </w:tc>
        <w:tc>
          <w:tcPr>
            <w:tcW w:type="dxa" w:w="1881"/>
          </w:tcPr>
          <w:p>
            <w:r/>
            <w:r>
              <w:rPr>
                <w:rFonts w:eastAsia="宋体"/>
                <w:rFonts w:ascii="Times New Roman" w:hAnsi="Times New Roman"/>
                <w:b w:val="0"/>
                <w:i w:val="0"/>
                <w:sz w:val="20"/>
              </w:rPr>
              <w:t>新加坡</w:t>
            </w:r>
          </w:p>
        </w:tc>
        <w:tc>
          <w:tcPr>
            <w:tcW w:type="dxa" w:w="1881"/>
          </w:tcPr>
          <w:p>
            <w:r/>
            <w:r>
              <w:rPr>
                <w:rFonts w:eastAsia="宋体"/>
                <w:rFonts w:ascii="Times New Roman" w:hAnsi="Times New Roman"/>
                <w:b w:val="0"/>
                <w:i w:val="0"/>
                <w:sz w:val="20"/>
              </w:rPr>
              <w:t>是 (观察员身份)</w:t>
            </w:r>
          </w:p>
        </w:tc>
        <w:tc>
          <w:tcPr>
            <w:tcW w:type="dxa" w:w="1881"/>
          </w:tcPr>
          <w:p>
            <w:r/>
            <w:r>
              <w:rPr>
                <w:rFonts w:eastAsia="宋体"/>
                <w:rFonts w:ascii="Times New Roman" w:hAnsi="Times New Roman"/>
                <w:b w:val="0"/>
                <w:i w:val="0"/>
                <w:sz w:val="20"/>
              </w:rPr>
              <w:t>否 (台湾官方受限无法正式出席)</w:t>
            </w:r>
          </w:p>
        </w:tc>
        <w:tc>
          <w:tcPr>
            <w:tcW w:type="dxa" w:w="1881"/>
          </w:tcPr>
          <w:p>
            <w:r/>
            <w:r>
              <w:rPr>
                <w:rFonts w:eastAsia="宋体"/>
                <w:rFonts w:ascii="Times New Roman" w:hAnsi="Times New Roman"/>
                <w:b w:val="0"/>
                <w:i w:val="0"/>
                <w:sz w:val="20"/>
              </w:rPr>
              <w:t>无交集</w:t>
            </w:r>
          </w:p>
        </w:tc>
      </w:tr>
    </w:tbl>
    <w:p/>
    <w:p>
      <w:pPr>
        <w:spacing w:before="0" w:after="80" w:lineRule="auto" w:line="324"/>
        <w:ind w:firstLine="0"/>
        <w:jc w:val="both"/>
      </w:pPr>
      <w:r>
        <w:rPr>
          <w:rFonts w:eastAsia="宋体"/>
          <w:rFonts w:ascii="Times New Roman" w:hAnsi="Times New Roman"/>
          <w:b w:val="0"/>
          <w:i/>
          <w:sz w:val="22"/>
        </w:rPr>
        <w:t>SOURCE: Official attendee lists from respective forum organizers (where publicly available).</w:t>
      </w:r>
    </w:p>
    <w:p>
      <w:pPr>
        <w:spacing w:before="240" w:after="120" w:lineRule="auto" w:line="324"/>
        <w:jc w:val="both"/>
      </w:pPr>
      <w:r>
        <w:rPr>
          <w:rFonts w:eastAsia="黑体"/>
          <w:rFonts w:ascii="Arial" w:hAnsi="Arial"/>
          <w:b/>
          <w:i w:val="0"/>
          <w:color w:val="284682"/>
          <w:sz w:val="26"/>
        </w:rPr>
        <w:t>3.6 The "Triangle Channel": AIT–INDSR–Mitchell</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在缺乏官方军事同盟条约的限制下，美国与台湾地区的智库交流演化出了一种高效的“三角中介”机制（Triangle Channel）。该机制由美国在台协会（AIT）、台湾国防安全研究院（INDSR）与米切尔研究所共同构成。</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该机制的运作逻辑如下：AIT（受美国国务院资助并代表官方立场）提供政治框架与政策绿灯；INDSR（受台湾防务部门资助）提供资金支持、会议平台与在地视角；米切尔研究所（代表美国空军及军工复合体利益）则提供权威的军事技术分析。2026年1月 AIT 处长 Raymond Greene 在 INDSR 关于“强化韧性”（Strengthening Resilience）的演讲，为后续美国军方背景智库学者（如 Dahm）的访台定下了政策基调</w:t>
      </w:r>
      <w:r>
        <w:rPr>
          <w:rFonts w:eastAsia="宋体"/>
          <w:rFonts w:ascii="Times New Roman" w:hAnsi="Times New Roman"/>
          <w:b w:val="0"/>
          <w:i w:val="0"/>
          <w:color w:val="323296"/>
          <w:sz w:val="16"/>
          <w:vertAlign w:val="superscript"/>
        </w:rPr>
        <w:t>[13]</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尽管米切尔研究所与 INDSR 的互动在形式上属于 </w:t>
      </w:r>
      <w:r>
        <w:rPr>
          <w:rFonts w:eastAsia="宋体"/>
          <w:rFonts w:ascii="Times New Roman" w:hAnsi="Times New Roman"/>
          <w:b/>
          <w:i w:val="0"/>
          <w:sz w:val="22"/>
        </w:rPr>
        <w:t>Track-2（第二轨道：学术性、非官方）</w:t>
      </w:r>
      <w:r>
        <w:rPr>
          <w:rFonts w:eastAsia="宋体"/>
          <w:rFonts w:ascii="Times New Roman" w:hAnsi="Times New Roman"/>
          <w:b w:val="0"/>
          <w:i w:val="0"/>
          <w:sz w:val="22"/>
        </w:rPr>
        <w:t xml:space="preserve">，但由于 INDSR 的官方背景以及米切尔研究所与五角大楼的“旋转门”关系，这种互动实质上发挥了 </w:t>
      </w:r>
      <w:r>
        <w:rPr>
          <w:rFonts w:eastAsia="宋体"/>
          <w:rFonts w:ascii="Times New Roman" w:hAnsi="Times New Roman"/>
          <w:b/>
          <w:i w:val="0"/>
          <w:sz w:val="22"/>
        </w:rPr>
        <w:t>Track-1.5（第一点五轨道：包含决策者参与的半官方对话）</w:t>
      </w:r>
      <w:r>
        <w:rPr>
          <w:rFonts w:eastAsia="宋体"/>
          <w:rFonts w:ascii="Times New Roman" w:hAnsi="Times New Roman"/>
          <w:b w:val="0"/>
          <w:i w:val="0"/>
          <w:sz w:val="22"/>
        </w:rPr>
        <w:t xml:space="preserve"> 的功能。它允许美台双方的防务规划者在非正式场合测试政策气球，并对齐未来的军备采购清单。</w:t>
      </w:r>
    </w:p>
    <w:p>
      <w:pPr>
        <w:spacing w:before="240" w:after="120" w:lineRule="auto" w:line="324"/>
        <w:jc w:val="both"/>
      </w:pPr>
      <w:r>
        <w:rPr>
          <w:rFonts w:eastAsia="黑体"/>
          <w:rFonts w:ascii="Arial" w:hAnsi="Arial"/>
          <w:b/>
          <w:i w:val="0"/>
          <w:color w:val="284682"/>
          <w:sz w:val="26"/>
        </w:rPr>
        <w:t>3.7 Case Study: The J-6 UCAV Disclosure and Policy Loop</w:t>
      </w:r>
    </w:p>
    <w:p>
      <w:pPr>
        <w:spacing w:before="0" w:after="80" w:lineRule="auto" w:line="324"/>
        <w:ind w:firstLine="0"/>
        <w:jc w:val="both"/>
      </w:pPr>
      <w:r>
        <w:rPr>
          <w:rFonts w:eastAsia="宋体"/>
          <w:rFonts w:ascii="Times New Roman" w:hAnsi="Times New Roman"/>
          <w:b w:val="0"/>
          <w:i w:val="0"/>
          <w:sz w:val="22"/>
        </w:rPr>
        <w:t>2026年3月关于解放军歼-6（J-6）改装无人战斗机（UCAV）的披露，是米切尔研究所开源情报转化为政策杠杆的典型案例。</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2026年3月，米切尔研究所发布报告，指出基于卫星图像分析，中国在靠近台湾海峡的福建、广东等6个空军基地部署了由退役歼-6改装而成的攻击型无人机，数量估计超过200架</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sz w:val="22"/>
        </w:rPr>
        <w:t>。该信息迅速被路透社、南华早报及美国之音（VOA）等国际媒体广泛报道。</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在媒体曝光后，台湾安全官员在接受质询时对国际媒体证实了这一战术动态。随后，AIT 处长公开表态“支持台湾获取防卫能力”以应对此类威胁</w:t>
      </w:r>
      <w:r>
        <w:rPr>
          <w:rFonts w:eastAsia="宋体"/>
          <w:rFonts w:ascii="Times New Roman" w:hAnsi="Times New Roman"/>
          <w:b w:val="0"/>
          <w:i w:val="0"/>
          <w:color w:val="323296"/>
          <w:sz w:val="16"/>
          <w:vertAlign w:val="superscript"/>
        </w:rPr>
        <w:t>[15]</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这一事件形成了一个完美的“情报-政策闭环”（Policy Loop）。米切尔研究所扮演了“情报发令枪”的角色，将战术级的 OSINT 发现转化为战略级的安全焦虑。INDSR 随后利用这一焦虑论证台湾需要发展反制无人机的“不对称作战”能力，最终为美国对台军售（如弹簧刀 Switchblade 或 Altius 等巡飞弹/无人系统）铺平了政治道路。</w:t>
      </w:r>
    </w:p>
    <w:p>
      <w:pPr>
        <w:spacing w:before="160" w:after="80" w:lineRule="auto" w:line="324"/>
        <w:jc w:val="both"/>
      </w:pPr>
      <w:r>
        <w:rPr>
          <w:rFonts w:eastAsia="黑体"/>
          <w:rFonts w:ascii="Arial" w:hAnsi="Arial"/>
          <w:b/>
          <w:i w:val="0"/>
          <w:color w:val="3C5A96"/>
          <w:sz w:val="24"/>
        </w:rPr>
        <w:t>Figure 3.1 J-6 UCAV 政策闭环示意图</w:t>
      </w:r>
    </w:p>
    <w:p>
      <w:pPr>
        <w:spacing w:before="0" w:after="120" w:lineRule="auto" w:line="324"/>
        <w:jc w:val="both"/>
      </w:pPr>
      <w:r>
        <w:rPr>
          <w:rFonts w:eastAsia="Consolas"/>
          <w:rFonts w:ascii="Consolas" w:hAnsi="Consolas"/>
          <w:b w:val="0"/>
          <w:i w:val="0"/>
          <w:color w:val="3C3C3C"/>
          <w:sz w:val="18"/>
        </w:rPr>
        <w:t>[Mitchell Institute]</w:t>
        <w:br/>
        <w:t xml:space="preserve">   │  (1) 发布 OSINT 报告: 揭露 6个基地 200+ 架 J-6 UCAV</w:t>
        <w:br/>
        <w:t xml:space="preserve">   ▼</w:t>
        <w:br/>
        <w:t>[International Media] (Reuters / SCMP / VOA)</w:t>
        <w:br/>
        <w:t xml:space="preserve">   │  (2) 舆论放大: 渲染台海防空饱和攻击威胁</w:t>
        <w:br/>
        <w:t xml:space="preserve">   ▼</w:t>
        <w:br/>
        <w:t>[Taiwan Security Officials / NSB]</w:t>
        <w:br/>
        <w:t xml:space="preserve">   │  (3) 官方证实: 确认战术动态，引发内部防务焦虑</w:t>
        <w:br/>
        <w:t xml:space="preserve">   ▼</w:t>
        <w:br/>
        <w:t>[INDSR]</w:t>
        <w:br/>
        <w:t xml:space="preserve">   │  (4) 战略评估: 论证亟需采购反无人机系统与不对称武器</w:t>
        <w:br/>
        <w:t xml:space="preserve">   ▼</w:t>
        <w:br/>
        <w:t>[AIT / US State Department]</w:t>
        <w:br/>
        <w:t xml:space="preserve">   │  (5) 政策表态: 重申支持台湾防卫能力建设</w:t>
        <w:br/>
        <w:t xml:space="preserve">   ▼</w:t>
        <w:br/>
        <w:t>[US Defense Industry]</w:t>
        <w:br/>
        <w:t xml:space="preserve">   │  (6) 军售落地: 推动 Switchblade / Altius 等系统售台</w:t>
        <w:br/>
        <w:t xml:space="preserve">   ▼</w:t>
        <w:br/>
        <w:t>(Loop returns to Mitchell Institute sponsors)</w:t>
      </w:r>
    </w:p>
    <w:p>
      <w:pPr>
        <w:spacing w:before="0" w:after="80" w:lineRule="auto" w:line="324"/>
        <w:ind w:firstLine="0"/>
        <w:jc w:val="both"/>
      </w:pPr>
      <w:r>
        <w:rPr>
          <w:rFonts w:eastAsia="宋体"/>
          <w:rFonts w:ascii="Times New Roman" w:hAnsi="Times New Roman"/>
          <w:b w:val="0"/>
          <w:i/>
          <w:sz w:val="22"/>
        </w:rPr>
        <w:t>SOURCE: RAND analytic construct based on OSINT reporting timelines (March-April 2026).</w:t>
      </w:r>
    </w:p>
    <w:p>
      <w:pPr>
        <w:spacing w:before="240" w:after="120" w:lineRule="auto" w:line="324"/>
        <w:jc w:val="both"/>
      </w:pPr>
      <w:r>
        <w:rPr>
          <w:rFonts w:eastAsia="黑体"/>
          <w:rFonts w:ascii="Arial" w:hAnsi="Arial"/>
          <w:b/>
          <w:i w:val="0"/>
          <w:color w:val="284682"/>
          <w:sz w:val="26"/>
        </w:rPr>
        <w:t>3.8 Case Study: The 2025 Wargame and the "2035 Defeat" Narrative</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2025年6月，米切尔研究所组织了一场约60人参与的非机密兵棋推演，参与者包括美国空军人员、国防工业代表及部分盟国军官。基于此次兵推，该机构于2026年4月9日发布了题为《重建美国空军》（Rebuilding American Airpower）的报告</w:t>
      </w:r>
      <w:r>
        <w:rPr>
          <w:rFonts w:eastAsia="宋体"/>
          <w:rFonts w:ascii="Times New Roman" w:hAnsi="Times New Roman"/>
          <w:b w:val="0"/>
          <w:i w:val="0"/>
          <w:color w:val="323296"/>
          <w:sz w:val="16"/>
          <w:vertAlign w:val="superscript"/>
        </w:rPr>
        <w:t>[16]</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[Evidence-Based Finding]</w:t>
      </w:r>
      <w:r>
        <w:rPr>
          <w:rFonts w:eastAsia="宋体"/>
          <w:rFonts w:ascii="Times New Roman" w:hAnsi="Times New Roman"/>
          <w:b w:val="0"/>
          <w:i w:val="0"/>
          <w:sz w:val="22"/>
        </w:rPr>
        <w:t xml:space="preserve"> 该报告的核心结论是：“以当前的现代化轨迹，美国空军到 2035 年将无法可靠地阻止解放军入侵台湾。” 兵推将参与者分为代表当前规划的“杜立德队”（Team Doolittle）和代表激进现代化的“米切尔队”（Team Mitchell）。结果显示，只有采用“米切尔队”的配置（即大量增加 F-47 第六代战机、B-21 轰炸机及 CCA 的采购），美军才能在台海冲突中取胜</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这一“2035战败”叙事具有极强的政策杠杆效应。对内，它直接向美国国会施压，要求在即将到来的国防授权法案（NDAA）中为米切尔研究所的赞助商（如诺斯罗普·格鲁曼、波音）增加采购预算。对外，这一结论被台湾媒体广泛放大，加剧了台湾内部的“战力焦虑”，进而转化为台湾立法机构要求防务部门增加预算、加速对美军购的政治压力。</w:t>
      </w:r>
    </w:p>
    <w:p>
      <w:pPr>
        <w:spacing w:before="240" w:after="120" w:lineRule="auto" w:line="324"/>
        <w:jc w:val="both"/>
      </w:pPr>
      <w:r>
        <w:rPr>
          <w:rFonts w:eastAsia="黑体"/>
          <w:rFonts w:ascii="Arial" w:hAnsi="Arial"/>
          <w:b/>
          <w:i w:val="0"/>
          <w:color w:val="284682"/>
          <w:sz w:val="26"/>
        </w:rPr>
        <w:t>3.9 Comparative Assessment with Other Track-2 Channels</w:t>
      </w:r>
    </w:p>
    <w:p>
      <w:pPr>
        <w:spacing w:before="0" w:after="80" w:lineRule="auto" w:line="324"/>
        <w:ind w:firstLine="0"/>
        <w:jc w:val="both"/>
      </w:pPr>
      <w:r>
        <w:rPr>
          <w:rFonts w:eastAsia="宋体"/>
          <w:rFonts w:ascii="Times New Roman" w:hAnsi="Times New Roman"/>
          <w:b w:val="0"/>
          <w:i w:val="0"/>
          <w:sz w:val="22"/>
        </w:rPr>
        <w:t>为准确定位米切尔研究所在涉台 Track-2 网络中的角色，本节将其与华盛顿其他主要智库进行横向对比。</w:t>
      </w:r>
    </w:p>
    <w:p>
      <w:pPr>
        <w:spacing w:before="0" w:after="80" w:lineRule="auto" w:line="324"/>
        <w:ind w:firstLine="0"/>
        <w:jc w:val="both"/>
      </w:pPr>
      <w:r>
        <w:rPr>
          <w:rFonts w:eastAsia="宋体"/>
          <w:rFonts w:ascii="Times New Roman" w:hAnsi="Times New Roman"/>
          <w:b/>
          <w:i w:val="0"/>
          <w:sz w:val="22"/>
        </w:rPr>
        <w:t>[Analytic Judgment]</w:t>
      </w:r>
      <w:r>
        <w:rPr>
          <w:rFonts w:eastAsia="宋体"/>
          <w:rFonts w:ascii="Times New Roman" w:hAnsi="Times New Roman"/>
          <w:b w:val="0"/>
          <w:i w:val="0"/>
          <w:sz w:val="22"/>
        </w:rPr>
        <w:t xml:space="preserve"> 与 CSIS 或 Hudson Institute 等综合性智库相比，米切尔研究所的涉台研究呈现出“极度垂直”与“平台绑定”的特征。它不侧重于宏观的地缘政治或全政府（Whole-of-Government）战略，而是将台海冲突直接降维至具体的航空航天平台效能（如机库穿透力、出动架次率）。</w:t>
      </w:r>
    </w:p>
    <w:p>
      <w:pPr>
        <w:spacing w:before="160" w:after="80" w:lineRule="auto" w:line="324"/>
        <w:jc w:val="both"/>
      </w:pPr>
      <w:r>
        <w:rPr>
          <w:rFonts w:eastAsia="黑体"/>
          <w:rFonts w:ascii="Arial" w:hAnsi="Arial"/>
          <w:b/>
          <w:i w:val="0"/>
          <w:color w:val="3C5A96"/>
          <w:sz w:val="24"/>
        </w:rPr>
        <w:t>Table 3.4 华盛顿主要智库涉台 Track-2 渠道特征对比</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智库名称</w:t>
            </w:r>
          </w:p>
        </w:tc>
        <w:tc>
          <w:tcPr>
            <w:tcW w:type="dxa" w:w="2351"/>
          </w:tcPr>
          <w:p>
            <w:r/>
            <w:r>
              <w:rPr>
                <w:rFonts w:eastAsia="宋体"/>
                <w:rFonts w:ascii="Times New Roman" w:hAnsi="Times New Roman"/>
                <w:b/>
                <w:i w:val="0"/>
                <w:sz w:val="20"/>
              </w:rPr>
              <w:t>涉台研究核心视角</w:t>
            </w:r>
          </w:p>
        </w:tc>
        <w:tc>
          <w:tcPr>
            <w:tcW w:type="dxa" w:w="2351"/>
          </w:tcPr>
          <w:p>
            <w:r/>
            <w:r>
              <w:rPr>
                <w:rFonts w:eastAsia="宋体"/>
                <w:rFonts w:ascii="Times New Roman" w:hAnsi="Times New Roman"/>
                <w:b/>
                <w:i w:val="0"/>
                <w:sz w:val="20"/>
              </w:rPr>
              <w:t>典型兵推/报告特征</w:t>
            </w:r>
          </w:p>
        </w:tc>
        <w:tc>
          <w:tcPr>
            <w:tcW w:type="dxa" w:w="2351"/>
          </w:tcPr>
          <w:p>
            <w:r/>
            <w:r>
              <w:rPr>
                <w:rFonts w:eastAsia="宋体"/>
                <w:rFonts w:ascii="Times New Roman" w:hAnsi="Times New Roman"/>
                <w:b/>
                <w:i w:val="0"/>
                <w:sz w:val="20"/>
              </w:rPr>
              <w:t>政策倡导倾向</w:t>
            </w:r>
          </w:p>
        </w:tc>
      </w:tr>
      <w:tr>
        <w:tc>
          <w:tcPr>
            <w:tcW w:type="dxa" w:w="2351"/>
          </w:tcPr>
          <w:p>
            <w:r/>
            <w:r>
              <w:rPr>
                <w:rFonts w:eastAsia="宋体"/>
                <w:rFonts w:ascii="Times New Roman" w:hAnsi="Times New Roman"/>
                <w:b/>
                <w:i w:val="0"/>
                <w:sz w:val="20"/>
              </w:rPr>
              <w:t>CSIS</w:t>
            </w:r>
          </w:p>
        </w:tc>
        <w:tc>
          <w:tcPr>
            <w:tcW w:type="dxa" w:w="2351"/>
          </w:tcPr>
          <w:p>
            <w:r/>
            <w:r>
              <w:rPr>
                <w:rFonts w:eastAsia="宋体"/>
                <w:rFonts w:ascii="Times New Roman" w:hAnsi="Times New Roman"/>
                <w:b w:val="0"/>
                <w:i w:val="0"/>
                <w:sz w:val="20"/>
              </w:rPr>
              <w:t>战区级宏观战略、后勤与同盟</w:t>
            </w:r>
          </w:p>
        </w:tc>
        <w:tc>
          <w:tcPr>
            <w:tcW w:type="dxa" w:w="2351"/>
          </w:tcPr>
          <w:p>
            <w:r/>
            <w:r>
              <w:rPr>
                <w:rFonts w:eastAsia="宋体"/>
                <w:rFonts w:ascii="Times New Roman" w:hAnsi="Times New Roman"/>
                <w:b w:val="0"/>
                <w:i w:val="0"/>
                <w:sz w:val="20"/>
              </w:rPr>
              <w:t>跨军种联合、伤亡与经济代价评估 (如2023年台海兵推)</w:t>
            </w:r>
          </w:p>
        </w:tc>
        <w:tc>
          <w:tcPr>
            <w:tcW w:type="dxa" w:w="2351"/>
          </w:tcPr>
          <w:p>
            <w:r/>
            <w:r>
              <w:rPr>
                <w:rFonts w:eastAsia="宋体"/>
                <w:rFonts w:ascii="Times New Roman" w:hAnsi="Times New Roman"/>
                <w:b w:val="0"/>
                <w:i w:val="0"/>
                <w:sz w:val="20"/>
              </w:rPr>
              <w:t>强调弹药储备、基地韧性与美日同盟协同</w:t>
            </w:r>
          </w:p>
        </w:tc>
      </w:tr>
      <w:tr>
        <w:tc>
          <w:tcPr>
            <w:tcW w:type="dxa" w:w="2351"/>
          </w:tcPr>
          <w:p>
            <w:r/>
            <w:r>
              <w:rPr>
                <w:rFonts w:eastAsia="宋体"/>
                <w:rFonts w:ascii="Times New Roman" w:hAnsi="Times New Roman"/>
                <w:b/>
                <w:i w:val="0"/>
                <w:sz w:val="20"/>
              </w:rPr>
              <w:t>Hudson Institute</w:t>
            </w:r>
          </w:p>
        </w:tc>
        <w:tc>
          <w:tcPr>
            <w:tcW w:type="dxa" w:w="2351"/>
          </w:tcPr>
          <w:p>
            <w:r/>
            <w:r>
              <w:rPr>
                <w:rFonts w:eastAsia="宋体"/>
                <w:rFonts w:ascii="Times New Roman" w:hAnsi="Times New Roman"/>
                <w:b w:val="0"/>
                <w:i w:val="0"/>
                <w:sz w:val="20"/>
              </w:rPr>
              <w:t>地缘政治、印太威慑架构</w:t>
            </w:r>
          </w:p>
        </w:tc>
        <w:tc>
          <w:tcPr>
            <w:tcW w:type="dxa" w:w="2351"/>
          </w:tcPr>
          <w:p>
            <w:r/>
            <w:r>
              <w:rPr>
                <w:rFonts w:eastAsia="宋体"/>
                <w:rFonts w:ascii="Times New Roman" w:hAnsi="Times New Roman"/>
                <w:b w:val="0"/>
                <w:i w:val="0"/>
                <w:sz w:val="20"/>
              </w:rPr>
              <w:t>宏观政策分析、外交与经济制裁</w:t>
            </w:r>
          </w:p>
        </w:tc>
        <w:tc>
          <w:tcPr>
            <w:tcW w:type="dxa" w:w="2351"/>
          </w:tcPr>
          <w:p>
            <w:r/>
            <w:r>
              <w:rPr>
                <w:rFonts w:eastAsia="宋体"/>
                <w:rFonts w:ascii="Times New Roman" w:hAnsi="Times New Roman"/>
                <w:b w:val="0"/>
                <w:i w:val="0"/>
                <w:sz w:val="20"/>
              </w:rPr>
              <w:t>强调外交孤立防范、印太盟友网络构建</w:t>
            </w:r>
          </w:p>
        </w:tc>
      </w:tr>
      <w:tr>
        <w:tc>
          <w:tcPr>
            <w:tcW w:type="dxa" w:w="2351"/>
          </w:tcPr>
          <w:p>
            <w:r/>
            <w:r>
              <w:rPr>
                <w:rFonts w:eastAsia="宋体"/>
                <w:rFonts w:ascii="Times New Roman" w:hAnsi="Times New Roman"/>
                <w:b/>
                <w:i w:val="0"/>
                <w:sz w:val="20"/>
              </w:rPr>
              <w:t>AEI</w:t>
            </w:r>
          </w:p>
        </w:tc>
        <w:tc>
          <w:tcPr>
            <w:tcW w:type="dxa" w:w="2351"/>
          </w:tcPr>
          <w:p>
            <w:r/>
            <w:r>
              <w:rPr>
                <w:rFonts w:eastAsia="宋体"/>
                <w:rFonts w:ascii="Times New Roman" w:hAnsi="Times New Roman"/>
                <w:b w:val="0"/>
                <w:i w:val="0"/>
                <w:sz w:val="20"/>
              </w:rPr>
              <w:t>政治-军事战略、威慑理论</w:t>
            </w:r>
          </w:p>
        </w:tc>
        <w:tc>
          <w:tcPr>
            <w:tcW w:type="dxa" w:w="2351"/>
          </w:tcPr>
          <w:p>
            <w:r/>
            <w:r>
              <w:rPr>
                <w:rFonts w:eastAsia="宋体"/>
                <w:rFonts w:ascii="Times New Roman" w:hAnsi="Times New Roman"/>
                <w:b w:val="0"/>
                <w:i w:val="0"/>
                <w:sz w:val="20"/>
              </w:rPr>
              <w:t>联盟管理、对台政治支持</w:t>
            </w:r>
          </w:p>
        </w:tc>
        <w:tc>
          <w:tcPr>
            <w:tcW w:type="dxa" w:w="2351"/>
          </w:tcPr>
          <w:p>
            <w:r/>
            <w:r>
              <w:rPr>
                <w:rFonts w:eastAsia="宋体"/>
                <w:rFonts w:ascii="Times New Roman" w:hAnsi="Times New Roman"/>
                <w:b w:val="0"/>
                <w:i w:val="0"/>
                <w:sz w:val="20"/>
              </w:rPr>
              <w:t>强调战略清晰、高层互访与政治威慑</w:t>
            </w:r>
          </w:p>
        </w:tc>
      </w:tr>
      <w:tr>
        <w:tc>
          <w:tcPr>
            <w:tcW w:type="dxa" w:w="2351"/>
          </w:tcPr>
          <w:p>
            <w:r/>
            <w:r>
              <w:rPr>
                <w:rFonts w:eastAsia="宋体"/>
                <w:rFonts w:ascii="Times New Roman" w:hAnsi="Times New Roman"/>
                <w:b/>
                <w:i w:val="0"/>
                <w:sz w:val="20"/>
              </w:rPr>
              <w:t>Mitchell Institute</w:t>
            </w:r>
          </w:p>
        </w:tc>
        <w:tc>
          <w:tcPr>
            <w:tcW w:type="dxa" w:w="2351"/>
          </w:tcPr>
          <w:p>
            <w:r/>
            <w:r>
              <w:rPr>
                <w:rFonts w:eastAsia="宋体"/>
                <w:rFonts w:ascii="Times New Roman" w:hAnsi="Times New Roman"/>
                <w:b/>
                <w:i w:val="0"/>
                <w:sz w:val="20"/>
              </w:rPr>
              <w:t>航空航天力量、战术平台效能</w:t>
            </w:r>
          </w:p>
        </w:tc>
        <w:tc>
          <w:tcPr>
            <w:tcW w:type="dxa" w:w="2351"/>
          </w:tcPr>
          <w:p>
            <w:r/>
            <w:r>
              <w:rPr>
                <w:rFonts w:eastAsia="宋体"/>
                <w:rFonts w:ascii="Times New Roman" w:hAnsi="Times New Roman"/>
                <w:b/>
                <w:i w:val="0"/>
                <w:sz w:val="20"/>
              </w:rPr>
              <w:t>特定军种/平台对抗 (如2025年空军兵推)、OSINT 设施追踪</w:t>
            </w:r>
          </w:p>
        </w:tc>
        <w:tc>
          <w:tcPr>
            <w:tcW w:type="dxa" w:w="2351"/>
          </w:tcPr>
          <w:p>
            <w:r/>
            <w:r>
              <w:rPr>
                <w:rFonts w:eastAsia="宋体"/>
                <w:rFonts w:ascii="Times New Roman" w:hAnsi="Times New Roman"/>
                <w:b/>
                <w:i w:val="0"/>
                <w:sz w:val="20"/>
              </w:rPr>
              <w:t>极力主张采购特定空天武器平台 (B-21, F-47, CCA)</w:t>
            </w:r>
          </w:p>
        </w:tc>
      </w:tr>
    </w:tbl>
    <w:p/>
    <w:p>
      <w:pPr>
        <w:spacing w:before="0" w:after="80" w:lineRule="auto" w:line="324"/>
        <w:ind w:firstLine="0"/>
        <w:jc w:val="both"/>
      </w:pPr>
      <w:r>
        <w:rPr>
          <w:rFonts w:eastAsia="宋体"/>
          <w:rFonts w:ascii="Times New Roman" w:hAnsi="Times New Roman"/>
          <w:b w:val="0"/>
          <w:i/>
          <w:sz w:val="22"/>
        </w:rPr>
        <w:t>SOURCE: RAND analytic judgment based on institutional publication records.</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Key Findings of Chapter 3</w:t>
      </w:r>
    </w:p>
    <w:p>
      <w:pPr>
        <w:spacing w:before="0" w:after="60" w:lineRule="auto" w:line="324"/>
        <w:ind w:firstLine="170"/>
        <w:jc w:val="both"/>
      </w:pPr>
      <w:r>
        <w:rPr>
          <w:rFonts w:eastAsia="宋体"/>
          <w:rFonts w:ascii="Times New Roman" w:hAnsi="Times New Roman"/>
          <w:b/>
          <w:i w:val="0"/>
          <w:sz w:val="20"/>
        </w:rPr>
        <w:t>KF 3.1</w:t>
      </w:r>
      <w:r>
        <w:rPr>
          <w:rFonts w:eastAsia="宋体"/>
          <w:rFonts w:ascii="Times New Roman" w:hAnsi="Times New Roman"/>
          <w:b w:val="0"/>
          <w:i w:val="0"/>
          <w:sz w:val="20"/>
        </w:rPr>
        <w:t xml:space="preserve"> 台湾议题在米切尔研究所的研究议程中权重显著上升。该机构将台海冲突想定作为核心“压力测试场”，以此论证美国空军加速现代化及扩大特定军备采购（如 B-21, CCA）的必要性。</w:t>
      </w:r>
    </w:p>
    <w:p>
      <w:pPr>
        <w:spacing w:before="0" w:after="60" w:lineRule="auto" w:line="324"/>
        <w:ind w:firstLine="170"/>
        <w:jc w:val="both"/>
      </w:pPr>
      <w:r>
        <w:rPr>
          <w:rFonts w:eastAsia="宋体"/>
          <w:rFonts w:ascii="Times New Roman" w:hAnsi="Times New Roman"/>
          <w:b/>
          <w:i w:val="0"/>
          <w:sz w:val="20"/>
        </w:rPr>
        <w:t>KF 3.2</w:t>
      </w:r>
      <w:r>
        <w:rPr>
          <w:rFonts w:eastAsia="宋体"/>
          <w:rFonts w:ascii="Times New Roman" w:hAnsi="Times New Roman"/>
          <w:b w:val="0"/>
          <w:i w:val="0"/>
          <w:sz w:val="20"/>
        </w:rPr>
        <w:t xml:space="preserve"> 台湾国防安全研究院（INDSR）是米切尔研究所在台湾唯一具有明确、公开互动记录的准官方机构。双方通过学术互访、播客访谈及报告引用，形成了一种互利的信息共生关系。</w:t>
      </w:r>
    </w:p>
    <w:p>
      <w:pPr>
        <w:spacing w:before="0" w:after="60" w:lineRule="auto" w:line="324"/>
        <w:ind w:firstLine="170"/>
        <w:jc w:val="both"/>
      </w:pPr>
      <w:r>
        <w:rPr>
          <w:rFonts w:eastAsia="宋体"/>
          <w:rFonts w:ascii="Times New Roman" w:hAnsi="Times New Roman"/>
          <w:b/>
          <w:i w:val="0"/>
          <w:sz w:val="20"/>
        </w:rPr>
        <w:t>KF 3.3</w:t>
      </w:r>
      <w:r>
        <w:rPr>
          <w:rFonts w:eastAsia="宋体"/>
          <w:rFonts w:ascii="Times New Roman" w:hAnsi="Times New Roman"/>
          <w:b w:val="0"/>
          <w:i w:val="0"/>
          <w:sz w:val="20"/>
        </w:rPr>
        <w:t xml:space="preserve"> 经过严格的公开来源检索，本报告未发现米切尔研究所与台湾国家安全局（NSB）或军事情报局（MIB）存在正式机构合作或人员实质性接触的直接证据。双方的交集主要体现在威胁认知框架的重合以及对开源情报（OSINT）的间接利用上。</w:t>
      </w:r>
    </w:p>
    <w:p>
      <w:pPr>
        <w:spacing w:before="0" w:after="60" w:lineRule="auto" w:line="324"/>
        <w:ind w:firstLine="170"/>
        <w:jc w:val="both"/>
      </w:pPr>
      <w:r>
        <w:rPr>
          <w:rFonts w:eastAsia="宋体"/>
          <w:rFonts w:ascii="Times New Roman" w:hAnsi="Times New Roman"/>
          <w:b/>
          <w:i w:val="0"/>
          <w:sz w:val="20"/>
        </w:rPr>
        <w:t>KF 3.4</w:t>
      </w:r>
      <w:r>
        <w:rPr>
          <w:rFonts w:eastAsia="宋体"/>
          <w:rFonts w:ascii="Times New Roman" w:hAnsi="Times New Roman"/>
          <w:b w:val="0"/>
          <w:i w:val="0"/>
          <w:sz w:val="20"/>
        </w:rPr>
        <w:t xml:space="preserve"> 美台之间形成了一个由 AIT（政治框架）、INDSR（资金与平台）和米切尔研究所（军事技术分析）构成的“三角中介”机制。该机制名义上为 Track-2，但实质上发挥了 Track-1.5 的政策对齐功能。</w:t>
      </w:r>
    </w:p>
    <w:p>
      <w:pPr>
        <w:spacing w:before="0" w:after="60" w:lineRule="auto" w:line="324"/>
        <w:ind w:firstLine="170"/>
        <w:jc w:val="both"/>
      </w:pPr>
      <w:r>
        <w:rPr>
          <w:rFonts w:eastAsia="宋体"/>
          <w:rFonts w:ascii="Times New Roman" w:hAnsi="Times New Roman"/>
          <w:b/>
          <w:i w:val="0"/>
          <w:sz w:val="20"/>
        </w:rPr>
        <w:t>KF 3.5</w:t>
      </w:r>
      <w:r>
        <w:rPr>
          <w:rFonts w:eastAsia="宋体"/>
          <w:rFonts w:ascii="Times New Roman" w:hAnsi="Times New Roman"/>
          <w:b w:val="0"/>
          <w:i w:val="0"/>
          <w:sz w:val="20"/>
        </w:rPr>
        <w:t xml:space="preserve"> 米切尔研究所关于“歼-6改装无人机”的 OSINT 披露，成功触发了一个从“智库曝光 → 媒体放大 → 台湾官方证实 → 军售推动”的政策闭环，展示了其利用开源情报塑造防务政策的强大能力。</w:t>
      </w:r>
    </w:p>
    <w:p>
      <w:pPr>
        <w:spacing w:before="0" w:after="60" w:lineRule="auto" w:line="324"/>
        <w:ind w:firstLine="170"/>
        <w:jc w:val="both"/>
      </w:pPr>
      <w:r>
        <w:rPr>
          <w:rFonts w:eastAsia="宋体"/>
          <w:rFonts w:ascii="Times New Roman" w:hAnsi="Times New Roman"/>
          <w:b/>
          <w:i w:val="0"/>
          <w:sz w:val="20"/>
        </w:rPr>
        <w:t>KF 3.6</w:t>
      </w:r>
      <w:r>
        <w:rPr>
          <w:rFonts w:eastAsia="宋体"/>
          <w:rFonts w:ascii="Times New Roman" w:hAnsi="Times New Roman"/>
          <w:b w:val="0"/>
          <w:i w:val="0"/>
          <w:sz w:val="20"/>
        </w:rPr>
        <w:t xml:space="preserve"> 通过 2025 年兵推及“2035年美军将无法保卫台湾”的叙事，米切尔研究所成功在华盛顿和台北两地制造了战力焦虑。这种焦虑被用作双向政策杠杆：既向美国国会施压要求增加空军预算，又间接促使台湾增加对美军购。</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Chapter 4. The China Airpower Tracker: Sources, Methods, and Tradecraft</w:t>
      </w:r>
    </w:p>
    <w:p>
      <w:pPr>
        <w:spacing w:before="240" w:after="120" w:lineRule="auto" w:line="324"/>
        <w:jc w:val="both"/>
      </w:pPr>
      <w:r>
        <w:rPr>
          <w:rFonts w:eastAsia="黑体"/>
          <w:rFonts w:ascii="Arial" w:hAnsi="Arial"/>
          <w:b/>
          <w:i w:val="0"/>
          <w:color w:val="284682"/>
          <w:sz w:val="26"/>
        </w:rPr>
        <w:t>4.1 Project Overview</w:t>
      </w:r>
    </w:p>
    <w:p>
      <w:pPr>
        <w:spacing w:before="0" w:after="80" w:lineRule="auto" w:line="324"/>
        <w:ind w:firstLine="0"/>
        <w:jc w:val="both"/>
      </w:pPr>
      <w:r>
        <w:rPr>
          <w:rFonts w:eastAsia="宋体"/>
          <w:rFonts w:ascii="Times New Roman" w:hAnsi="Times New Roman"/>
          <w:b w:val="0"/>
          <w:i w:val="0"/>
          <w:sz w:val="22"/>
        </w:rPr>
        <w:t>基于证据的发现（Evidence-based finding）显示，米切尔航空航天研究所（The Mitchell Institute for Aerospace Studies）于2026年2月25日正式上线了其旗舰开源情报（OSINT）产品——《中国空军追踪器》（China Airpower Tracker）</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sz w:val="22"/>
        </w:rPr>
        <w:t>。该项目（URL: mitchellaerospacepower.org/china）被官方定义为一个动态的、基于高分辨率影像的战术与战略情报评估平台，旨在系统性追踪中国人民解放军空军（PLAAF）及海军航空兵（PLANAF）的兵力结构演进、基地基础设施建设及装备现代化轨迹</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val="0"/>
          <w:i w:val="0"/>
          <w:sz w:val="22"/>
        </w:rPr>
        <w:t>分析性判断（Analytic judgment）表明，该项目的核心驱动力高度依赖其首席分析师 J. Michael Dahm 的个人履历与情报技艺。Dahm 拥有25年美国海军情报官服役经验，曾任美国驻华大使馆助理海军武官，其深厚的体制内情报分析背景为该开源项目注入了准军方标准的方法论</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Table 4.1 — Tracker 项目基本信息表</w:t>
      </w:r>
    </w:p>
    <w:tbl>
      <w:tblPr>
        <w:tblStyle w:val="LightGrid-Accent1"/>
        <w:tblW w:type="auto" w:w="0"/>
        <w:tblLook w:firstColumn="1" w:firstRow="1" w:lastColumn="0" w:lastRow="0" w:noHBand="0" w:noVBand="1" w:val="04A0"/>
      </w:tblPr>
      <w:tblGrid>
        <w:gridCol w:w="4703"/>
        <w:gridCol w:w="4703"/>
      </w:tblGrid>
      <w:tr>
        <w:tc>
          <w:tcPr>
            <w:tcW w:type="dxa" w:w="4703"/>
          </w:tcPr>
          <w:p>
            <w:r/>
            <w:r>
              <w:rPr>
                <w:rFonts w:eastAsia="宋体"/>
                <w:rFonts w:ascii="Times New Roman" w:hAnsi="Times New Roman"/>
                <w:b/>
                <w:i w:val="0"/>
                <w:sz w:val="20"/>
              </w:rPr>
              <w:t>维度 (Dimension)</w:t>
            </w:r>
          </w:p>
        </w:tc>
        <w:tc>
          <w:tcPr>
            <w:tcW w:type="dxa" w:w="4703"/>
          </w:tcPr>
          <w:p>
            <w:r/>
            <w:r>
              <w:rPr>
                <w:rFonts w:eastAsia="宋体"/>
                <w:rFonts w:ascii="Times New Roman" w:hAnsi="Times New Roman"/>
                <w:b/>
                <w:i w:val="0"/>
                <w:sz w:val="20"/>
              </w:rPr>
              <w:t>描述 (Description)</w:t>
            </w:r>
          </w:p>
        </w:tc>
      </w:tr>
      <w:tr>
        <w:tc>
          <w:tcPr>
            <w:tcW w:type="dxa" w:w="4703"/>
          </w:tcPr>
          <w:p>
            <w:r/>
            <w:r>
              <w:rPr>
                <w:rFonts w:eastAsia="宋体"/>
                <w:rFonts w:ascii="Times New Roman" w:hAnsi="Times New Roman"/>
                <w:b/>
                <w:i w:val="0"/>
                <w:sz w:val="20"/>
              </w:rPr>
              <w:t>项目名称</w:t>
            </w:r>
          </w:p>
        </w:tc>
        <w:tc>
          <w:tcPr>
            <w:tcW w:type="dxa" w:w="4703"/>
          </w:tcPr>
          <w:p>
            <w:r/>
            <w:r>
              <w:rPr>
                <w:rFonts w:eastAsia="宋体"/>
                <w:rFonts w:ascii="Times New Roman" w:hAnsi="Times New Roman"/>
                <w:b w:val="0"/>
                <w:i w:val="0"/>
                <w:sz w:val="20"/>
              </w:rPr>
              <w:t>China Airpower Tracker (中国空军追踪器)</w:t>
            </w:r>
          </w:p>
        </w:tc>
      </w:tr>
      <w:tr>
        <w:tc>
          <w:tcPr>
            <w:tcW w:type="dxa" w:w="4703"/>
          </w:tcPr>
          <w:p>
            <w:r/>
            <w:r>
              <w:rPr>
                <w:rFonts w:eastAsia="宋体"/>
                <w:rFonts w:ascii="Times New Roman" w:hAnsi="Times New Roman"/>
                <w:b/>
                <w:i w:val="0"/>
                <w:sz w:val="20"/>
              </w:rPr>
              <w:t>上线日期</w:t>
            </w:r>
          </w:p>
        </w:tc>
        <w:tc>
          <w:tcPr>
            <w:tcW w:type="dxa" w:w="4703"/>
          </w:tcPr>
          <w:p>
            <w:r/>
            <w:r>
              <w:rPr>
                <w:rFonts w:eastAsia="宋体"/>
                <w:rFonts w:ascii="Times New Roman" w:hAnsi="Times New Roman"/>
                <w:b w:val="0"/>
                <w:i w:val="0"/>
                <w:sz w:val="20"/>
              </w:rPr>
              <w:t>2026-02-25</w:t>
            </w:r>
          </w:p>
        </w:tc>
      </w:tr>
      <w:tr>
        <w:tc>
          <w:tcPr>
            <w:tcW w:type="dxa" w:w="4703"/>
          </w:tcPr>
          <w:p>
            <w:r/>
            <w:r>
              <w:rPr>
                <w:rFonts w:eastAsia="宋体"/>
                <w:rFonts w:ascii="Times New Roman" w:hAnsi="Times New Roman"/>
                <w:b/>
                <w:i w:val="0"/>
                <w:sz w:val="20"/>
              </w:rPr>
              <w:t>首席分析师</w:t>
            </w:r>
          </w:p>
        </w:tc>
        <w:tc>
          <w:tcPr>
            <w:tcW w:type="dxa" w:w="4703"/>
          </w:tcPr>
          <w:p>
            <w:r/>
            <w:r>
              <w:rPr>
                <w:rFonts w:eastAsia="宋体"/>
                <w:rFonts w:ascii="Times New Roman" w:hAnsi="Times New Roman"/>
                <w:b w:val="0"/>
                <w:i w:val="0"/>
                <w:sz w:val="20"/>
              </w:rPr>
              <w:t>J. Michael Dahm (前 USN 资深情报官)</w:t>
            </w:r>
          </w:p>
        </w:tc>
      </w:tr>
      <w:tr>
        <w:tc>
          <w:tcPr>
            <w:tcW w:type="dxa" w:w="4703"/>
          </w:tcPr>
          <w:p>
            <w:r/>
            <w:r>
              <w:rPr>
                <w:rFonts w:eastAsia="宋体"/>
                <w:rFonts w:ascii="Times New Roman" w:hAnsi="Times New Roman"/>
                <w:b/>
                <w:i w:val="0"/>
                <w:sz w:val="20"/>
              </w:rPr>
              <w:t>核心目标</w:t>
            </w:r>
          </w:p>
        </w:tc>
        <w:tc>
          <w:tcPr>
            <w:tcW w:type="dxa" w:w="4703"/>
          </w:tcPr>
          <w:p>
            <w:r/>
            <w:r>
              <w:rPr>
                <w:rFonts w:eastAsia="宋体"/>
                <w:rFonts w:ascii="Times New Roman" w:hAnsi="Times New Roman"/>
                <w:b w:val="0"/>
                <w:i w:val="0"/>
                <w:sz w:val="20"/>
              </w:rPr>
              <w:t>追踪 PLAAF/PLANAF 基地扩建、机型迭代与战术意图</w:t>
            </w:r>
          </w:p>
        </w:tc>
      </w:tr>
      <w:tr>
        <w:tc>
          <w:tcPr>
            <w:tcW w:type="dxa" w:w="4703"/>
          </w:tcPr>
          <w:p>
            <w:r/>
            <w:r>
              <w:rPr>
                <w:rFonts w:eastAsia="宋体"/>
                <w:rFonts w:ascii="Times New Roman" w:hAnsi="Times New Roman"/>
                <w:b/>
                <w:i w:val="0"/>
                <w:sz w:val="20"/>
              </w:rPr>
              <w:t>数据基础</w:t>
            </w:r>
          </w:p>
        </w:tc>
        <w:tc>
          <w:tcPr>
            <w:tcW w:type="dxa" w:w="4703"/>
          </w:tcPr>
          <w:p>
            <w:r/>
            <w:r>
              <w:rPr>
                <w:rFonts w:eastAsia="宋体"/>
                <w:rFonts w:ascii="Times New Roman" w:hAnsi="Times New Roman"/>
                <w:b w:val="0"/>
                <w:i w:val="0"/>
                <w:sz w:val="20"/>
              </w:rPr>
              <w:t>多模态商业卫星影像 + 跨域开源情报 (OSINT)</w:t>
            </w:r>
          </w:p>
        </w:tc>
      </w:tr>
      <w:tr>
        <w:tc>
          <w:tcPr>
            <w:tcW w:type="dxa" w:w="4703"/>
          </w:tcPr>
          <w:p>
            <w:r/>
            <w:r>
              <w:rPr>
                <w:rFonts w:eastAsia="宋体"/>
                <w:rFonts w:ascii="Times New Roman" w:hAnsi="Times New Roman"/>
                <w:b/>
                <w:i w:val="0"/>
                <w:sz w:val="20"/>
              </w:rPr>
              <w:t>目标受众</w:t>
            </w:r>
          </w:p>
        </w:tc>
        <w:tc>
          <w:tcPr>
            <w:tcW w:type="dxa" w:w="4703"/>
          </w:tcPr>
          <w:p>
            <w:r/>
            <w:r>
              <w:rPr>
                <w:rFonts w:eastAsia="宋体"/>
                <w:rFonts w:ascii="Times New Roman" w:hAnsi="Times New Roman"/>
                <w:b w:val="0"/>
                <w:i w:val="0"/>
                <w:sz w:val="20"/>
              </w:rPr>
              <w:t>美国国会、DoD 决策层、印太盟友防务部门、防务工业界</w:t>
            </w:r>
          </w:p>
        </w:tc>
      </w:tr>
    </w:tbl>
    <w:p/>
    <w:p>
      <w:pPr>
        <w:spacing w:before="0" w:after="80" w:lineRule="auto" w:line="324"/>
        <w:ind w:firstLine="0"/>
        <w:jc w:val="both"/>
      </w:pPr>
      <w:r>
        <w:rPr>
          <w:rFonts w:eastAsia="宋体"/>
          <w:rFonts w:ascii="Times New Roman" w:hAnsi="Times New Roman"/>
          <w:b w:val="0"/>
          <w:i/>
          <w:sz w:val="22"/>
        </w:rPr>
        <w:t>SOURCE: RAND NSRD compilation based on Mitchell Institute public announcements, 2026.</w:t>
      </w:r>
    </w:p>
    <w:p>
      <w:pPr>
        <w:spacing w:before="240" w:after="120" w:lineRule="auto" w:line="324"/>
        <w:jc w:val="both"/>
      </w:pPr>
      <w:r>
        <w:rPr>
          <w:rFonts w:eastAsia="黑体"/>
          <w:rFonts w:ascii="Arial" w:hAnsi="Arial"/>
          <w:b/>
          <w:i w:val="0"/>
          <w:color w:val="284682"/>
          <w:sz w:val="26"/>
        </w:rPr>
        <w:t>4.2 Six Categories of Data Sources</w:t>
      </w:r>
    </w:p>
    <w:p>
      <w:pPr>
        <w:spacing w:before="0" w:after="80" w:lineRule="auto" w:line="324"/>
        <w:ind w:firstLine="0"/>
        <w:jc w:val="both"/>
      </w:pPr>
      <w:r>
        <w:rPr>
          <w:rFonts w:eastAsia="宋体"/>
          <w:rFonts w:ascii="Times New Roman" w:hAnsi="Times New Roman"/>
          <w:b w:val="0"/>
          <w:i w:val="0"/>
          <w:sz w:val="22"/>
        </w:rPr>
        <w:t>《中国空军追踪器》的底层数据架构并未依赖单一维度的信息，而是构建了一个由六大类开源数据交织而成的多模态矩阵。以下对各类数据源的构成与情报价值进行解构。</w:t>
      </w:r>
    </w:p>
    <w:p>
      <w:pPr>
        <w:spacing w:before="160" w:after="80" w:lineRule="auto" w:line="324"/>
        <w:jc w:val="both"/>
      </w:pPr>
      <w:r>
        <w:rPr>
          <w:rFonts w:eastAsia="黑体"/>
          <w:rFonts w:ascii="Arial" w:hAnsi="Arial"/>
          <w:b/>
          <w:i w:val="0"/>
          <w:color w:val="3C5A96"/>
          <w:sz w:val="24"/>
        </w:rPr>
        <w:t>4.2.1 Commercial Satellite Imagery</w:t>
      </w:r>
    </w:p>
    <w:p>
      <w:pPr>
        <w:spacing w:before="0" w:after="80" w:lineRule="auto" w:line="324"/>
        <w:ind w:firstLine="0"/>
        <w:jc w:val="both"/>
      </w:pPr>
      <w:r>
        <w:rPr>
          <w:rFonts w:eastAsia="宋体"/>
          <w:rFonts w:ascii="Times New Roman" w:hAnsi="Times New Roman"/>
          <w:b w:val="0"/>
          <w:i w:val="0"/>
          <w:sz w:val="22"/>
        </w:rPr>
        <w:t>商业卫星影像是该追踪器最核心的物理证据层。基于证据的发现表明，该项目广泛采购或订阅了多家顶级商业卫星供应商的数据服务</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。在光学影像方面，Maxar Technologies 的 WorldView 星座（提供高达 0.3 米分辨率的图像）和 Planet Labs 的 SkySat 与 PlanetScope 星座被用于精确测量飞机几何尺寸及跑道扩建细节。在合成孔径雷达（SAR）方面，Capella Space 和 ICEYE 的数据被用于全天候、穿透云层及伪装网的侦察，特别是利用相干变化检测（CCD）技术识别地下设施的挖掘活动。此外，欧洲空间局（ESA）免费提供的 Sentinel-1/2 数据被用作广域基线监测，以触发高分辨率卫星的定向拍摄</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Table 4.2 — 主要商业卫星供应商及其分辨率/重访率</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供应商 (Provider)</w:t>
            </w:r>
          </w:p>
        </w:tc>
        <w:tc>
          <w:tcPr>
            <w:tcW w:type="dxa" w:w="2351"/>
          </w:tcPr>
          <w:p>
            <w:r/>
            <w:r>
              <w:rPr>
                <w:rFonts w:eastAsia="宋体"/>
                <w:rFonts w:ascii="Times New Roman" w:hAnsi="Times New Roman"/>
                <w:b/>
                <w:i w:val="0"/>
                <w:sz w:val="20"/>
              </w:rPr>
              <w:t>传感器类型 (Sensor)</w:t>
            </w:r>
          </w:p>
        </w:tc>
        <w:tc>
          <w:tcPr>
            <w:tcW w:type="dxa" w:w="2351"/>
          </w:tcPr>
          <w:p>
            <w:r/>
            <w:r>
              <w:rPr>
                <w:rFonts w:eastAsia="宋体"/>
                <w:rFonts w:ascii="Times New Roman" w:hAnsi="Times New Roman"/>
                <w:b/>
                <w:i w:val="0"/>
                <w:sz w:val="20"/>
              </w:rPr>
              <w:t>最高分辨率 (Max Resolution)</w:t>
            </w:r>
          </w:p>
        </w:tc>
        <w:tc>
          <w:tcPr>
            <w:tcW w:type="dxa" w:w="2351"/>
          </w:tcPr>
          <w:p>
            <w:r/>
            <w:r>
              <w:rPr>
                <w:rFonts w:eastAsia="宋体"/>
                <w:rFonts w:ascii="Times New Roman" w:hAnsi="Times New Roman"/>
                <w:b/>
                <w:i w:val="0"/>
                <w:sz w:val="20"/>
              </w:rPr>
              <w:t>重访率特征 (Revisit Capability)</w:t>
            </w:r>
          </w:p>
        </w:tc>
      </w:tr>
      <w:tr>
        <w:tc>
          <w:tcPr>
            <w:tcW w:type="dxa" w:w="2351"/>
          </w:tcPr>
          <w:p>
            <w:r/>
            <w:r>
              <w:rPr>
                <w:rFonts w:eastAsia="宋体"/>
                <w:rFonts w:ascii="Times New Roman" w:hAnsi="Times New Roman"/>
                <w:b/>
                <w:i w:val="0"/>
                <w:sz w:val="20"/>
              </w:rPr>
              <w:t>Maxar</w:t>
            </w:r>
          </w:p>
        </w:tc>
        <w:tc>
          <w:tcPr>
            <w:tcW w:type="dxa" w:w="2351"/>
          </w:tcPr>
          <w:p>
            <w:r/>
            <w:r>
              <w:rPr>
                <w:rFonts w:eastAsia="宋体"/>
                <w:rFonts w:ascii="Times New Roman" w:hAnsi="Times New Roman"/>
                <w:b w:val="0"/>
                <w:i w:val="0"/>
                <w:sz w:val="20"/>
              </w:rPr>
              <w:t>光学 (Optical)</w:t>
            </w:r>
          </w:p>
        </w:tc>
        <w:tc>
          <w:tcPr>
            <w:tcW w:type="dxa" w:w="2351"/>
          </w:tcPr>
          <w:p>
            <w:r/>
            <w:r>
              <w:rPr>
                <w:rFonts w:eastAsia="宋体"/>
                <w:rFonts w:ascii="Times New Roman" w:hAnsi="Times New Roman"/>
                <w:b w:val="0"/>
                <w:i w:val="0"/>
                <w:sz w:val="20"/>
              </w:rPr>
              <w:t>0.3m</w:t>
            </w:r>
          </w:p>
        </w:tc>
        <w:tc>
          <w:tcPr>
            <w:tcW w:type="dxa" w:w="2351"/>
          </w:tcPr>
          <w:p>
            <w:r/>
            <w:r>
              <w:rPr>
                <w:rFonts w:eastAsia="宋体"/>
                <w:rFonts w:ascii="Times New Roman" w:hAnsi="Times New Roman"/>
                <w:b w:val="0"/>
                <w:i w:val="0"/>
                <w:sz w:val="20"/>
              </w:rPr>
              <w:t>每日 1-2 次 (高精度测绘)</w:t>
            </w:r>
          </w:p>
        </w:tc>
      </w:tr>
      <w:tr>
        <w:tc>
          <w:tcPr>
            <w:tcW w:type="dxa" w:w="2351"/>
          </w:tcPr>
          <w:p>
            <w:r/>
            <w:r>
              <w:rPr>
                <w:rFonts w:eastAsia="宋体"/>
                <w:rFonts w:ascii="Times New Roman" w:hAnsi="Times New Roman"/>
                <w:b/>
                <w:i w:val="0"/>
                <w:sz w:val="20"/>
              </w:rPr>
              <w:t>Planet Labs</w:t>
            </w:r>
          </w:p>
        </w:tc>
        <w:tc>
          <w:tcPr>
            <w:tcW w:type="dxa" w:w="2351"/>
          </w:tcPr>
          <w:p>
            <w:r/>
            <w:r>
              <w:rPr>
                <w:rFonts w:eastAsia="宋体"/>
                <w:rFonts w:ascii="Times New Roman" w:hAnsi="Times New Roman"/>
                <w:b w:val="0"/>
                <w:i w:val="0"/>
                <w:sz w:val="20"/>
              </w:rPr>
              <w:t>光学 (Optical)</w:t>
            </w:r>
          </w:p>
        </w:tc>
        <w:tc>
          <w:tcPr>
            <w:tcW w:type="dxa" w:w="2351"/>
          </w:tcPr>
          <w:p>
            <w:r/>
            <w:r>
              <w:rPr>
                <w:rFonts w:eastAsia="宋体"/>
                <w:rFonts w:ascii="Times New Roman" w:hAnsi="Times New Roman"/>
                <w:b w:val="0"/>
                <w:i w:val="0"/>
                <w:sz w:val="20"/>
              </w:rPr>
              <w:t>0.5m (SkySat) / 3m</w:t>
            </w:r>
          </w:p>
        </w:tc>
        <w:tc>
          <w:tcPr>
            <w:tcW w:type="dxa" w:w="2351"/>
          </w:tcPr>
          <w:p>
            <w:r/>
            <w:r>
              <w:rPr>
                <w:rFonts w:eastAsia="宋体"/>
                <w:rFonts w:ascii="Times New Roman" w:hAnsi="Times New Roman"/>
                <w:b w:val="0"/>
                <w:i w:val="0"/>
                <w:sz w:val="20"/>
              </w:rPr>
              <w:t>每日多次 (高频次动态监测)</w:t>
            </w:r>
          </w:p>
        </w:tc>
      </w:tr>
      <w:tr>
        <w:tc>
          <w:tcPr>
            <w:tcW w:type="dxa" w:w="2351"/>
          </w:tcPr>
          <w:p>
            <w:r/>
            <w:r>
              <w:rPr>
                <w:rFonts w:eastAsia="宋体"/>
                <w:rFonts w:ascii="Times New Roman" w:hAnsi="Times New Roman"/>
                <w:b/>
                <w:i w:val="0"/>
                <w:sz w:val="20"/>
              </w:rPr>
              <w:t>Capella Space</w:t>
            </w:r>
          </w:p>
        </w:tc>
        <w:tc>
          <w:tcPr>
            <w:tcW w:type="dxa" w:w="2351"/>
          </w:tcPr>
          <w:p>
            <w:r/>
            <w:r>
              <w:rPr>
                <w:rFonts w:eastAsia="宋体"/>
                <w:rFonts w:ascii="Times New Roman" w:hAnsi="Times New Roman"/>
                <w:b w:val="0"/>
                <w:i w:val="0"/>
                <w:sz w:val="20"/>
              </w:rPr>
              <w:t>雷达 (SAR)</w:t>
            </w:r>
          </w:p>
        </w:tc>
        <w:tc>
          <w:tcPr>
            <w:tcW w:type="dxa" w:w="2351"/>
          </w:tcPr>
          <w:p>
            <w:r/>
            <w:r>
              <w:rPr>
                <w:rFonts w:eastAsia="宋体"/>
                <w:rFonts w:ascii="Times New Roman" w:hAnsi="Times New Roman"/>
                <w:b w:val="0"/>
                <w:i w:val="0"/>
                <w:sz w:val="20"/>
              </w:rPr>
              <w:t>0.5m</w:t>
            </w:r>
          </w:p>
        </w:tc>
        <w:tc>
          <w:tcPr>
            <w:tcW w:type="dxa" w:w="2351"/>
          </w:tcPr>
          <w:p>
            <w:r/>
            <w:r>
              <w:rPr>
                <w:rFonts w:eastAsia="宋体"/>
                <w:rFonts w:ascii="Times New Roman" w:hAnsi="Times New Roman"/>
                <w:b w:val="0"/>
                <w:i w:val="0"/>
                <w:sz w:val="20"/>
              </w:rPr>
              <w:t>全天候/穿透云层</w:t>
            </w:r>
          </w:p>
        </w:tc>
      </w:tr>
      <w:tr>
        <w:tc>
          <w:tcPr>
            <w:tcW w:type="dxa" w:w="2351"/>
          </w:tcPr>
          <w:p>
            <w:r/>
            <w:r>
              <w:rPr>
                <w:rFonts w:eastAsia="宋体"/>
                <w:rFonts w:ascii="Times New Roman" w:hAnsi="Times New Roman"/>
                <w:b/>
                <w:i w:val="0"/>
                <w:sz w:val="20"/>
              </w:rPr>
              <w:t>ICEYE</w:t>
            </w:r>
          </w:p>
        </w:tc>
        <w:tc>
          <w:tcPr>
            <w:tcW w:type="dxa" w:w="2351"/>
          </w:tcPr>
          <w:p>
            <w:r/>
            <w:r>
              <w:rPr>
                <w:rFonts w:eastAsia="宋体"/>
                <w:rFonts w:ascii="Times New Roman" w:hAnsi="Times New Roman"/>
                <w:b w:val="0"/>
                <w:i w:val="0"/>
                <w:sz w:val="20"/>
              </w:rPr>
              <w:t>雷达 (SAR)</w:t>
            </w:r>
          </w:p>
        </w:tc>
        <w:tc>
          <w:tcPr>
            <w:tcW w:type="dxa" w:w="2351"/>
          </w:tcPr>
          <w:p>
            <w:r/>
            <w:r>
              <w:rPr>
                <w:rFonts w:eastAsia="宋体"/>
                <w:rFonts w:ascii="Times New Roman" w:hAnsi="Times New Roman"/>
                <w:b w:val="0"/>
                <w:i w:val="0"/>
                <w:sz w:val="20"/>
              </w:rPr>
              <w:t>1m 以下</w:t>
            </w:r>
          </w:p>
        </w:tc>
        <w:tc>
          <w:tcPr>
            <w:tcW w:type="dxa" w:w="2351"/>
          </w:tcPr>
          <w:p>
            <w:r/>
            <w:r>
              <w:rPr>
                <w:rFonts w:eastAsia="宋体"/>
                <w:rFonts w:ascii="Times New Roman" w:hAnsi="Times New Roman"/>
                <w:b w:val="0"/>
                <w:i w:val="0"/>
                <w:sz w:val="20"/>
              </w:rPr>
              <w:t>每日多次 (SAR 动态追踪)</w:t>
            </w:r>
          </w:p>
        </w:tc>
      </w:tr>
      <w:tr>
        <w:tc>
          <w:tcPr>
            <w:tcW w:type="dxa" w:w="2351"/>
          </w:tcPr>
          <w:p>
            <w:r/>
            <w:r>
              <w:rPr>
                <w:rFonts w:eastAsia="宋体"/>
                <w:rFonts w:ascii="Times New Roman" w:hAnsi="Times New Roman"/>
                <w:b/>
                <w:i w:val="0"/>
                <w:sz w:val="20"/>
              </w:rPr>
              <w:t>ESA Sentinel</w:t>
            </w:r>
          </w:p>
        </w:tc>
        <w:tc>
          <w:tcPr>
            <w:tcW w:type="dxa" w:w="2351"/>
          </w:tcPr>
          <w:p>
            <w:r/>
            <w:r>
              <w:rPr>
                <w:rFonts w:eastAsia="宋体"/>
                <w:rFonts w:ascii="Times New Roman" w:hAnsi="Times New Roman"/>
                <w:b w:val="0"/>
                <w:i w:val="0"/>
                <w:sz w:val="20"/>
              </w:rPr>
              <w:t>光学/SAR</w:t>
            </w:r>
          </w:p>
        </w:tc>
        <w:tc>
          <w:tcPr>
            <w:tcW w:type="dxa" w:w="2351"/>
          </w:tcPr>
          <w:p>
            <w:r/>
            <w:r>
              <w:rPr>
                <w:rFonts w:eastAsia="宋体"/>
                <w:rFonts w:ascii="Times New Roman" w:hAnsi="Times New Roman"/>
                <w:b w:val="0"/>
                <w:i w:val="0"/>
                <w:sz w:val="20"/>
              </w:rPr>
              <w:t>10m</w:t>
            </w:r>
          </w:p>
        </w:tc>
        <w:tc>
          <w:tcPr>
            <w:tcW w:type="dxa" w:w="2351"/>
          </w:tcPr>
          <w:p>
            <w:r/>
            <w:r>
              <w:rPr>
                <w:rFonts w:eastAsia="宋体"/>
                <w:rFonts w:ascii="Times New Roman" w:hAnsi="Times New Roman"/>
                <w:b w:val="0"/>
                <w:i w:val="0"/>
                <w:sz w:val="20"/>
              </w:rPr>
              <w:t>免费开源，5-6天周期 (基线比对)</w:t>
            </w:r>
          </w:p>
        </w:tc>
      </w:tr>
    </w:tbl>
    <w:p/>
    <w:p>
      <w:pPr>
        <w:spacing w:before="0" w:after="80" w:lineRule="auto" w:line="324"/>
        <w:ind w:firstLine="0"/>
        <w:jc w:val="both"/>
      </w:pPr>
      <w:r>
        <w:rPr>
          <w:rFonts w:eastAsia="宋体"/>
          <w:rFonts w:ascii="Times New Roman" w:hAnsi="Times New Roman"/>
          <w:b w:val="0"/>
          <w:i/>
          <w:sz w:val="22"/>
        </w:rPr>
        <w:t>SOURCE: RAND NSRD analysis of commercial satellite market capabilities, 2026.</w:t>
      </w:r>
    </w:p>
    <w:p>
      <w:pPr>
        <w:spacing w:before="160" w:after="80" w:lineRule="auto" w:line="324"/>
        <w:jc w:val="both"/>
      </w:pPr>
      <w:r>
        <w:rPr>
          <w:rFonts w:eastAsia="黑体"/>
          <w:rFonts w:ascii="Arial" w:hAnsi="Arial"/>
          <w:b/>
          <w:i w:val="0"/>
          <w:color w:val="3C5A96"/>
          <w:sz w:val="24"/>
        </w:rPr>
        <w:t>4.2.2 PRC Official and Semi-Official Sources</w:t>
      </w:r>
    </w:p>
    <w:p>
      <w:pPr>
        <w:spacing w:before="0" w:after="80" w:lineRule="auto" w:line="324"/>
        <w:ind w:firstLine="0"/>
        <w:jc w:val="both"/>
      </w:pPr>
      <w:r>
        <w:rPr>
          <w:rFonts w:eastAsia="宋体"/>
          <w:rFonts w:ascii="Times New Roman" w:hAnsi="Times New Roman"/>
          <w:b w:val="0"/>
          <w:i w:val="0"/>
          <w:sz w:val="22"/>
        </w:rPr>
        <w:t>物理影像仅能揭示“存在什么”，而中国官方与半官方信息则被用于解释“编制归属”与“战略意图”。该项目系统性地抓取并翻译了《解放军报》、《中国空军》杂志、中国军网（81.cn）以及 CCTV-7 国防军事频道的公开报道</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sz w:val="22"/>
        </w:rPr>
        <w:t>。分析性判断认为，通过对 CCTV-7 画面中战机垂尾编号、飞行员臂章的视觉提取（Visual Extraction），结合卫星影像，分析师能够确认特定基地的驻扎部队番号。此外，中国政府采购网及全军武器装备采购信息网的公开招投标公告，以及地方政府生态环境局的“机场扩建项目环境影响评价公示”，为追踪器提前数月掌握基地油库容量增加值及地下弹药库工程量提供了关键的文本证据</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2"/>
        </w:rPr>
        <w:t>。</w:t>
      </w:r>
    </w:p>
    <w:p>
      <w:pPr>
        <w:spacing w:before="160" w:after="80" w:lineRule="auto" w:line="324"/>
        <w:jc w:val="both"/>
      </w:pPr>
      <w:r>
        <w:rPr>
          <w:rFonts w:eastAsia="黑体"/>
          <w:rFonts w:ascii="Arial" w:hAnsi="Arial"/>
          <w:b/>
          <w:i w:val="0"/>
          <w:color w:val="3C5A96"/>
          <w:sz w:val="24"/>
        </w:rPr>
        <w:t>4.2.3 Trade Publications and Air Show Materials</w:t>
      </w:r>
    </w:p>
    <w:p>
      <w:pPr>
        <w:spacing w:before="0" w:after="80" w:lineRule="auto" w:line="324"/>
        <w:ind w:firstLine="0"/>
        <w:jc w:val="both"/>
      </w:pPr>
      <w:r>
        <w:rPr>
          <w:rFonts w:eastAsia="宋体"/>
          <w:rFonts w:ascii="Times New Roman" w:hAnsi="Times New Roman"/>
          <w:b w:val="0"/>
          <w:i w:val="0"/>
          <w:sz w:val="22"/>
        </w:rPr>
        <w:t>行业期刊与防务展会资料构成了追踪器的技术参数基准层。基于证据的发现显示，该项目大量引用了《Aviation Week》、Janes 防务周刊、Forecast International 的市场预测以及国际战略研究所（IISS）的《Military Balance》数据</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sz w:val="22"/>
        </w:rPr>
        <w:t>。同时，中国国内举办的防务展（特别是 ZHUHAI Airshow 珠海航展）是获取中国无人机（UAV）、空空导弹及雷达系统公开参数的关键节点。分析师通过系统性收集展板数据、宣传册及现场高清照片，建立了解放军新型航空装备的目标特征库（Target Signature Library），用于辅助卫星影像中的几何比对</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2"/>
        </w:rPr>
        <w:t>。</w:t>
      </w:r>
    </w:p>
    <w:p>
      <w:pPr>
        <w:spacing w:before="160" w:after="80" w:lineRule="auto" w:line="324"/>
        <w:jc w:val="both"/>
      </w:pPr>
      <w:r>
        <w:rPr>
          <w:rFonts w:eastAsia="黑体"/>
          <w:rFonts w:ascii="Arial" w:hAnsi="Arial"/>
          <w:b/>
          <w:i w:val="0"/>
          <w:color w:val="3C5A96"/>
          <w:sz w:val="24"/>
        </w:rPr>
        <w:t>4.2.4 Chinese Social Media and Mil-Forum Imagery</w:t>
      </w:r>
    </w:p>
    <w:p>
      <w:pPr>
        <w:spacing w:before="0" w:after="80" w:lineRule="auto" w:line="324"/>
        <w:ind w:firstLine="0"/>
        <w:jc w:val="both"/>
      </w:pPr>
      <w:r>
        <w:rPr>
          <w:rFonts w:eastAsia="宋体"/>
          <w:rFonts w:ascii="Times New Roman" w:hAnsi="Times New Roman"/>
          <w:b w:val="0"/>
          <w:i w:val="0"/>
          <w:sz w:val="22"/>
        </w:rPr>
        <w:t>中文社交媒体与军事论坛构成了高时效性的线索层。微博、抖音、超大军事论坛（CJDBY）、铁血社区以及豆瓣军迷小组等平台上的“爬墙党”（军事爱好者）拍摄的飞机起降照片，往往比商业卫星更早揭示新机型的试飞动态或部队换装进度</w:t>
      </w:r>
      <w:r>
        <w:rPr>
          <w:rFonts w:eastAsia="宋体"/>
          <w:rFonts w:ascii="Times New Roman" w:hAnsi="Times New Roman"/>
          <w:b w:val="0"/>
          <w:i w:val="0"/>
          <w:color w:val="323296"/>
          <w:sz w:val="16"/>
          <w:vertAlign w:val="superscript"/>
        </w:rPr>
        <w:t>[10]</w:t>
      </w:r>
      <w:r>
        <w:rPr>
          <w:rFonts w:eastAsia="宋体"/>
          <w:rFonts w:ascii="Times New Roman" w:hAnsi="Times New Roman"/>
          <w:b w:val="0"/>
          <w:i w:val="0"/>
          <w:sz w:val="22"/>
        </w:rPr>
        <w:t>。然而，分析性判断指出，此类数据伴随着极高的虚假信息风险。为此，追踪器团队采用了一套严格的真实性筛选机制，包括地理定位（Geolocation，通过背景山脉、建筑轮廓比对）和时间验证（Chronolocation，通过光影角度、历史天气数据比对），以剔除伪造图像或旧图重发的干扰</w:t>
      </w:r>
      <w:r>
        <w:rPr>
          <w:rFonts w:eastAsia="宋体"/>
          <w:rFonts w:ascii="Times New Roman" w:hAnsi="Times New Roman"/>
          <w:b w:val="0"/>
          <w:i w:val="0"/>
          <w:color w:val="323296"/>
          <w:sz w:val="16"/>
          <w:vertAlign w:val="superscript"/>
        </w:rPr>
        <w:t>[11]</w:t>
      </w:r>
      <w:r>
        <w:rPr>
          <w:rFonts w:eastAsia="宋体"/>
          <w:rFonts w:ascii="Times New Roman" w:hAnsi="Times New Roman"/>
          <w:b w:val="0"/>
          <w:i w:val="0"/>
          <w:sz w:val="22"/>
        </w:rPr>
        <w:t>。</w:t>
      </w:r>
    </w:p>
    <w:p>
      <w:pPr>
        <w:spacing w:before="160" w:after="80" w:lineRule="auto" w:line="324"/>
        <w:jc w:val="both"/>
      </w:pPr>
      <w:r>
        <w:rPr>
          <w:rFonts w:eastAsia="黑体"/>
          <w:rFonts w:ascii="Arial" w:hAnsi="Arial"/>
          <w:b/>
          <w:i w:val="0"/>
          <w:color w:val="3C5A96"/>
          <w:sz w:val="24"/>
        </w:rPr>
        <w:t>4.2.5 U.S. Congressional and Allied Government Reporting</w:t>
      </w:r>
    </w:p>
    <w:p>
      <w:pPr>
        <w:spacing w:before="0" w:after="80" w:lineRule="auto" w:line="324"/>
        <w:ind w:firstLine="0"/>
        <w:jc w:val="both"/>
      </w:pPr>
      <w:r>
        <w:rPr>
          <w:rFonts w:eastAsia="宋体"/>
          <w:rFonts w:ascii="Times New Roman" w:hAnsi="Times New Roman"/>
          <w:b w:val="0"/>
          <w:i w:val="0"/>
          <w:sz w:val="22"/>
        </w:rPr>
        <w:t>美国国会及盟国政府的公开报告为追踪器提供了宏观的政策与战略框架。美中经济与安全评估委员会（USCC）的历次听证记录（包括 Dahm 本人的证词）、美国国防部（DoD）发布的年度《中国军力报告》（2024/2025/2026 China Military Power Report）、国会研究服务部（CRS）的背景简报以及政府问责局（GAO）的评估，均被整合入追踪器的分析语境中</w:t>
      </w:r>
      <w:r>
        <w:rPr>
          <w:rFonts w:eastAsia="宋体"/>
          <w:rFonts w:ascii="Times New Roman" w:hAnsi="Times New Roman"/>
          <w:b w:val="0"/>
          <w:i w:val="0"/>
          <w:color w:val="323296"/>
          <w:sz w:val="16"/>
          <w:vertAlign w:val="superscript"/>
        </w:rPr>
        <w:t>[12]</w:t>
      </w:r>
      <w:r>
        <w:rPr>
          <w:rFonts w:eastAsia="宋体"/>
          <w:rFonts w:ascii="Times New Roman" w:hAnsi="Times New Roman"/>
          <w:b w:val="0"/>
          <w:i w:val="0"/>
          <w:sz w:val="22"/>
        </w:rPr>
        <w:t>。这些文件不仅用于交叉验证解放军的整体战略意图，也确保了追踪器的产出能够与华盛顿的主流政策话语体系保持无缝对接。</w:t>
      </w:r>
    </w:p>
    <w:p>
      <w:pPr>
        <w:spacing w:before="160" w:after="80" w:lineRule="auto" w:line="324"/>
        <w:jc w:val="both"/>
      </w:pPr>
      <w:r>
        <w:rPr>
          <w:rFonts w:eastAsia="黑体"/>
          <w:rFonts w:ascii="Arial" w:hAnsi="Arial"/>
          <w:b/>
          <w:i w:val="0"/>
          <w:color w:val="3C5A96"/>
          <w:sz w:val="24"/>
        </w:rPr>
        <w:t>4.2.6 Academic and Sister Institution Outputs</w:t>
      </w:r>
    </w:p>
    <w:p>
      <w:pPr>
        <w:spacing w:before="0" w:after="80" w:lineRule="auto" w:line="324"/>
        <w:ind w:firstLine="0"/>
        <w:jc w:val="both"/>
      </w:pPr>
      <w:r>
        <w:rPr>
          <w:rFonts w:eastAsia="宋体"/>
          <w:rFonts w:ascii="Times New Roman" w:hAnsi="Times New Roman"/>
          <w:b w:val="0"/>
          <w:i w:val="0"/>
          <w:sz w:val="22"/>
        </w:rPr>
        <w:t>《中国空军追踪器》并非在学术真空中运作，而是深度嵌入了美国涉华军事研究的智库生态圈。基于证据的发现表明，美国空军大学中国航空航天研究所（CASI）是该项目的关键合作伙伴，提供了关于解放军空军条令与组织架构的深度文献支持</w:t>
      </w:r>
      <w:r>
        <w:rPr>
          <w:rFonts w:eastAsia="宋体"/>
          <w:rFonts w:ascii="Times New Roman" w:hAnsi="Times New Roman"/>
          <w:b w:val="0"/>
          <w:i w:val="0"/>
          <w:color w:val="323296"/>
          <w:sz w:val="16"/>
          <w:vertAlign w:val="superscript"/>
        </w:rPr>
        <w:t>[13]</w:t>
      </w:r>
      <w:r>
        <w:rPr>
          <w:rFonts w:eastAsia="宋体"/>
          <w:rFonts w:ascii="Times New Roman" w:hAnsi="Times New Roman"/>
          <w:b w:val="0"/>
          <w:i w:val="0"/>
          <w:sz w:val="22"/>
        </w:rPr>
        <w:t>。此外，美国海军战争学院中国海事研究所（CMSI）、战略与国际研究中心（CSIS）的 ChinaPower 项目、IISS 以及 CNA Corporation 的公开研究成果，均作为平行数据源被纳入追踪器的交叉验证网络中，形成了一个非正式的情报共享与互校机制</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sz w:val="22"/>
        </w:rPr>
        <w:t>。</w:t>
      </w:r>
    </w:p>
    <w:p>
      <w:pPr>
        <w:spacing w:before="240" w:after="120" w:lineRule="auto" w:line="324"/>
        <w:jc w:val="both"/>
      </w:pPr>
      <w:r>
        <w:rPr>
          <w:rFonts w:eastAsia="黑体"/>
          <w:rFonts w:ascii="Arial" w:hAnsi="Arial"/>
          <w:b/>
          <w:i w:val="0"/>
          <w:color w:val="284682"/>
          <w:sz w:val="26"/>
        </w:rPr>
        <w:t>4.3 Analytical Methodology: A Four-Stage Framework</w:t>
      </w:r>
    </w:p>
    <w:p>
      <w:pPr>
        <w:spacing w:before="0" w:after="80" w:lineRule="auto" w:line="324"/>
        <w:ind w:firstLine="0"/>
        <w:jc w:val="both"/>
      </w:pPr>
      <w:r>
        <w:rPr>
          <w:rFonts w:eastAsia="宋体"/>
          <w:rFonts w:ascii="Times New Roman" w:hAnsi="Times New Roman"/>
          <w:b w:val="0"/>
          <w:i w:val="0"/>
          <w:sz w:val="22"/>
        </w:rPr>
        <w:t>分析性判断表明，《中国空军追踪器》的底层方法论超越了简单的图像标注，形成了一套严密的“四步闭环流程”（Four-Stage Framework）。该框架旨在将微观的像素变化转化为宏观的战术与战略评估。</w:t>
      </w:r>
    </w:p>
    <w:p>
      <w:pPr>
        <w:spacing w:before="0" w:after="80" w:lineRule="auto" w:line="324"/>
        <w:ind w:firstLine="0"/>
        <w:jc w:val="both"/>
      </w:pPr>
      <w:r>
        <w:rPr>
          <w:rFonts w:eastAsia="宋体"/>
          <w:rFonts w:ascii="Times New Roman" w:hAnsi="Times New Roman"/>
          <w:b/>
          <w:i w:val="0"/>
          <w:sz w:val="22"/>
        </w:rPr>
        <w:t>Stage 1: Physical Identification（物理识别）</w:t>
      </w:r>
    </w:p>
    <w:p>
      <w:pPr>
        <w:spacing w:before="0" w:after="80" w:lineRule="auto" w:line="324"/>
        <w:ind w:firstLine="0"/>
        <w:jc w:val="both"/>
      </w:pPr>
      <w:r>
        <w:rPr>
          <w:rFonts w:eastAsia="宋体"/>
          <w:rFonts w:ascii="Times New Roman" w:hAnsi="Times New Roman"/>
          <w:b w:val="0"/>
          <w:i w:val="0"/>
          <w:sz w:val="22"/>
        </w:rPr>
        <w:t>第一阶段侧重于从卫星影像中提取目标的几何与光谱特征。分析师通过测量机身长度、翼展、后掠角等参数，与已知的中国战机数据库进行比对。例如，在识别退役改装无人机时，分析师能够在 Maxar 的高分辨率影像中，通过识别歼-6（J-6）特有的短粗机身比例与大后掠翼特征，将其与歼-7 或现代战机区分开来</w:t>
      </w:r>
      <w:r>
        <w:rPr>
          <w:rFonts w:eastAsia="宋体"/>
          <w:rFonts w:ascii="Times New Roman" w:hAnsi="Times New Roman"/>
          <w:b w:val="0"/>
          <w:i w:val="0"/>
          <w:color w:val="323296"/>
          <w:sz w:val="16"/>
          <w:vertAlign w:val="superscript"/>
        </w:rPr>
        <w:t>[15]</w:t>
      </w:r>
      <w:r>
        <w:rPr>
          <w:rFonts w:eastAsia="宋体"/>
          <w:rFonts w:ascii="Times New Roman" w:hAnsi="Times New Roman"/>
          <w:b w:val="0"/>
          <w:i w:val="0"/>
          <w:sz w:val="22"/>
        </w:rPr>
        <w:t>。此外，跑道的长度、方向以及滑行道的布局模式，也是识别基地起降能力的关键物理指标。</w:t>
      </w:r>
    </w:p>
    <w:p>
      <w:pPr>
        <w:spacing w:before="0" w:after="80" w:lineRule="auto" w:line="324"/>
        <w:ind w:firstLine="0"/>
        <w:jc w:val="both"/>
      </w:pPr>
      <w:r>
        <w:rPr>
          <w:rFonts w:eastAsia="宋体"/>
          <w:rFonts w:ascii="Times New Roman" w:hAnsi="Times New Roman"/>
          <w:b/>
          <w:i w:val="0"/>
          <w:sz w:val="22"/>
        </w:rPr>
        <w:t>Stage 2: Engineering Quantification（工程量计数）</w:t>
      </w:r>
    </w:p>
    <w:p>
      <w:pPr>
        <w:spacing w:before="0" w:after="80" w:lineRule="auto" w:line="324"/>
        <w:ind w:firstLine="0"/>
        <w:jc w:val="both"/>
      </w:pPr>
      <w:r>
        <w:rPr>
          <w:rFonts w:eastAsia="宋体"/>
          <w:rFonts w:ascii="Times New Roman" w:hAnsi="Times New Roman"/>
          <w:b w:val="0"/>
          <w:i w:val="0"/>
          <w:sz w:val="22"/>
        </w:rPr>
        <w:t>第二阶段将定性识别转化为定量数据。分析师对基地基础设施进行精确的工程量测算，包括加固机库（HAS）的数量与尺寸、露天停机坪的面积、油料库的储量估算以及地下弹药存储区的挖掘土方量。</w:t>
      </w:r>
    </w:p>
    <w:p>
      <w:pPr>
        <w:spacing w:before="0" w:after="80" w:lineRule="auto" w:line="324"/>
        <w:ind w:firstLine="0"/>
        <w:jc w:val="both"/>
      </w:pPr>
      <w:r>
        <w:rPr>
          <w:rFonts w:eastAsia="宋体"/>
          <w:rFonts w:ascii="Times New Roman" w:hAnsi="Times New Roman"/>
          <w:b/>
          <w:i w:val="0"/>
          <w:sz w:val="22"/>
        </w:rPr>
        <w:t>Figure 4.1 — HAS 计数与分类方法示意图 (Conceptual Layout)</w:t>
      </w:r>
    </w:p>
    <w:p>
      <w:pPr>
        <w:spacing w:before="0" w:after="120" w:lineRule="auto" w:line="324"/>
        <w:jc w:val="both"/>
      </w:pPr>
      <w:r>
        <w:rPr>
          <w:rFonts w:eastAsia="Consolas"/>
          <w:rFonts w:ascii="Consolas" w:hAnsi="Consolas"/>
          <w:b w:val="0"/>
          <w:i w:val="0"/>
          <w:color w:val="3C3C3C"/>
          <w:sz w:val="18"/>
        </w:rPr>
        <w:t>[Satellite Imagery Grid - Base X]</w:t>
        <w:br/>
        <w:t>|-- Zone A: Flight Line</w:t>
        <w:br/>
        <w:t>|   |-- Open Tarmac: 12x J-16 (Identified via geometry)</w:t>
        <w:br/>
        <w:t>|-- Zone B: Hardened Aircraft Shelters (HAS)</w:t>
        <w:br/>
        <w:t>|   |-- Type 1 (Standard): 24 units (Dimensions: 20m x 15m) -&gt; Fighter capacity</w:t>
        <w:br/>
        <w:t>|   |-- Type 2 (Large): 4 units (Dimensions: 40m x 30m) -&gt; Bomber/AWACS capacity</w:t>
        <w:br/>
        <w:t>|-- Zone C: Support Infrastructure</w:t>
        <w:br/>
        <w:t>|   |-- Fuel Farm: 6x tanks (Radius 10m) -&gt; Est. capacity X million liters</w:t>
        <w:br/>
        <w:t>|   |-- Munitions Storage: Earth-covered magazines (ECM), 8 units</w:t>
      </w:r>
    </w:p>
    <w:p>
      <w:pPr>
        <w:spacing w:before="0" w:after="80" w:lineRule="auto" w:line="324"/>
        <w:ind w:firstLine="0"/>
        <w:jc w:val="both"/>
      </w:pPr>
      <w:r>
        <w:rPr>
          <w:rFonts w:eastAsia="宋体"/>
          <w:rFonts w:ascii="Times New Roman" w:hAnsi="Times New Roman"/>
          <w:b w:val="0"/>
          <w:i/>
          <w:sz w:val="22"/>
        </w:rPr>
        <w:t>SOURCE: RAND NSRD conceptualization of Mitchell Institute methodology, 2026.</w:t>
      </w:r>
    </w:p>
    <w:p>
      <w:pPr>
        <w:spacing w:before="0" w:after="80" w:lineRule="auto" w:line="324"/>
        <w:ind w:firstLine="0"/>
        <w:jc w:val="both"/>
      </w:pPr>
      <w:r>
        <w:rPr>
          <w:rFonts w:eastAsia="宋体"/>
          <w:rFonts w:ascii="Times New Roman" w:hAnsi="Times New Roman"/>
          <w:b/>
          <w:i w:val="0"/>
          <w:sz w:val="22"/>
        </w:rPr>
        <w:t>Stage 3: Tactical Intent Inference（战术意图反推）</w:t>
      </w:r>
    </w:p>
    <w:p>
      <w:pPr>
        <w:spacing w:before="0" w:after="80" w:lineRule="auto" w:line="324"/>
        <w:ind w:firstLine="0"/>
        <w:jc w:val="both"/>
      </w:pPr>
      <w:r>
        <w:rPr>
          <w:rFonts w:eastAsia="宋体"/>
          <w:rFonts w:ascii="Times New Roman" w:hAnsi="Times New Roman"/>
          <w:b w:val="0"/>
          <w:i w:val="0"/>
          <w:sz w:val="22"/>
        </w:rPr>
        <w:t>第三阶段是该方法论的核心增值环节。分析师试图从基础设施的物理变化中推断解放军的作战意图。例如，分析性判断认为，如果一个靠近台湾海峡的前沿基地不仅扩建了停机坪，还大规模建设了高抗力的永久性 HAS 和地下弹药库，这可能（suggests）表明该基地不再仅仅是作为“临时部署跳板”，而是被预设为长期驻扎的堡垒，甚至可能用于在冲突初期支撑大规模的 UCAV 消耗战</w:t>
      </w:r>
      <w:r>
        <w:rPr>
          <w:rFonts w:eastAsia="宋体"/>
          <w:rFonts w:ascii="Times New Roman" w:hAnsi="Times New Roman"/>
          <w:b w:val="0"/>
          <w:i w:val="0"/>
          <w:color w:val="323296"/>
          <w:sz w:val="16"/>
          <w:vertAlign w:val="superscript"/>
        </w:rPr>
        <w:t>[16]</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Stage 4: Multi-Source Cross-Validation（多源交叉验证）</w:t>
      </w:r>
    </w:p>
    <w:p>
      <w:pPr>
        <w:spacing w:before="0" w:after="80" w:lineRule="auto" w:line="324"/>
        <w:ind w:firstLine="0"/>
        <w:jc w:val="both"/>
      </w:pPr>
      <w:r>
        <w:rPr>
          <w:rFonts w:eastAsia="宋体"/>
          <w:rFonts w:ascii="Times New Roman" w:hAnsi="Times New Roman"/>
          <w:b w:val="0"/>
          <w:i w:val="0"/>
          <w:sz w:val="22"/>
        </w:rPr>
        <w:t>第四阶段旨在降低单一来源的误判风险。追踪器采用“四角验证”法：将卫星影像得出的物理结论，与官方采办公告中的工程招标数据、中文社交媒体上流出的地面照片，以及美方国会听证会上的宏观评估进行交叉比对。只有当多源数据形成逻辑闭环时，该项情报评估才会被正式发布至追踪器平台</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2"/>
        </w:rPr>
        <w:t>。</w:t>
      </w:r>
    </w:p>
    <w:p>
      <w:pPr>
        <w:spacing w:before="240" w:after="120" w:lineRule="auto" w:line="324"/>
        <w:jc w:val="both"/>
      </w:pPr>
      <w:r>
        <w:rPr>
          <w:rFonts w:eastAsia="黑体"/>
          <w:rFonts w:ascii="Arial" w:hAnsi="Arial"/>
          <w:b/>
          <w:i w:val="0"/>
          <w:color w:val="284682"/>
          <w:sz w:val="26"/>
        </w:rPr>
        <w:t>4.4 Tradecraft Assessment: Strengths</w:t>
      </w:r>
    </w:p>
    <w:p>
      <w:pPr>
        <w:spacing w:before="0" w:after="80" w:lineRule="auto" w:line="324"/>
        <w:ind w:firstLine="0"/>
        <w:jc w:val="both"/>
      </w:pPr>
      <w:r>
        <w:rPr>
          <w:rFonts w:eastAsia="宋体"/>
          <w:rFonts w:ascii="Times New Roman" w:hAnsi="Times New Roman"/>
          <w:b w:val="0"/>
          <w:i w:val="0"/>
          <w:sz w:val="22"/>
        </w:rPr>
        <w:t>采用 RAND 标志性的情报技艺（Tradecraft）评估框架，本节首先分析《中国空军追踪器》在方法论与产品呈现上的显著优势。</w:t>
      </w:r>
    </w:p>
    <w:p>
      <w:pPr>
        <w:spacing w:before="0" w:after="80" w:lineRule="auto" w:line="324"/>
        <w:ind w:firstLine="0"/>
        <w:jc w:val="both"/>
      </w:pPr>
      <w:r>
        <w:rPr>
          <w:rFonts w:eastAsia="宋体"/>
          <w:rFonts w:ascii="Times New Roman" w:hAnsi="Times New Roman"/>
          <w:b w:val="0"/>
          <w:i w:val="0"/>
          <w:sz w:val="22"/>
        </w:rPr>
        <w:t>首先，</w:t>
      </w:r>
      <w:r>
        <w:rPr>
          <w:rFonts w:eastAsia="宋体"/>
          <w:rFonts w:ascii="Times New Roman" w:hAnsi="Times New Roman"/>
          <w:b/>
          <w:i w:val="0"/>
          <w:sz w:val="22"/>
        </w:rPr>
        <w:t>多模态数据矩阵的稳健性</w:t>
      </w:r>
      <w:r>
        <w:rPr>
          <w:rFonts w:eastAsia="宋体"/>
          <w:rFonts w:ascii="Times New Roman" w:hAnsi="Times New Roman"/>
          <w:b w:val="0"/>
          <w:i w:val="0"/>
          <w:sz w:val="22"/>
        </w:rPr>
        <w:t>是其核心优势。基于证据的发现表明，通过融合商业光学、SAR 影像与开源文本数据，该项目在一定程度上克服了传统单一光学卫星受制于云层遮挡和夜间盲区的物理限制</w:t>
      </w:r>
      <w:r>
        <w:rPr>
          <w:rFonts w:eastAsia="宋体"/>
          <w:rFonts w:ascii="Times New Roman" w:hAnsi="Times New Roman"/>
          <w:b w:val="0"/>
          <w:i w:val="0"/>
          <w:color w:val="323296"/>
          <w:sz w:val="16"/>
          <w:vertAlign w:val="superscript"/>
        </w:rPr>
        <w:t>[18]</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val="0"/>
          <w:i w:val="0"/>
          <w:sz w:val="22"/>
        </w:rPr>
        <w:t>其次，</w:t>
      </w:r>
      <w:r>
        <w:rPr>
          <w:rFonts w:eastAsia="宋体"/>
          <w:rFonts w:ascii="Times New Roman" w:hAnsi="Times New Roman"/>
          <w:b/>
          <w:i w:val="0"/>
          <w:sz w:val="22"/>
        </w:rPr>
        <w:t>可视化呈现显著降低了非专业受众的理解门槛</w:t>
      </w:r>
      <w:r>
        <w:rPr>
          <w:rFonts w:eastAsia="宋体"/>
          <w:rFonts w:ascii="Times New Roman" w:hAnsi="Times New Roman"/>
          <w:b w:val="0"/>
          <w:i w:val="0"/>
          <w:sz w:val="22"/>
        </w:rPr>
        <w:t>。追踪器通过交互式地图、时间序列滑块（Time-series sliders）和直观的图表，将晦涩的工程量数据转化为国会议员、政策制定者及媒体能够迅速消化的“威胁热力图”。这种设计极大地增强了其政策游说与公共传播的效力</w:t>
      </w:r>
      <w:r>
        <w:rPr>
          <w:rFonts w:eastAsia="宋体"/>
          <w:rFonts w:ascii="Times New Roman" w:hAnsi="Times New Roman"/>
          <w:b w:val="0"/>
          <w:i w:val="0"/>
          <w:color w:val="323296"/>
          <w:sz w:val="16"/>
          <w:vertAlign w:val="superscript"/>
        </w:rPr>
        <w:t>[19]</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val="0"/>
          <w:i w:val="0"/>
          <w:sz w:val="22"/>
        </w:rPr>
        <w:t>第三，</w:t>
      </w:r>
      <w:r>
        <w:rPr>
          <w:rFonts w:eastAsia="宋体"/>
          <w:rFonts w:ascii="Times New Roman" w:hAnsi="Times New Roman"/>
          <w:b/>
          <w:i w:val="0"/>
          <w:sz w:val="22"/>
        </w:rPr>
        <w:t>相对透明的数据源标注</w:t>
      </w:r>
      <w:r>
        <w:rPr>
          <w:rFonts w:eastAsia="宋体"/>
          <w:rFonts w:ascii="Times New Roman" w:hAnsi="Times New Roman"/>
          <w:b w:val="0"/>
          <w:i w:val="0"/>
          <w:sz w:val="22"/>
        </w:rPr>
        <w:t>。与部分拒绝披露来源的闭门情报产品不同，追踪器在多数非敏感案例中公开了其卫星影像的提供商（如标注 Maxar 或 Planet）及拍摄日期，这为第三方学术机构进行有限度的复核提供了可能。</w:t>
      </w:r>
    </w:p>
    <w:p>
      <w:pPr>
        <w:spacing w:before="0" w:after="80" w:lineRule="auto" w:line="324"/>
        <w:ind w:firstLine="0"/>
        <w:jc w:val="both"/>
      </w:pPr>
      <w:r>
        <w:rPr>
          <w:rFonts w:eastAsia="宋体"/>
          <w:rFonts w:ascii="Times New Roman" w:hAnsi="Times New Roman"/>
          <w:b w:val="0"/>
          <w:i w:val="0"/>
          <w:sz w:val="22"/>
        </w:rPr>
        <w:t>最后，该项目在华盛顿智库圈中确立了</w:t>
      </w:r>
      <w:r>
        <w:rPr>
          <w:rFonts w:eastAsia="宋体"/>
          <w:rFonts w:ascii="Times New Roman" w:hAnsi="Times New Roman"/>
          <w:b/>
          <w:i w:val="0"/>
          <w:sz w:val="22"/>
        </w:rPr>
        <w:t>清晰的差异化定位</w:t>
      </w:r>
      <w:r>
        <w:rPr>
          <w:rFonts w:eastAsia="宋体"/>
          <w:rFonts w:ascii="Times New Roman" w:hAnsi="Times New Roman"/>
          <w:b w:val="0"/>
          <w:i w:val="0"/>
          <w:sz w:val="22"/>
        </w:rPr>
        <w:t>。如 Table 4.3 所示，它填补了宏观学术研究与微观商业数据之间的空白。</w:t>
      </w:r>
    </w:p>
    <w:p>
      <w:pPr>
        <w:spacing w:before="0" w:after="80" w:lineRule="auto" w:line="324"/>
        <w:ind w:firstLine="0"/>
        <w:jc w:val="both"/>
      </w:pPr>
      <w:r>
        <w:rPr>
          <w:rFonts w:eastAsia="宋体"/>
          <w:rFonts w:ascii="Times New Roman" w:hAnsi="Times New Roman"/>
          <w:b/>
          <w:i w:val="0"/>
          <w:sz w:val="22"/>
        </w:rPr>
        <w:t>Table 4.3 — Tracker vs CASI / CSIS / IISS / Janes 比较矩阵</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机构/项目</w:t>
            </w:r>
          </w:p>
        </w:tc>
        <w:tc>
          <w:tcPr>
            <w:tcW w:type="dxa" w:w="2351"/>
          </w:tcPr>
          <w:p>
            <w:r/>
            <w:r>
              <w:rPr>
                <w:rFonts w:eastAsia="宋体"/>
                <w:rFonts w:ascii="Times New Roman" w:hAnsi="Times New Roman"/>
                <w:b/>
                <w:i w:val="0"/>
                <w:sz w:val="20"/>
              </w:rPr>
              <w:t>核心定位 (Core Focus)</w:t>
            </w:r>
          </w:p>
        </w:tc>
        <w:tc>
          <w:tcPr>
            <w:tcW w:type="dxa" w:w="2351"/>
          </w:tcPr>
          <w:p>
            <w:r/>
            <w:r>
              <w:rPr>
                <w:rFonts w:eastAsia="宋体"/>
                <w:rFonts w:ascii="Times New Roman" w:hAnsi="Times New Roman"/>
                <w:b/>
                <w:i w:val="0"/>
                <w:sz w:val="20"/>
              </w:rPr>
              <w:t>数据呈现形式 (Format)</w:t>
            </w:r>
          </w:p>
        </w:tc>
        <w:tc>
          <w:tcPr>
            <w:tcW w:type="dxa" w:w="2351"/>
          </w:tcPr>
          <w:p>
            <w:r/>
            <w:r>
              <w:rPr>
                <w:rFonts w:eastAsia="宋体"/>
                <w:rFonts w:ascii="Times New Roman" w:hAnsi="Times New Roman"/>
                <w:b/>
                <w:i w:val="0"/>
                <w:sz w:val="20"/>
              </w:rPr>
              <w:t>战术颗粒度 (Tactical Granularity)</w:t>
            </w:r>
          </w:p>
        </w:tc>
      </w:tr>
      <w:tr>
        <w:tc>
          <w:tcPr>
            <w:tcW w:type="dxa" w:w="2351"/>
          </w:tcPr>
          <w:p>
            <w:r/>
            <w:r>
              <w:rPr>
                <w:rFonts w:eastAsia="宋体"/>
                <w:rFonts w:ascii="Times New Roman" w:hAnsi="Times New Roman"/>
                <w:b/>
                <w:i w:val="0"/>
                <w:sz w:val="20"/>
              </w:rPr>
              <w:t>Mitchell Tracker</w:t>
            </w:r>
          </w:p>
        </w:tc>
        <w:tc>
          <w:tcPr>
            <w:tcW w:type="dxa" w:w="2351"/>
          </w:tcPr>
          <w:p>
            <w:r/>
            <w:r>
              <w:rPr>
                <w:rFonts w:eastAsia="宋体"/>
                <w:rFonts w:ascii="Times New Roman" w:hAnsi="Times New Roman"/>
                <w:b w:val="0"/>
                <w:i w:val="0"/>
                <w:sz w:val="20"/>
              </w:rPr>
              <w:t>设施追踪与战术意图反推</w:t>
            </w:r>
          </w:p>
        </w:tc>
        <w:tc>
          <w:tcPr>
            <w:tcW w:type="dxa" w:w="2351"/>
          </w:tcPr>
          <w:p>
            <w:r/>
            <w:r>
              <w:rPr>
                <w:rFonts w:eastAsia="宋体"/>
                <w:rFonts w:ascii="Times New Roman" w:hAnsi="Times New Roman"/>
                <w:b w:val="0"/>
                <w:i w:val="0"/>
                <w:sz w:val="20"/>
              </w:rPr>
              <w:t>交互式 GIS 仪表盘</w:t>
            </w:r>
          </w:p>
        </w:tc>
        <w:tc>
          <w:tcPr>
            <w:tcW w:type="dxa" w:w="2351"/>
          </w:tcPr>
          <w:p>
            <w:r/>
            <w:r>
              <w:rPr>
                <w:rFonts w:eastAsia="宋体"/>
                <w:rFonts w:ascii="Times New Roman" w:hAnsi="Times New Roman"/>
                <w:b w:val="0"/>
                <w:i w:val="0"/>
                <w:sz w:val="20"/>
              </w:rPr>
              <w:t>极高 (单体机库/机型计数)</w:t>
            </w:r>
          </w:p>
        </w:tc>
      </w:tr>
      <w:tr>
        <w:tc>
          <w:tcPr>
            <w:tcW w:type="dxa" w:w="2351"/>
          </w:tcPr>
          <w:p>
            <w:r/>
            <w:r>
              <w:rPr>
                <w:rFonts w:eastAsia="宋体"/>
                <w:rFonts w:ascii="Times New Roman" w:hAnsi="Times New Roman"/>
                <w:b/>
                <w:i w:val="0"/>
                <w:sz w:val="20"/>
              </w:rPr>
              <w:t>CASI (Air Univ.)</w:t>
            </w:r>
          </w:p>
        </w:tc>
        <w:tc>
          <w:tcPr>
            <w:tcW w:type="dxa" w:w="2351"/>
          </w:tcPr>
          <w:p>
            <w:r/>
            <w:r>
              <w:rPr>
                <w:rFonts w:eastAsia="宋体"/>
                <w:rFonts w:ascii="Times New Roman" w:hAnsi="Times New Roman"/>
                <w:b w:val="0"/>
                <w:i w:val="0"/>
                <w:sz w:val="20"/>
              </w:rPr>
              <w:t>组织架构与条令研究</w:t>
            </w:r>
          </w:p>
        </w:tc>
        <w:tc>
          <w:tcPr>
            <w:tcW w:type="dxa" w:w="2351"/>
          </w:tcPr>
          <w:p>
            <w:r/>
            <w:r>
              <w:rPr>
                <w:rFonts w:eastAsia="宋体"/>
                <w:rFonts w:ascii="Times New Roman" w:hAnsi="Times New Roman"/>
                <w:b w:val="0"/>
                <w:i w:val="0"/>
                <w:sz w:val="20"/>
              </w:rPr>
              <w:t>学术报告/翻译文献</w:t>
            </w:r>
          </w:p>
        </w:tc>
        <w:tc>
          <w:tcPr>
            <w:tcW w:type="dxa" w:w="2351"/>
          </w:tcPr>
          <w:p>
            <w:r/>
            <w:r>
              <w:rPr>
                <w:rFonts w:eastAsia="宋体"/>
                <w:rFonts w:ascii="Times New Roman" w:hAnsi="Times New Roman"/>
                <w:b w:val="0"/>
                <w:i w:val="0"/>
                <w:sz w:val="20"/>
              </w:rPr>
              <w:t>中等 (侧重编制与人事)</w:t>
            </w:r>
          </w:p>
        </w:tc>
      </w:tr>
      <w:tr>
        <w:tc>
          <w:tcPr>
            <w:tcW w:type="dxa" w:w="2351"/>
          </w:tcPr>
          <w:p>
            <w:r/>
            <w:r>
              <w:rPr>
                <w:rFonts w:eastAsia="宋体"/>
                <w:rFonts w:ascii="Times New Roman" w:hAnsi="Times New Roman"/>
                <w:b/>
                <w:i w:val="0"/>
                <w:sz w:val="20"/>
              </w:rPr>
              <w:t>CSIS ChinaPower</w:t>
            </w:r>
          </w:p>
        </w:tc>
        <w:tc>
          <w:tcPr>
            <w:tcW w:type="dxa" w:w="2351"/>
          </w:tcPr>
          <w:p>
            <w:r/>
            <w:r>
              <w:rPr>
                <w:rFonts w:eastAsia="宋体"/>
                <w:rFonts w:ascii="Times New Roman" w:hAnsi="Times New Roman"/>
                <w:b w:val="0"/>
                <w:i w:val="0"/>
                <w:sz w:val="20"/>
              </w:rPr>
              <w:t>宏观军力与国力趋势</w:t>
            </w:r>
          </w:p>
        </w:tc>
        <w:tc>
          <w:tcPr>
            <w:tcW w:type="dxa" w:w="2351"/>
          </w:tcPr>
          <w:p>
            <w:r/>
            <w:r>
              <w:rPr>
                <w:rFonts w:eastAsia="宋体"/>
                <w:rFonts w:ascii="Times New Roman" w:hAnsi="Times New Roman"/>
                <w:b w:val="0"/>
                <w:i w:val="0"/>
                <w:sz w:val="20"/>
              </w:rPr>
              <w:t>数据可视化图表</w:t>
            </w:r>
          </w:p>
        </w:tc>
        <w:tc>
          <w:tcPr>
            <w:tcW w:type="dxa" w:w="2351"/>
          </w:tcPr>
          <w:p>
            <w:r/>
            <w:r>
              <w:rPr>
                <w:rFonts w:eastAsia="宋体"/>
                <w:rFonts w:ascii="Times New Roman" w:hAnsi="Times New Roman"/>
                <w:b w:val="0"/>
                <w:i w:val="0"/>
                <w:sz w:val="20"/>
              </w:rPr>
              <w:t>中低 (侧重战区级/国家级)</w:t>
            </w:r>
          </w:p>
        </w:tc>
      </w:tr>
      <w:tr>
        <w:tc>
          <w:tcPr>
            <w:tcW w:type="dxa" w:w="2351"/>
          </w:tcPr>
          <w:p>
            <w:r/>
            <w:r>
              <w:rPr>
                <w:rFonts w:eastAsia="宋体"/>
                <w:rFonts w:ascii="Times New Roman" w:hAnsi="Times New Roman"/>
                <w:b/>
                <w:i w:val="0"/>
                <w:sz w:val="20"/>
              </w:rPr>
              <w:t>IISS Mil-Balance</w:t>
            </w:r>
          </w:p>
        </w:tc>
        <w:tc>
          <w:tcPr>
            <w:tcW w:type="dxa" w:w="2351"/>
          </w:tcPr>
          <w:p>
            <w:r/>
            <w:r>
              <w:rPr>
                <w:rFonts w:eastAsia="宋体"/>
                <w:rFonts w:ascii="Times New Roman" w:hAnsi="Times New Roman"/>
                <w:b w:val="0"/>
                <w:i w:val="0"/>
                <w:sz w:val="20"/>
              </w:rPr>
              <w:t>全球军力基线统计</w:t>
            </w:r>
          </w:p>
        </w:tc>
        <w:tc>
          <w:tcPr>
            <w:tcW w:type="dxa" w:w="2351"/>
          </w:tcPr>
          <w:p>
            <w:r/>
            <w:r>
              <w:rPr>
                <w:rFonts w:eastAsia="宋体"/>
                <w:rFonts w:ascii="Times New Roman" w:hAnsi="Times New Roman"/>
                <w:b w:val="0"/>
                <w:i w:val="0"/>
                <w:sz w:val="20"/>
              </w:rPr>
              <w:t>年度出版物/数据库</w:t>
            </w:r>
          </w:p>
        </w:tc>
        <w:tc>
          <w:tcPr>
            <w:tcW w:type="dxa" w:w="2351"/>
          </w:tcPr>
          <w:p>
            <w:r/>
            <w:r>
              <w:rPr>
                <w:rFonts w:eastAsia="宋体"/>
                <w:rFonts w:ascii="Times New Roman" w:hAnsi="Times New Roman"/>
                <w:b w:val="0"/>
                <w:i w:val="0"/>
                <w:sz w:val="20"/>
              </w:rPr>
              <w:t>中等 (侧重装备总数)</w:t>
            </w:r>
          </w:p>
        </w:tc>
      </w:tr>
      <w:tr>
        <w:tc>
          <w:tcPr>
            <w:tcW w:type="dxa" w:w="2351"/>
          </w:tcPr>
          <w:p>
            <w:r/>
            <w:r>
              <w:rPr>
                <w:rFonts w:eastAsia="宋体"/>
                <w:rFonts w:ascii="Times New Roman" w:hAnsi="Times New Roman"/>
                <w:b/>
                <w:i w:val="0"/>
                <w:sz w:val="20"/>
              </w:rPr>
              <w:t>Janes</w:t>
            </w:r>
          </w:p>
        </w:tc>
        <w:tc>
          <w:tcPr>
            <w:tcW w:type="dxa" w:w="2351"/>
          </w:tcPr>
          <w:p>
            <w:r/>
            <w:r>
              <w:rPr>
                <w:rFonts w:eastAsia="宋体"/>
                <w:rFonts w:ascii="Times New Roman" w:hAnsi="Times New Roman"/>
                <w:b w:val="0"/>
                <w:i w:val="0"/>
                <w:sz w:val="20"/>
              </w:rPr>
              <w:t>装备技术参数与军贸</w:t>
            </w:r>
          </w:p>
        </w:tc>
        <w:tc>
          <w:tcPr>
            <w:tcW w:type="dxa" w:w="2351"/>
          </w:tcPr>
          <w:p>
            <w:r/>
            <w:r>
              <w:rPr>
                <w:rFonts w:eastAsia="宋体"/>
                <w:rFonts w:ascii="Times New Roman" w:hAnsi="Times New Roman"/>
                <w:b w:val="0"/>
                <w:i w:val="0"/>
                <w:sz w:val="20"/>
              </w:rPr>
              <w:t>商业订阅数据库</w:t>
            </w:r>
          </w:p>
        </w:tc>
        <w:tc>
          <w:tcPr>
            <w:tcW w:type="dxa" w:w="2351"/>
          </w:tcPr>
          <w:p>
            <w:r/>
            <w:r>
              <w:rPr>
                <w:rFonts w:eastAsia="宋体"/>
                <w:rFonts w:ascii="Times New Roman" w:hAnsi="Times New Roman"/>
                <w:b w:val="0"/>
                <w:i w:val="0"/>
                <w:sz w:val="20"/>
              </w:rPr>
              <w:t>高 (侧重单体装备性能)</w:t>
            </w:r>
          </w:p>
        </w:tc>
      </w:tr>
    </w:tbl>
    <w:p/>
    <w:p>
      <w:pPr>
        <w:spacing w:before="0" w:after="80" w:lineRule="auto" w:line="324"/>
        <w:ind w:firstLine="0"/>
        <w:jc w:val="both"/>
      </w:pPr>
      <w:r>
        <w:rPr>
          <w:rFonts w:eastAsia="宋体"/>
          <w:rFonts w:ascii="Times New Roman" w:hAnsi="Times New Roman"/>
          <w:b w:val="0"/>
          <w:i/>
          <w:sz w:val="22"/>
        </w:rPr>
        <w:t>SOURCE: RAND NSRD analytic assessment, 2026.</w:t>
      </w:r>
    </w:p>
    <w:p>
      <w:pPr>
        <w:spacing w:before="240" w:after="120" w:lineRule="auto" w:line="324"/>
        <w:jc w:val="both"/>
      </w:pPr>
      <w:r>
        <w:rPr>
          <w:rFonts w:eastAsia="黑体"/>
          <w:rFonts w:ascii="Arial" w:hAnsi="Arial"/>
          <w:b/>
          <w:i w:val="0"/>
          <w:color w:val="284682"/>
          <w:sz w:val="26"/>
        </w:rPr>
        <w:t>4.5 Tradecraft Assessment: Limitations and Risks</w:t>
      </w:r>
    </w:p>
    <w:p>
      <w:pPr>
        <w:spacing w:before="0" w:after="80" w:lineRule="auto" w:line="324"/>
        <w:ind w:firstLine="0"/>
        <w:jc w:val="both"/>
      </w:pPr>
      <w:r>
        <w:rPr>
          <w:rFonts w:eastAsia="宋体"/>
          <w:rFonts w:ascii="Times New Roman" w:hAnsi="Times New Roman"/>
          <w:b w:val="0"/>
          <w:i w:val="0"/>
          <w:sz w:val="22"/>
        </w:rPr>
        <w:t>在评估其局限性与风险时，必须严格区分基于客观事实的证据与基于情报学理的分析性判断。尽管该项目在 OSINT 领域表现出较高的专业度，但其情报技艺仍存在若干结构性脆弱点。</w:t>
      </w:r>
    </w:p>
    <w:p>
      <w:pPr>
        <w:spacing w:before="160" w:after="80" w:lineRule="auto" w:line="324"/>
        <w:jc w:val="both"/>
      </w:pPr>
      <w:r>
        <w:rPr>
          <w:rFonts w:eastAsia="黑体"/>
          <w:rFonts w:ascii="Arial" w:hAnsi="Arial"/>
          <w:b/>
          <w:i w:val="0"/>
          <w:color w:val="3C5A96"/>
          <w:sz w:val="24"/>
        </w:rPr>
        <w:t>4.5.1 Confirmation Bias 确认偏误</w:t>
      </w:r>
    </w:p>
    <w:p>
      <w:pPr>
        <w:spacing w:before="0" w:after="80" w:lineRule="auto" w:line="324"/>
        <w:ind w:firstLine="0"/>
        <w:jc w:val="both"/>
      </w:pPr>
      <w:r>
        <w:rPr>
          <w:rFonts w:eastAsia="宋体"/>
          <w:rFonts w:ascii="Times New Roman" w:hAnsi="Times New Roman"/>
          <w:b/>
          <w:i w:val="0"/>
          <w:sz w:val="22"/>
        </w:rPr>
        <w:t>基于证据的发现（Evidence-based finding）：</w:t>
      </w:r>
      <w:r>
        <w:rPr>
          <w:rFonts w:eastAsia="宋体"/>
          <w:rFonts w:ascii="Times New Roman" w:hAnsi="Times New Roman"/>
          <w:b w:val="0"/>
          <w:i w:val="0"/>
          <w:sz w:val="22"/>
        </w:rPr>
        <w:t xml:space="preserve"> 米切尔研究所的资金来源结构中，包含了波音、洛克希德·马丁、诺斯罗普·格鲁曼等主要美国防务承包商的赞助</w:t>
      </w:r>
      <w:r>
        <w:rPr>
          <w:rFonts w:eastAsia="宋体"/>
          <w:rFonts w:ascii="Times New Roman" w:hAnsi="Times New Roman"/>
          <w:b w:val="0"/>
          <w:i w:val="0"/>
          <w:color w:val="323296"/>
          <w:sz w:val="16"/>
          <w:vertAlign w:val="superscript"/>
        </w:rPr>
        <w:t>[20]</w:t>
      </w:r>
      <w:r>
        <w:rPr>
          <w:rFonts w:eastAsia="宋体"/>
          <w:rFonts w:ascii="Times New Roman" w:hAnsi="Times New Roman"/>
          <w:b w:val="0"/>
          <w:i w:val="0"/>
          <w:sz w:val="22"/>
        </w:rPr>
        <w:t>。同时，该机构的公开使命是倡导强大的美国航空航天力量。</w:t>
      </w:r>
    </w:p>
    <w:p>
      <w:pPr>
        <w:spacing w:before="0" w:after="80" w:lineRule="auto" w:line="324"/>
        <w:ind w:firstLine="0"/>
        <w:jc w:val="both"/>
      </w:pPr>
      <w:r>
        <w:rPr>
          <w:rFonts w:eastAsia="宋体"/>
          <w:rFonts w:ascii="Times New Roman" w:hAnsi="Times New Roman"/>
          <w:b/>
          <w:i w:val="0"/>
          <w:sz w:val="22"/>
        </w:rPr>
        <w:t>分析性判断（Analytic judgment）：</w:t>
      </w:r>
      <w:r>
        <w:rPr>
          <w:rFonts w:eastAsia="宋体"/>
          <w:rFonts w:ascii="Times New Roman" w:hAnsi="Times New Roman"/>
          <w:b w:val="0"/>
          <w:i w:val="0"/>
          <w:sz w:val="22"/>
        </w:rPr>
        <w:t xml:space="preserve"> 这种机构属性与资金结构可能（may）在无意识中引导分析师产生确认偏误（Confirmation Bias）。在面对模糊的卫星影像或不确定的开源数据时，分析团队可能存在一种系统性的激励，倾向于优先选择和发布那些支持“威胁严重”或“解放军扩张迅速”叙事的证据。这种“威胁通胀”（Threat Inflation）的潜在倾向，可能导致对解放军常规设施翻新或防御性升级的过度解读</w:t>
      </w:r>
      <w:r>
        <w:rPr>
          <w:rFonts w:eastAsia="宋体"/>
          <w:rFonts w:ascii="Times New Roman" w:hAnsi="Times New Roman"/>
          <w:b w:val="0"/>
          <w:i w:val="0"/>
          <w:color w:val="323296"/>
          <w:sz w:val="16"/>
          <w:vertAlign w:val="superscript"/>
        </w:rPr>
        <w:t>[21]</w:t>
      </w:r>
      <w:r>
        <w:rPr>
          <w:rFonts w:eastAsia="宋体"/>
          <w:rFonts w:ascii="Times New Roman" w:hAnsi="Times New Roman"/>
          <w:b w:val="0"/>
          <w:i w:val="0"/>
          <w:sz w:val="22"/>
        </w:rPr>
        <w:t>。</w:t>
      </w:r>
    </w:p>
    <w:p>
      <w:pPr>
        <w:spacing w:before="160" w:after="80" w:lineRule="auto" w:line="324"/>
        <w:jc w:val="both"/>
      </w:pPr>
      <w:r>
        <w:rPr>
          <w:rFonts w:eastAsia="黑体"/>
          <w:rFonts w:ascii="Arial" w:hAnsi="Arial"/>
          <w:b/>
          <w:i w:val="0"/>
          <w:color w:val="3C5A96"/>
          <w:sz w:val="24"/>
        </w:rPr>
        <w:t>4.5.2 Imagery Interpretation Overconfidence 影像判读的过度自信</w:t>
      </w:r>
    </w:p>
    <w:p>
      <w:pPr>
        <w:spacing w:before="0" w:after="80" w:lineRule="auto" w:line="324"/>
        <w:ind w:firstLine="0"/>
        <w:jc w:val="both"/>
      </w:pPr>
      <w:r>
        <w:rPr>
          <w:rFonts w:eastAsia="宋体"/>
          <w:rFonts w:ascii="Times New Roman" w:hAnsi="Times New Roman"/>
          <w:b/>
          <w:i w:val="0"/>
          <w:sz w:val="22"/>
        </w:rPr>
        <w:t>基于证据的发现（Evidence-based finding）：</w:t>
      </w:r>
      <w:r>
        <w:rPr>
          <w:rFonts w:eastAsia="宋体"/>
          <w:rFonts w:ascii="Times New Roman" w:hAnsi="Times New Roman"/>
          <w:b w:val="0"/>
          <w:i w:val="0"/>
          <w:sz w:val="22"/>
        </w:rPr>
        <w:t xml:space="preserve"> 商业卫星影像，无论分辨率多高，本质上只能捕捉目标的外部物理特征，无法穿透加固机库的顶部观察内部活动</w:t>
      </w:r>
      <w:r>
        <w:rPr>
          <w:rFonts w:eastAsia="宋体"/>
          <w:rFonts w:ascii="Times New Roman" w:hAnsi="Times New Roman"/>
          <w:b w:val="0"/>
          <w:i w:val="0"/>
          <w:color w:val="323296"/>
          <w:sz w:val="16"/>
          <w:vertAlign w:val="superscript"/>
        </w:rPr>
        <w:t>[22]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分析性判断（Analytic judgment）：</w:t>
      </w:r>
      <w:r>
        <w:rPr>
          <w:rFonts w:eastAsia="宋体"/>
          <w:rFonts w:ascii="Times New Roman" w:hAnsi="Times New Roman"/>
          <w:b w:val="0"/>
          <w:i w:val="0"/>
          <w:sz w:val="22"/>
        </w:rPr>
        <w:t xml:space="preserve"> 追踪器在从“物理识别”向“战术意图反推”跨越时，可能表现出过度自信。单凭外部影像难以确认机库内部的真实用途（例如，新建的 HAS 内部可能是空的，或者用于存放非航空物资）。此外，该方法论对解放军的伪装、隐蔽与欺骗（CC&amp;D）措施（如高仿真充气模型、假跑道、电磁诱饵）的抵抗力有限。更重要的是，装备完好率、后勤保障深度、人员训练熟练度等决定战斗力的“软”维度，是无法从卫星影像中提取的</w:t>
      </w:r>
      <w:r>
        <w:rPr>
          <w:rFonts w:eastAsia="宋体"/>
          <w:rFonts w:ascii="Times New Roman" w:hAnsi="Times New Roman"/>
          <w:b w:val="0"/>
          <w:i w:val="0"/>
          <w:color w:val="323296"/>
          <w:sz w:val="16"/>
          <w:vertAlign w:val="superscript"/>
        </w:rPr>
        <w:t>[23]</w:t>
      </w:r>
      <w:r>
        <w:rPr>
          <w:rFonts w:eastAsia="宋体"/>
          <w:rFonts w:ascii="Times New Roman" w:hAnsi="Times New Roman"/>
          <w:b w:val="0"/>
          <w:i w:val="0"/>
          <w:sz w:val="22"/>
        </w:rPr>
        <w:t>。</w:t>
      </w:r>
    </w:p>
    <w:p>
      <w:pPr>
        <w:spacing w:before="160" w:after="80" w:lineRule="auto" w:line="324"/>
        <w:jc w:val="both"/>
      </w:pPr>
      <w:r>
        <w:rPr>
          <w:rFonts w:eastAsia="黑体"/>
          <w:rFonts w:ascii="Arial" w:hAnsi="Arial"/>
          <w:b/>
          <w:i w:val="0"/>
          <w:color w:val="3C5A96"/>
          <w:sz w:val="24"/>
        </w:rPr>
        <w:t>4.5.3 Single-Source Vulnerability 单一来源脆弱性</w:t>
      </w:r>
    </w:p>
    <w:p>
      <w:pPr>
        <w:spacing w:before="0" w:after="80" w:lineRule="auto" w:line="324"/>
        <w:ind w:firstLine="0"/>
        <w:jc w:val="both"/>
      </w:pPr>
      <w:r>
        <w:rPr>
          <w:rFonts w:eastAsia="宋体"/>
          <w:rFonts w:ascii="Times New Roman" w:hAnsi="Times New Roman"/>
          <w:b/>
          <w:i w:val="0"/>
          <w:sz w:val="22"/>
        </w:rPr>
        <w:t>基于证据的发现（Evidence-based finding）：</w:t>
      </w:r>
      <w:r>
        <w:rPr>
          <w:rFonts w:eastAsia="宋体"/>
          <w:rFonts w:ascii="Times New Roman" w:hAnsi="Times New Roman"/>
          <w:b w:val="0"/>
          <w:i w:val="0"/>
          <w:sz w:val="22"/>
        </w:rPr>
        <w:t xml:space="preserve"> 尽管追踪器声称采用多源验证，但在某些高时效性或偏远地区的案例中，其判断仅依赖于单一商业卫星供应商在特定时间窗口抓拍的孤立影像</w:t>
      </w:r>
      <w:r>
        <w:rPr>
          <w:rFonts w:eastAsia="宋体"/>
          <w:rFonts w:ascii="Times New Roman" w:hAnsi="Times New Roman"/>
          <w:b w:val="0"/>
          <w:i w:val="0"/>
          <w:color w:val="323296"/>
          <w:sz w:val="16"/>
          <w:vertAlign w:val="superscript"/>
        </w:rPr>
        <w:t>[24]</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分析性判断（Analytic judgment）：</w:t>
      </w:r>
      <w:r>
        <w:rPr>
          <w:rFonts w:eastAsia="宋体"/>
          <w:rFonts w:ascii="Times New Roman" w:hAnsi="Times New Roman"/>
          <w:b w:val="0"/>
          <w:i w:val="0"/>
          <w:sz w:val="22"/>
        </w:rPr>
        <w:t xml:space="preserve"> 缺乏信号情报（SIGINT）和人力情报（HUMINT）的深度交叉验证，使得这种基于纯 OSINT 的评估具有固有的脆弱性。如果单一卫星影像受到大气扰动、传感器伪影或敌方定向干扰的影响，可能导致整个战术推断链条的崩塌。</w:t>
      </w:r>
    </w:p>
    <w:p>
      <w:pPr>
        <w:spacing w:before="160" w:after="80" w:lineRule="auto" w:line="324"/>
        <w:jc w:val="both"/>
      </w:pPr>
      <w:r>
        <w:rPr>
          <w:rFonts w:eastAsia="黑体"/>
          <w:rFonts w:ascii="Arial" w:hAnsi="Arial"/>
          <w:b/>
          <w:i w:val="0"/>
          <w:color w:val="3C5A96"/>
          <w:sz w:val="24"/>
        </w:rPr>
        <w:t>4.5.4 Replicability Question 可复制性存疑</w:t>
      </w:r>
    </w:p>
    <w:p>
      <w:pPr>
        <w:spacing w:before="0" w:after="80" w:lineRule="auto" w:line="324"/>
        <w:ind w:firstLine="0"/>
        <w:jc w:val="both"/>
      </w:pPr>
      <w:r>
        <w:rPr>
          <w:rFonts w:eastAsia="宋体"/>
          <w:rFonts w:ascii="Times New Roman" w:hAnsi="Times New Roman"/>
          <w:b/>
          <w:i w:val="0"/>
          <w:sz w:val="22"/>
        </w:rPr>
        <w:t>基于证据的发现（Evidence-based finding）：</w:t>
      </w:r>
      <w:r>
        <w:rPr>
          <w:rFonts w:eastAsia="宋体"/>
          <w:rFonts w:ascii="Times New Roman" w:hAnsi="Times New Roman"/>
          <w:b w:val="0"/>
          <w:i w:val="0"/>
          <w:sz w:val="22"/>
        </w:rPr>
        <w:t xml:space="preserve"> 米切尔研究所并未完全开源其用于处理海量卫星影像的自动化脚本、AI 目标识别算法的具体权重，以及筛选中文社交媒体数据的具体代码</w:t>
      </w:r>
      <w:r>
        <w:rPr>
          <w:rFonts w:eastAsia="宋体"/>
          <w:rFonts w:ascii="Times New Roman" w:hAnsi="Times New Roman"/>
          <w:b w:val="0"/>
          <w:i w:val="0"/>
          <w:color w:val="323296"/>
          <w:sz w:val="16"/>
          <w:vertAlign w:val="superscript"/>
        </w:rPr>
        <w:t>[25]</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分析性判断（Analytic judgment）：</w:t>
      </w:r>
      <w:r>
        <w:rPr>
          <w:rFonts w:eastAsia="宋体"/>
          <w:rFonts w:ascii="Times New Roman" w:hAnsi="Times New Roman"/>
          <w:b w:val="0"/>
          <w:i w:val="0"/>
          <w:sz w:val="22"/>
        </w:rPr>
        <w:t xml:space="preserve"> 这种方法论上的不透明性降低了该项目在学术意义上的可复制性（Replicability）。第三方独立研究机构难以使用相同的数据集复现其精确的计数结果，这使得部分结论更接近于“专家权威判断”而非“可验证的科学测量”</w:t>
      </w:r>
      <w:r>
        <w:rPr>
          <w:rFonts w:eastAsia="宋体"/>
          <w:rFonts w:ascii="Times New Roman" w:hAnsi="Times New Roman"/>
          <w:b w:val="0"/>
          <w:i w:val="0"/>
          <w:color w:val="323296"/>
          <w:sz w:val="16"/>
          <w:vertAlign w:val="superscript"/>
        </w:rPr>
        <w:t>[26]</w:t>
      </w:r>
      <w:r>
        <w:rPr>
          <w:rFonts w:eastAsia="宋体"/>
          <w:rFonts w:ascii="Times New Roman" w:hAnsi="Times New Roman"/>
          <w:b w:val="0"/>
          <w:i w:val="0"/>
          <w:sz w:val="22"/>
        </w:rPr>
        <w:t>。</w:t>
      </w:r>
    </w:p>
    <w:p>
      <w:pPr>
        <w:spacing w:before="240" w:after="120" w:lineRule="auto" w:line="324"/>
        <w:jc w:val="both"/>
      </w:pPr>
      <w:r>
        <w:rPr>
          <w:rFonts w:eastAsia="黑体"/>
          <w:rFonts w:ascii="Arial" w:hAnsi="Arial"/>
          <w:b/>
          <w:i w:val="0"/>
          <w:color w:val="284682"/>
          <w:sz w:val="26"/>
        </w:rPr>
        <w:t>4.6 Strategic Spillover Effects</w:t>
      </w:r>
    </w:p>
    <w:p>
      <w:pPr>
        <w:spacing w:before="0" w:after="80" w:lineRule="auto" w:line="324"/>
        <w:ind w:firstLine="0"/>
        <w:jc w:val="both"/>
      </w:pPr>
      <w:r>
        <w:rPr>
          <w:rFonts w:eastAsia="宋体"/>
          <w:rFonts w:ascii="Times New Roman" w:hAnsi="Times New Roman"/>
          <w:b w:val="0"/>
          <w:i w:val="0"/>
          <w:sz w:val="22"/>
        </w:rPr>
        <w:t>分析性判断表明，《中国空军追踪器》的运作已超越了单纯的情报收集范畴，在印太地区产生了显著的战略溢出效应（Strategic Spillover Effects）。</w:t>
      </w:r>
    </w:p>
    <w:p>
      <w:pPr>
        <w:spacing w:before="0" w:after="80" w:lineRule="auto" w:line="324"/>
        <w:ind w:firstLine="0"/>
        <w:jc w:val="both"/>
      </w:pPr>
      <w:r>
        <w:rPr>
          <w:rFonts w:eastAsia="宋体"/>
          <w:rFonts w:ascii="Times New Roman" w:hAnsi="Times New Roman"/>
          <w:b w:val="0"/>
          <w:i w:val="0"/>
          <w:sz w:val="22"/>
        </w:rPr>
        <w:t>首先，该项目构成了一种</w:t>
      </w:r>
      <w:r>
        <w:rPr>
          <w:rFonts w:eastAsia="宋体"/>
          <w:rFonts w:ascii="Times New Roman" w:hAnsi="Times New Roman"/>
          <w:b/>
          <w:i w:val="0"/>
          <w:sz w:val="22"/>
        </w:rPr>
        <w:t>“透明化威慑”（Deterrence through Transparency）</w:t>
      </w:r>
      <w:r>
        <w:rPr>
          <w:rFonts w:eastAsia="宋体"/>
          <w:rFonts w:ascii="Times New Roman" w:hAnsi="Times New Roman"/>
          <w:b w:val="0"/>
          <w:i w:val="0"/>
          <w:sz w:val="22"/>
        </w:rPr>
        <w:t>的认知作战工具。通过持续、高调地曝光解放军的基地建设与兵力调动，该平台向北京传递了“美方具备单向战场透明度”的信号。这种做法可能（could）旨在削弱对手的战略突然性，并在认知领域施加心理压力</w:t>
      </w:r>
      <w:r>
        <w:rPr>
          <w:rFonts w:eastAsia="宋体"/>
          <w:rFonts w:ascii="Times New Roman" w:hAnsi="Times New Roman"/>
          <w:b w:val="0"/>
          <w:i w:val="0"/>
          <w:color w:val="323296"/>
          <w:sz w:val="16"/>
          <w:vertAlign w:val="superscript"/>
        </w:rPr>
        <w:t>[27]</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val="0"/>
          <w:i w:val="0"/>
          <w:sz w:val="22"/>
        </w:rPr>
        <w:t>其次，该平台的数据输出对印太盟友的防务决策产生了传导效应。基于证据的发现显示，日本、澳大利亚、韩国以及台湾地区的防务研究机构（如 INDSR）频繁引用此类 OSINT 数据来评估自身的防空压力</w:t>
      </w:r>
      <w:r>
        <w:rPr>
          <w:rFonts w:eastAsia="宋体"/>
          <w:rFonts w:ascii="Times New Roman" w:hAnsi="Times New Roman"/>
          <w:b w:val="0"/>
          <w:i w:val="0"/>
          <w:color w:val="323296"/>
          <w:sz w:val="16"/>
          <w:vertAlign w:val="superscript"/>
        </w:rPr>
        <w:t>[28]</w:t>
      </w:r>
      <w:r>
        <w:rPr>
          <w:rFonts w:eastAsia="宋体"/>
          <w:rFonts w:ascii="Times New Roman" w:hAnsi="Times New Roman"/>
          <w:b w:val="0"/>
          <w:i w:val="0"/>
          <w:sz w:val="22"/>
        </w:rPr>
        <w:t>。分析性判断认为，这种外部威胁的具象化，客观上为这些盟友增加国防预算、调整防卫指针以及向美国采购先进不对称武器系统（如防空导弹、无人机）提供了舆论与政策依据。</w:t>
      </w:r>
    </w:p>
    <w:p>
      <w:pPr>
        <w:spacing w:before="0" w:after="80" w:lineRule="auto" w:line="324"/>
        <w:ind w:firstLine="0"/>
        <w:jc w:val="both"/>
      </w:pPr>
      <w:r>
        <w:rPr>
          <w:rFonts w:eastAsia="宋体"/>
          <w:rFonts w:ascii="Times New Roman" w:hAnsi="Times New Roman"/>
          <w:b w:val="0"/>
          <w:i w:val="0"/>
          <w:sz w:val="22"/>
        </w:rPr>
        <w:t>最后，该项目对中国大陆的军事透明度政策构成了“被动施压”。面对高频次的商业卫星曝光，解放军可能（appears to）被迫在沿海机场扩建与装备部署中投入更高的伪装与隐蔽成本，从而在和平时期消耗其额外的后勤与工程资源</w:t>
      </w:r>
      <w:r>
        <w:rPr>
          <w:rFonts w:eastAsia="宋体"/>
          <w:rFonts w:ascii="Times New Roman" w:hAnsi="Times New Roman"/>
          <w:b w:val="0"/>
          <w:i w:val="0"/>
          <w:color w:val="323296"/>
          <w:sz w:val="16"/>
          <w:vertAlign w:val="superscript"/>
        </w:rPr>
        <w:t>[29]</w:t>
      </w:r>
      <w:r>
        <w:rPr>
          <w:rFonts w:eastAsia="宋体"/>
          <w:rFonts w:ascii="Times New Roman" w:hAnsi="Times New Roman"/>
          <w:b w:val="0"/>
          <w:i w:val="0"/>
          <w:sz w:val="22"/>
        </w:rPr>
        <w:t>。</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Key Findings of Chapter 4</w:t>
      </w:r>
    </w:p>
    <w:p>
      <w:pPr>
        <w:spacing w:before="0" w:after="60" w:lineRule="auto" w:line="324"/>
        <w:ind w:firstLine="170"/>
        <w:jc w:val="both"/>
      </w:pPr>
      <w:r>
        <w:rPr>
          <w:rFonts w:eastAsia="宋体"/>
          <w:rFonts w:ascii="Times New Roman" w:hAnsi="Times New Roman"/>
          <w:b/>
          <w:i w:val="0"/>
          <w:sz w:val="20"/>
        </w:rPr>
        <w:t>KF 4.1</w:t>
      </w:r>
    </w:p>
    <w:p>
      <w:pPr>
        <w:spacing w:before="0" w:after="60" w:lineRule="auto" w:line="324"/>
        <w:ind w:firstLine="170"/>
        <w:jc w:val="both"/>
      </w:pPr>
      <w:r>
        <w:rPr>
          <w:rFonts w:eastAsia="宋体"/>
          <w:rFonts w:ascii="Times New Roman" w:hAnsi="Times New Roman"/>
          <w:b w:val="0"/>
          <w:i w:val="0"/>
          <w:sz w:val="20"/>
        </w:rPr>
        <w:t>《中国空军追踪器》是一个融合多模态商业卫星影像与跨域开源情报（OSINT）的战术/战略评估平台，其核心驱动力源于前美军情报官的专业技艺与米切尔研究所的机构资源。</w:t>
      </w:r>
    </w:p>
    <w:p>
      <w:pPr>
        <w:spacing w:before="0" w:after="60" w:lineRule="auto" w:line="324"/>
        <w:ind w:firstLine="170"/>
        <w:jc w:val="both"/>
      </w:pPr>
      <w:r>
        <w:rPr>
          <w:rFonts w:eastAsia="宋体"/>
          <w:rFonts w:ascii="Times New Roman" w:hAnsi="Times New Roman"/>
          <w:b/>
          <w:i w:val="0"/>
          <w:sz w:val="20"/>
        </w:rPr>
        <w:t>KF 4.2</w:t>
      </w:r>
    </w:p>
    <w:p>
      <w:pPr>
        <w:spacing w:before="0" w:after="60" w:lineRule="auto" w:line="324"/>
        <w:ind w:firstLine="170"/>
        <w:jc w:val="both"/>
      </w:pPr>
      <w:r>
        <w:rPr>
          <w:rFonts w:eastAsia="宋体"/>
          <w:rFonts w:ascii="Times New Roman" w:hAnsi="Times New Roman"/>
          <w:b w:val="0"/>
          <w:i w:val="0"/>
          <w:sz w:val="20"/>
        </w:rPr>
        <w:t>该项目的数据源矩阵包含六大支柱：商业卫星影像（光学/SAR）、中国官方/半官方信息、行业展会资料、中文社交媒体、美/盟国政府报告以及学术机构产出，形成了一个互为补充的情报生态。</w:t>
      </w:r>
    </w:p>
    <w:p>
      <w:pPr>
        <w:spacing w:before="0" w:after="60" w:lineRule="auto" w:line="324"/>
        <w:ind w:firstLine="170"/>
        <w:jc w:val="both"/>
      </w:pPr>
      <w:r>
        <w:rPr>
          <w:rFonts w:eastAsia="宋体"/>
          <w:rFonts w:ascii="Times New Roman" w:hAnsi="Times New Roman"/>
          <w:b/>
          <w:i w:val="0"/>
          <w:sz w:val="20"/>
        </w:rPr>
        <w:t>KF 4.3</w:t>
      </w:r>
    </w:p>
    <w:p>
      <w:pPr>
        <w:spacing w:before="0" w:after="60" w:lineRule="auto" w:line="324"/>
        <w:ind w:firstLine="170"/>
        <w:jc w:val="both"/>
      </w:pPr>
      <w:r>
        <w:rPr>
          <w:rFonts w:eastAsia="宋体"/>
          <w:rFonts w:ascii="Times New Roman" w:hAnsi="Times New Roman"/>
          <w:b w:val="0"/>
          <w:i w:val="0"/>
          <w:sz w:val="20"/>
        </w:rPr>
        <w:t>其分析方法论遵循“物理识别 → 工程量计数 → 战术意图反推 → 多源交叉验证”的四步闭环框架，试图将微观的像素变化转化为宏观的政策建议。</w:t>
      </w:r>
    </w:p>
    <w:p>
      <w:pPr>
        <w:spacing w:before="0" w:after="60" w:lineRule="auto" w:line="324"/>
        <w:ind w:firstLine="170"/>
        <w:jc w:val="both"/>
      </w:pPr>
      <w:r>
        <w:rPr>
          <w:rFonts w:eastAsia="宋体"/>
          <w:rFonts w:ascii="Times New Roman" w:hAnsi="Times New Roman"/>
          <w:b/>
          <w:i w:val="0"/>
          <w:sz w:val="20"/>
        </w:rPr>
        <w:t>KF 4.4</w:t>
      </w:r>
    </w:p>
    <w:p>
      <w:pPr>
        <w:spacing w:before="0" w:after="60" w:lineRule="auto" w:line="324"/>
        <w:ind w:firstLine="170"/>
        <w:jc w:val="both"/>
      </w:pPr>
      <w:r>
        <w:rPr>
          <w:rFonts w:eastAsia="宋体"/>
          <w:rFonts w:ascii="Times New Roman" w:hAnsi="Times New Roman"/>
          <w:b w:val="0"/>
          <w:i w:val="0"/>
          <w:sz w:val="20"/>
        </w:rPr>
        <w:t>追踪器的主要优势在于其多模态数据的稳健性、降低理解门槛的可视化呈现，以及在华盛顿智库圈中填补了宏观趋势与微观商业数据之间的生态位空白。</w:t>
      </w:r>
    </w:p>
    <w:p>
      <w:pPr>
        <w:spacing w:before="0" w:after="60" w:lineRule="auto" w:line="324"/>
        <w:ind w:firstLine="170"/>
        <w:jc w:val="both"/>
      </w:pPr>
      <w:r>
        <w:rPr>
          <w:rFonts w:eastAsia="宋体"/>
          <w:rFonts w:ascii="Times New Roman" w:hAnsi="Times New Roman"/>
          <w:b/>
          <w:i w:val="0"/>
          <w:sz w:val="20"/>
        </w:rPr>
        <w:t>KF 4.5</w:t>
      </w:r>
    </w:p>
    <w:p>
      <w:pPr>
        <w:spacing w:before="0" w:after="60" w:lineRule="auto" w:line="324"/>
        <w:ind w:firstLine="170"/>
        <w:jc w:val="both"/>
      </w:pPr>
      <w:r>
        <w:rPr>
          <w:rFonts w:eastAsia="宋体"/>
          <w:rFonts w:ascii="Times New Roman" w:hAnsi="Times New Roman"/>
          <w:b w:val="0"/>
          <w:i w:val="0"/>
          <w:sz w:val="20"/>
        </w:rPr>
        <w:t>从情报技艺评估来看，该项目存在潜在的确认偏误（受机构赞助结构影响）、对影像判读的过度自信（难以识别 CC&amp;D 及“软”实力）、单一来源脆弱性以及方法论可复制性不足等结构性风险。</w:t>
      </w:r>
    </w:p>
    <w:p>
      <w:pPr>
        <w:spacing w:before="0" w:after="60" w:lineRule="auto" w:line="324"/>
        <w:ind w:firstLine="170"/>
        <w:jc w:val="both"/>
      </w:pPr>
      <w:r>
        <w:rPr>
          <w:rFonts w:eastAsia="宋体"/>
          <w:rFonts w:ascii="Times New Roman" w:hAnsi="Times New Roman"/>
          <w:b/>
          <w:i w:val="0"/>
          <w:sz w:val="20"/>
        </w:rPr>
        <w:t>KF 4.6</w:t>
      </w:r>
    </w:p>
    <w:p>
      <w:pPr>
        <w:spacing w:before="0" w:after="60" w:lineRule="auto" w:line="324"/>
        <w:ind w:firstLine="170"/>
        <w:jc w:val="both"/>
      </w:pPr>
      <w:r>
        <w:rPr>
          <w:rFonts w:eastAsia="宋体"/>
          <w:rFonts w:ascii="Times New Roman" w:hAnsi="Times New Roman"/>
          <w:b w:val="0"/>
          <w:i w:val="0"/>
          <w:sz w:val="20"/>
        </w:rPr>
        <w:t>该项目的战略溢出效应显著，不仅作为“透明化威慑”的认知作战工具，还客观上传导并影响了印太盟友（如日、澳、台）的防务采办决策，并对中国大陆的军事部署构成了被动施压。</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Chapter 5. Findings and Recommendations</w:t>
      </w:r>
    </w:p>
    <w:p>
      <w:pPr>
        <w:spacing w:before="240" w:after="120" w:lineRule="auto" w:line="324"/>
        <w:jc w:val="both"/>
      </w:pPr>
      <w:r>
        <w:rPr>
          <w:rFonts w:eastAsia="黑体"/>
          <w:rFonts w:ascii="Arial" w:hAnsi="Arial"/>
          <w:b/>
          <w:i w:val="0"/>
          <w:color w:val="284682"/>
          <w:sz w:val="26"/>
        </w:rPr>
        <w:t>5.1 Synthesis: Mitchell Institute as a Strategic-Cognitive Node</w:t>
      </w:r>
    </w:p>
    <w:p>
      <w:pPr>
        <w:spacing w:before="0" w:after="80" w:lineRule="auto" w:line="324"/>
        <w:ind w:firstLine="0"/>
        <w:jc w:val="both"/>
      </w:pPr>
      <w:r>
        <w:rPr>
          <w:rFonts w:eastAsia="宋体"/>
          <w:rFonts w:ascii="Times New Roman" w:hAnsi="Times New Roman"/>
          <w:b w:val="0"/>
          <w:i w:val="0"/>
          <w:sz w:val="22"/>
        </w:rPr>
        <w:t>基于本报告第二至第四章的实证数据与多源信息交叉比对，本研究提出关于米切尔航空航天研究所（The Mitchell Institute for Aerospace Studies, MI）的核心理论命题：</w:t>
      </w:r>
      <w:r>
        <w:rPr>
          <w:rFonts w:eastAsia="宋体"/>
          <w:rFonts w:ascii="Times New Roman" w:hAnsi="Times New Roman"/>
          <w:b/>
          <w:i w:val="0"/>
          <w:sz w:val="22"/>
        </w:rPr>
        <w:t>在当前美国对华空天战略生态系统中，米切尔研究所扮演着不可替代的“战略-认知节点（Strategic-Cognitive Node）”角色。</w:t>
      </w:r>
    </w:p>
    <w:p>
      <w:pPr>
        <w:spacing w:before="0" w:after="80" w:lineRule="auto" w:line="324"/>
        <w:ind w:firstLine="0"/>
        <w:jc w:val="both"/>
      </w:pPr>
      <w:r>
        <w:rPr>
          <w:rFonts w:eastAsia="宋体"/>
          <w:rFonts w:ascii="Times New Roman" w:hAnsi="Times New Roman"/>
          <w:b w:val="0"/>
          <w:i w:val="0"/>
          <w:sz w:val="22"/>
        </w:rPr>
        <w:t>分析性判断（Analytic judgment）表明，该机构的核心战略价值并不在于直接生产或获取高密级的传统情报（HUMINT/SIGINT），而在于其具备将高度分散、碎片化的开源信息（OSINT）进行结构化整合的能力。通过这一过程，米切尔研究所能够将技术性数据转化为具有高度政策操作性的“威胁叙事（Threat Narratives）”。</w:t>
      </w:r>
    </w:p>
    <w:p>
      <w:pPr>
        <w:spacing w:before="0" w:after="80" w:lineRule="auto" w:line="324"/>
        <w:ind w:firstLine="0"/>
        <w:jc w:val="both"/>
      </w:pPr>
      <w:r>
        <w:rPr>
          <w:rFonts w:eastAsia="宋体"/>
          <w:rFonts w:ascii="Times New Roman" w:hAnsi="Times New Roman"/>
          <w:b w:val="0"/>
          <w:i w:val="0"/>
          <w:sz w:val="22"/>
        </w:rPr>
        <w:t>现有证据显示，米切尔研究所的运作逻辑深度嵌合于美国国防生态的“旋转门”机制中。其领导层与核心研究团队高度集中了美国空军（USAF）退役高级将领、前线飞行员及前情报官员</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2"/>
        </w:rPr>
        <w:t>。这一人事结构使其能够精准把握五角大楼的内部话语体系与预算痛点。作为战略-认知节点，米切尔研究所接收来自商业卫星公司、公开文献及盟友智库的原始数据，经过其内部框架的“认知加工”后，通过政策文件（Policy Papers）、国会听证会证词及高规格兵棋推演（Wargaming），将特定的威胁认知注入美国国家安全决策者的信息循环中。</w:t>
      </w:r>
    </w:p>
    <w:p>
      <w:pPr>
        <w:spacing w:before="0" w:after="80" w:lineRule="auto" w:line="324"/>
        <w:ind w:firstLine="0"/>
        <w:jc w:val="both"/>
      </w:pPr>
      <w:r>
        <w:rPr>
          <w:rFonts w:eastAsia="宋体"/>
          <w:rFonts w:ascii="Times New Roman" w:hAnsi="Times New Roman"/>
          <w:b w:val="0"/>
          <w:i w:val="0"/>
          <w:sz w:val="22"/>
        </w:rPr>
        <w:t>这种节点效应在涉台议题上表现得尤为显著。米切尔研究所似乎通过其旗舰产品《中国空军追踪器》（China Airpower Tracker）及相关论坛报告，成功构建了一个“开源情报挖掘 $\rightarrow$ 媒体舆论放大 $\rightarrow$ 盟友（台湾）官方确认 $\rightarrow$ 华盛顿政策干预”的闭环反馈系统</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2"/>
        </w:rPr>
        <w:t>。在此过程中，该机构不仅塑造了关于中国空天力量发展的国际认知基准，也为其背后的军工复合体赞助商（如波音、诺斯罗普·格鲁曼等）在国防授权法案（NDAA）的预算博弈中提供了看似客观的“科学依据”</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w:t>
      </w:r>
    </w:p>
    <w:p>
      <w:pPr>
        <w:spacing w:before="240" w:after="120" w:lineRule="auto" w:line="324"/>
        <w:jc w:val="both"/>
      </w:pPr>
      <w:r>
        <w:rPr>
          <w:rFonts w:eastAsia="黑体"/>
          <w:rFonts w:ascii="Arial" w:hAnsi="Arial"/>
          <w:b/>
          <w:i w:val="0"/>
          <w:color w:val="284682"/>
          <w:sz w:val="26"/>
        </w:rPr>
        <w:t>5.2 Findings</w:t>
      </w:r>
    </w:p>
    <w:p>
      <w:pPr>
        <w:spacing w:before="0" w:after="80" w:lineRule="auto" w:line="324"/>
        <w:ind w:firstLine="0"/>
        <w:jc w:val="both"/>
      </w:pPr>
      <w:r>
        <w:rPr>
          <w:rFonts w:eastAsia="宋体"/>
          <w:rFonts w:ascii="Times New Roman" w:hAnsi="Times New Roman"/>
          <w:b w:val="0"/>
          <w:i w:val="0"/>
          <w:sz w:val="22"/>
        </w:rPr>
        <w:t>以下发现（Findings）基于对公开来源情报（OSINT）的系统性审查，严格区分基于证据的发现（Evidence-based finding）与分析性判断（Analytic judgment）。</w:t>
      </w:r>
    </w:p>
    <w:p>
      <w:pPr>
        <w:spacing w:before="160" w:after="80" w:lineRule="auto" w:line="324"/>
        <w:jc w:val="both"/>
      </w:pPr>
      <w:r>
        <w:rPr>
          <w:rFonts w:eastAsia="黑体"/>
          <w:rFonts w:ascii="Arial" w:hAnsi="Arial"/>
          <w:b/>
          <w:i w:val="0"/>
          <w:color w:val="3C5A96"/>
          <w:sz w:val="24"/>
        </w:rPr>
        <w:t>Organizational Findings（组织结构与生态位发现）</w:t>
      </w:r>
    </w:p>
    <w:p>
      <w:pPr>
        <w:spacing w:before="0" w:after="80" w:lineRule="auto" w:line="324"/>
        <w:ind w:firstLine="0"/>
        <w:jc w:val="both"/>
      </w:pPr>
      <w:r>
        <w:rPr>
          <w:rFonts w:eastAsia="宋体"/>
          <w:rFonts w:ascii="Times New Roman" w:hAnsi="Times New Roman"/>
          <w:b/>
          <w:i w:val="0"/>
          <w:sz w:val="22"/>
        </w:rPr>
        <w:t>F1: 法律地位与资金链的“双轨制”特征</w:t>
      </w:r>
    </w:p>
    <w:p>
      <w:pPr>
        <w:spacing w:before="0" w:after="80" w:lineRule="auto" w:line="324"/>
        <w:ind w:firstLine="0"/>
        <w:jc w:val="both"/>
      </w:pPr>
      <w:r>
        <w:rPr>
          <w:rFonts w:eastAsia="宋体"/>
          <w:rFonts w:ascii="Times New Roman" w:hAnsi="Times New Roman"/>
          <w:b w:val="0"/>
          <w:i w:val="0"/>
          <w:sz w:val="22"/>
        </w:rPr>
        <w:t>基于证据的发现表明，米切尔研究所作为空军与太空军协会（AFA）的附属机构，共享其 501(c)(3) 免税非营利组织地位（EIN: 52-6043929）。其资金来源呈现政府合同（如 GSA 采购目录）与军工企业赞助（如波音、洛马、诺格）并行的双轨特征，2022财年其特定项目支出达 348 万美元。</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IRS Form 990 (2021/2022/2024); ProPublica Nonprofit Explorer </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1"/>
        </w:rPr>
        <w:t xml:space="preserve">; AFA 官方财务披露 </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F2: “旋转门”与军工复合体的共生网络</w:t>
      </w:r>
    </w:p>
    <w:p>
      <w:pPr>
        <w:spacing w:before="0" w:after="80" w:lineRule="auto" w:line="324"/>
        <w:ind w:firstLine="0"/>
        <w:jc w:val="both"/>
      </w:pPr>
      <w:r>
        <w:rPr>
          <w:rFonts w:eastAsia="宋体"/>
          <w:rFonts w:ascii="Times New Roman" w:hAnsi="Times New Roman"/>
          <w:b w:val="0"/>
          <w:i w:val="0"/>
          <w:sz w:val="22"/>
        </w:rPr>
        <w:t>基于证据的发现显示，该机构核心班底（如 David Deptula, Kevin Chilton, Mark Gunzinger）均具有深厚的美国空军或战略司令部高层背景。分析性判断认为，这种人事布局使其成为连接五角大楼现役决策层与国防工业基地的核心枢纽。</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Mitchell Institute 官方简历 </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sz w:val="21"/>
        </w:rPr>
        <w:t xml:space="preserve">; USAF 官方人事档案 </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F3: 利益冲突的结构性张力</w:t>
      </w:r>
    </w:p>
    <w:p>
      <w:pPr>
        <w:spacing w:before="0" w:after="80" w:lineRule="auto" w:line="324"/>
        <w:ind w:firstLine="0"/>
        <w:jc w:val="both"/>
      </w:pPr>
      <w:r>
        <w:rPr>
          <w:rFonts w:eastAsia="宋体"/>
          <w:rFonts w:ascii="Times New Roman" w:hAnsi="Times New Roman"/>
          <w:b w:val="0"/>
          <w:i w:val="0"/>
          <w:sz w:val="22"/>
        </w:rPr>
        <w:t>分析性判断表明，米切尔研究所的政策建议与其赞助商的商业利益存在高度重合。例如，其多次在报告中呼吁大幅增购 B-21 轰炸机与 F-47 战斗机，而这些平台的总承包商正是其主要资金提供者，这在独立智库界引发了关于“定制化游说”的批评。</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Responsible Statecraft 资金链与利益冲突分析报告 </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F4: MI-SPACE 与 MI-UAS 的领域拓展信号</w:t>
      </w:r>
    </w:p>
    <w:p>
      <w:pPr>
        <w:spacing w:before="0" w:after="80" w:lineRule="auto" w:line="324"/>
        <w:ind w:firstLine="0"/>
        <w:jc w:val="both"/>
      </w:pPr>
      <w:r>
        <w:rPr>
          <w:rFonts w:eastAsia="宋体"/>
          <w:rFonts w:ascii="Times New Roman" w:hAnsi="Times New Roman"/>
          <w:b w:val="0"/>
          <w:i w:val="0"/>
          <w:sz w:val="22"/>
        </w:rPr>
        <w:t>基于证据的发现表明，米切尔研究所近年来相继成立了太空力量优势卓越中心（MI-SPACE, 2021）与无人机与自主系统中心（MI-UAS, 2022）。分析性判断认为，这反映了其战略重心的前瞻性转移，旨在精准捕获美国太空军（USSF）及“协同作战飞机”（CCA）项目的预算增长红利。</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Mitchell Institute 官方网站及播客发布记录 </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F5: 战略生态位 — "Advocacy-Research Hybrid"</w:t>
      </w:r>
    </w:p>
    <w:p>
      <w:pPr>
        <w:spacing w:before="0" w:after="80" w:lineRule="auto" w:line="324"/>
        <w:ind w:firstLine="0"/>
        <w:jc w:val="both"/>
      </w:pPr>
      <w:r>
        <w:rPr>
          <w:rFonts w:eastAsia="宋体"/>
          <w:rFonts w:ascii="Times New Roman" w:hAnsi="Times New Roman"/>
          <w:b w:val="0"/>
          <w:i w:val="0"/>
          <w:sz w:val="22"/>
        </w:rPr>
        <w:t>分析性判断表明，与 RAND 或 CSIS 等传统智库不同，米切尔研究所占据了“倡导-研究混合体”的独特生态位。其不追求全领域的客观中立，而是实行绝对的领域垂直，专门为空天军利益集团提供具有学术包装的理论弹药。</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Moderate</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机构产出文本的倾向性分析及智库生态位比较研究。</w:t>
      </w:r>
    </w:p>
    <w:p>
      <w:pPr>
        <w:spacing w:before="160" w:after="80" w:lineRule="auto" w:line="324"/>
        <w:jc w:val="both"/>
      </w:pPr>
      <w:r>
        <w:rPr>
          <w:rFonts w:eastAsia="黑体"/>
          <w:rFonts w:ascii="Arial" w:hAnsi="Arial"/>
          <w:b/>
          <w:i w:val="0"/>
          <w:color w:val="3C5A96"/>
          <w:sz w:val="24"/>
        </w:rPr>
        <w:t>Taiwan Engagement Findings（涉台互动与情报联系发现）</w:t>
      </w:r>
    </w:p>
    <w:p>
      <w:pPr>
        <w:spacing w:before="0" w:after="80" w:lineRule="auto" w:line="324"/>
        <w:ind w:firstLine="0"/>
        <w:jc w:val="both"/>
      </w:pPr>
      <w:r>
        <w:rPr>
          <w:rFonts w:eastAsia="宋体"/>
          <w:rFonts w:ascii="Times New Roman" w:hAnsi="Times New Roman"/>
          <w:b/>
          <w:i w:val="0"/>
          <w:sz w:val="22"/>
        </w:rPr>
        <w:t>F6: 与 INDSR 的高频引用与“二轨”共振</w:t>
      </w:r>
    </w:p>
    <w:p>
      <w:pPr>
        <w:spacing w:before="0" w:after="80" w:lineRule="auto" w:line="324"/>
        <w:ind w:firstLine="0"/>
        <w:jc w:val="both"/>
      </w:pPr>
      <w:r>
        <w:rPr>
          <w:rFonts w:eastAsia="宋体"/>
          <w:rFonts w:ascii="Times New Roman" w:hAnsi="Times New Roman"/>
          <w:b w:val="0"/>
          <w:i w:val="0"/>
          <w:sz w:val="22"/>
        </w:rPr>
        <w:t>基于证据的发现表明，台湾“国防安全研究院”（INDSR）在其《国防安全双周报》等出版物中高频引用米切尔研究所的涉华军力评估。分析性判断认为，双方虽无公开的 MoU，但已形成事实上的信息共享与观点共振机制。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INDSR 研究出版物数据库 </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1"/>
        </w:rPr>
        <w:t xml:space="preserve">; Mitchell Institute 播客 Ep. 274 </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F7: 与台湾国家安全局（NSB）的直接关系</w:t>
      </w:r>
    </w:p>
    <w:p>
      <w:pPr>
        <w:spacing w:before="0" w:after="80" w:lineRule="auto" w:line="324"/>
        <w:ind w:firstLine="0"/>
        <w:jc w:val="both"/>
      </w:pPr>
      <w:r>
        <w:rPr>
          <w:rFonts w:eastAsia="宋体"/>
          <w:rFonts w:ascii="Times New Roman" w:hAnsi="Times New Roman"/>
          <w:b w:val="0"/>
          <w:i w:val="0"/>
          <w:sz w:val="22"/>
        </w:rPr>
        <w:t>基于证据的发现表明，目前无公开记录显示米切尔研究所与台湾 NSB 存在直接的机构间合作或机密情报共享。分析性判断认为，双方的联系主要体现为 NSB 局长公开研判对米切尔 OSINT 产出的间接呼应。</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Low (Open-source negative finding)</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穷尽公开来源检索未发现直接合作证据；Taipei Times 报道 </w:t>
      </w:r>
      <w:r>
        <w:rPr>
          <w:rFonts w:eastAsia="宋体"/>
          <w:rFonts w:ascii="Times New Roman" w:hAnsi="Times New Roman"/>
          <w:b w:val="0"/>
          <w:i w:val="0"/>
          <w:color w:val="323296"/>
          <w:sz w:val="16"/>
          <w:vertAlign w:val="superscript"/>
        </w:rPr>
        <w:t>[13]</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F8: 与台湾军事情报局（MIB）的直接关系</w:t>
      </w:r>
    </w:p>
    <w:p>
      <w:pPr>
        <w:spacing w:before="0" w:after="80" w:lineRule="auto" w:line="324"/>
        <w:ind w:firstLine="0"/>
        <w:jc w:val="both"/>
      </w:pPr>
      <w:r>
        <w:rPr>
          <w:rFonts w:eastAsia="宋体"/>
          <w:rFonts w:ascii="Times New Roman" w:hAnsi="Times New Roman"/>
          <w:b w:val="0"/>
          <w:i w:val="0"/>
          <w:sz w:val="22"/>
        </w:rPr>
        <w:t>基于证据的发现表明，未发现米切尔研究所与台湾 MIB 存在直接接触的证据。分析性判断认为，受限于台湾《国家情报工作法》的保密规定，任何潜在的接触可能被掩护在 INDSR 等二轨对话框架下，但米切尔作为公开智库，直接卷入 MIB 隐蔽行动的可能性极低。</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Low (Open-source negative finding)</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穷尽公开来源检索未发现直接合作证据；Grey Dynamics 情报界分析 </w:t>
      </w:r>
      <w:r>
        <w:rPr>
          <w:rFonts w:eastAsia="宋体"/>
          <w:rFonts w:ascii="Times New Roman" w:hAnsi="Times New Roman"/>
          <w:b w:val="0"/>
          <w:i w:val="0"/>
          <w:color w:val="323296"/>
          <w:sz w:val="16"/>
          <w:vertAlign w:val="superscript"/>
        </w:rPr>
        <w:t>[12]</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F9: J-6 UCAV 案例的政策闭环效应</w:t>
      </w:r>
    </w:p>
    <w:p>
      <w:pPr>
        <w:spacing w:before="0" w:after="80" w:lineRule="auto" w:line="324"/>
        <w:ind w:firstLine="0"/>
        <w:jc w:val="both"/>
      </w:pPr>
      <w:r>
        <w:rPr>
          <w:rFonts w:eastAsia="宋体"/>
          <w:rFonts w:ascii="Times New Roman" w:hAnsi="Times New Roman"/>
          <w:b w:val="0"/>
          <w:i w:val="0"/>
          <w:sz w:val="22"/>
        </w:rPr>
        <w:t>基于证据的发现表明，米切尔研究所率先通过 OSINT 披露解放军在沿海部署歼-6 改装无人机，该信息随后被国际媒体放大并获台湾官方证实。分析性判断认为，此案例展示了米切尔研究所如何通过“情报释放”推动台湾不对称武器采购及美国对台军售的政策闭环。</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Mitchell Forum Paper 47 </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1"/>
        </w:rPr>
        <w:t>; VOA 及 Reuters 相关报道。</w:t>
      </w:r>
    </w:p>
    <w:p>
      <w:pPr>
        <w:spacing w:before="0" w:after="80" w:lineRule="auto" w:line="324"/>
        <w:ind w:firstLine="0"/>
        <w:jc w:val="both"/>
      </w:pPr>
      <w:r>
        <w:rPr>
          <w:rFonts w:eastAsia="宋体"/>
          <w:rFonts w:ascii="Times New Roman" w:hAnsi="Times New Roman"/>
          <w:b/>
          <w:i w:val="0"/>
          <w:sz w:val="22"/>
        </w:rPr>
        <w:t>F10: 兵棋推演驱动的“2035 失败”叙事</w:t>
      </w:r>
    </w:p>
    <w:p>
      <w:pPr>
        <w:spacing w:before="0" w:after="80" w:lineRule="auto" w:line="324"/>
        <w:ind w:firstLine="0"/>
        <w:jc w:val="both"/>
      </w:pPr>
      <w:r>
        <w:rPr>
          <w:rFonts w:eastAsia="宋体"/>
          <w:rFonts w:ascii="Times New Roman" w:hAnsi="Times New Roman"/>
          <w:b w:val="0"/>
          <w:i w:val="0"/>
          <w:sz w:val="22"/>
        </w:rPr>
        <w:t>基于证据的发现表明，米切尔研究所 2025 年 6 月的台海兵推得出“按现有规划美空军将于 2035 年战败”的结论。分析性判断认为，这一叙事被用作向美国国会施压要求增加特定军备预算的杠杆，同时在台湾内部引发了关于防卫韧性的政策焦虑。</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Aviation A2Z 及 Meta-Defense 兵推报告分析 </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color w:val="323296"/>
          <w:sz w:val="16"/>
          <w:vertAlign w:val="superscript"/>
        </w:rPr>
        <w:t>[18]</w:t>
      </w:r>
      <w:r>
        <w:rPr>
          <w:rFonts w:eastAsia="宋体"/>
          <w:rFonts w:ascii="Times New Roman" w:hAnsi="Times New Roman"/>
          <w:b w:val="0"/>
          <w:i w:val="0"/>
          <w:color w:val="323296"/>
          <w:sz w:val="16"/>
          <w:vertAlign w:val="superscript"/>
        </w:rPr>
        <w:t>[19]</w:t>
      </w:r>
      <w:r>
        <w:rPr>
          <w:rFonts w:eastAsia="宋体"/>
          <w:rFonts w:ascii="Times New Roman" w:hAnsi="Times New Roman"/>
          <w:b w:val="0"/>
          <w:i w:val="0"/>
          <w:sz w:val="21"/>
        </w:rPr>
        <w:t>。</w:t>
      </w:r>
    </w:p>
    <w:p>
      <w:pPr>
        <w:spacing w:before="160" w:after="80" w:lineRule="auto" w:line="324"/>
        <w:jc w:val="both"/>
      </w:pPr>
      <w:r>
        <w:rPr>
          <w:rFonts w:eastAsia="黑体"/>
          <w:rFonts w:ascii="Arial" w:hAnsi="Arial"/>
          <w:b/>
          <w:i w:val="0"/>
          <w:color w:val="3C5A96"/>
          <w:sz w:val="24"/>
        </w:rPr>
        <w:t>Tracker Tradecraft Findings（开源情报技艺发现）</w:t>
      </w:r>
    </w:p>
    <w:p>
      <w:pPr>
        <w:spacing w:before="0" w:after="80" w:lineRule="auto" w:line="324"/>
        <w:ind w:firstLine="0"/>
        <w:jc w:val="both"/>
      </w:pPr>
      <w:r>
        <w:rPr>
          <w:rFonts w:eastAsia="宋体"/>
          <w:rFonts w:ascii="Times New Roman" w:hAnsi="Times New Roman"/>
          <w:b/>
          <w:i w:val="0"/>
          <w:sz w:val="22"/>
        </w:rPr>
        <w:t>F11: 6 类数据源的复合稳健性</w:t>
      </w:r>
    </w:p>
    <w:p>
      <w:pPr>
        <w:spacing w:before="0" w:after="80" w:lineRule="auto" w:line="324"/>
        <w:ind w:firstLine="0"/>
        <w:jc w:val="both"/>
      </w:pPr>
      <w:r>
        <w:rPr>
          <w:rFonts w:eastAsia="宋体"/>
          <w:rFonts w:ascii="Times New Roman" w:hAnsi="Times New Roman"/>
          <w:b w:val="0"/>
          <w:i w:val="0"/>
          <w:sz w:val="22"/>
        </w:rPr>
        <w:t>基于证据的发现表明，《中国空军追踪器》整合了商业卫星影像（光学/SAR）、中国官方公开信息、行业展会资料、社交媒体线索、美方听证记录及学术伙伴数据。分析性判断认为，这种多模态矩阵赋予了其产品较高的交叉验证稳健性。</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GlobeNewswire 发布会通稿 </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sz w:val="21"/>
        </w:rPr>
        <w:t>; Tracker 平台方法论说明。</w:t>
      </w:r>
    </w:p>
    <w:p>
      <w:pPr>
        <w:spacing w:before="0" w:after="80" w:lineRule="auto" w:line="324"/>
        <w:ind w:firstLine="0"/>
        <w:jc w:val="both"/>
      </w:pPr>
      <w:r>
        <w:rPr>
          <w:rFonts w:eastAsia="宋体"/>
          <w:rFonts w:ascii="Times New Roman" w:hAnsi="Times New Roman"/>
          <w:b/>
          <w:i w:val="0"/>
          <w:sz w:val="22"/>
        </w:rPr>
        <w:t>F12: 4 步分析框架的成熟度</w:t>
      </w:r>
    </w:p>
    <w:p>
      <w:pPr>
        <w:spacing w:before="0" w:after="80" w:lineRule="auto" w:line="324"/>
        <w:ind w:firstLine="0"/>
        <w:jc w:val="both"/>
      </w:pPr>
      <w:r>
        <w:rPr>
          <w:rFonts w:eastAsia="宋体"/>
          <w:rFonts w:ascii="Times New Roman" w:hAnsi="Times New Roman"/>
          <w:b w:val="0"/>
          <w:i w:val="0"/>
          <w:sz w:val="22"/>
        </w:rPr>
        <w:t>分析性判断表明，该追踪器采用“物理识别 $\rightarrow$ 工程量计数 $\rightarrow$ 战术意图反推 $\rightarrow$ 交叉验证”的四步流程。其核心竞争力在于分析师（如前海军情报官 J. Michael Dahm）将微观基础设施变化映射为宏观战术意图的能力。</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Moderate</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对 Mitchell Policy Papers 及 Forum Papers 分析逻辑的逆向工程 </w:t>
      </w:r>
      <w:r>
        <w:rPr>
          <w:rFonts w:eastAsia="宋体"/>
          <w:rFonts w:ascii="Times New Roman" w:hAnsi="Times New Roman"/>
          <w:b w:val="0"/>
          <w:i w:val="0"/>
          <w:color w:val="323296"/>
          <w:sz w:val="16"/>
          <w:vertAlign w:val="superscript"/>
        </w:rPr>
        <w:t>[16]</w:t>
      </w:r>
      <w:r>
        <w:rPr>
          <w:rFonts w:eastAsia="宋体"/>
          <w:rFonts w:ascii="Times New Roman" w:hAnsi="Times New Roman"/>
          <w:b w:val="0"/>
          <w:i w:val="0"/>
          <w:color w:val="323296"/>
          <w:sz w:val="16"/>
          <w:vertAlign w:val="superscript"/>
        </w:rPr>
        <w:t>[17]</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i w:val="0"/>
          <w:sz w:val="22"/>
        </w:rPr>
        <w:t>F13: 确认偏误（Confirmation Bias）风险</w:t>
      </w:r>
    </w:p>
    <w:p>
      <w:pPr>
        <w:spacing w:before="0" w:after="80" w:lineRule="auto" w:line="324"/>
        <w:ind w:firstLine="0"/>
        <w:jc w:val="both"/>
      </w:pPr>
      <w:r>
        <w:rPr>
          <w:rFonts w:eastAsia="宋体"/>
          <w:rFonts w:ascii="Times New Roman" w:hAnsi="Times New Roman"/>
          <w:b w:val="0"/>
          <w:i w:val="0"/>
          <w:sz w:val="22"/>
        </w:rPr>
        <w:t>分析性判断表明，受其机构使命与资金来源的结构性影响，米切尔研究所的分析师在解读模糊的 OSINT 数据时，可能存在系统性的确认偏误，倾向于采用“最坏情况假设（Worst-case Scenario）”，将常规设施升级过度解读为进攻性准备。</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Moderate</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国际关系学界对“威胁通胀（Threat Inflation）”的普遍批评及独立智库评估。</w:t>
      </w:r>
    </w:p>
    <w:p>
      <w:pPr>
        <w:spacing w:before="0" w:after="80" w:lineRule="auto" w:line="324"/>
        <w:ind w:firstLine="0"/>
        <w:jc w:val="both"/>
      </w:pPr>
      <w:r>
        <w:rPr>
          <w:rFonts w:eastAsia="宋体"/>
          <w:rFonts w:ascii="Times New Roman" w:hAnsi="Times New Roman"/>
          <w:b/>
          <w:i w:val="0"/>
          <w:sz w:val="22"/>
        </w:rPr>
        <w:t>F14: 单源脆弱性与欺骗风险</w:t>
      </w:r>
    </w:p>
    <w:p>
      <w:pPr>
        <w:spacing w:before="0" w:after="80" w:lineRule="auto" w:line="324"/>
        <w:ind w:firstLine="0"/>
        <w:jc w:val="both"/>
      </w:pPr>
      <w:r>
        <w:rPr>
          <w:rFonts w:eastAsia="宋体"/>
          <w:rFonts w:ascii="Times New Roman" w:hAnsi="Times New Roman"/>
          <w:b w:val="0"/>
          <w:i w:val="0"/>
          <w:sz w:val="22"/>
        </w:rPr>
        <w:t>分析性判断表明，尽管采用了多模态数据，该追踪器在本质上仍高度依赖商业卫星的几何与光谱特征识别。在缺乏持续的信号情报（SIGINT）与人力情报（HUMINT）支撑下，其结论容易受到对手战略欺骗（如高仿真假目标）的干扰。</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Moderate</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现代混合情报分析理论及 OSINT 局限性研究。</w:t>
      </w:r>
    </w:p>
    <w:p>
      <w:pPr>
        <w:spacing w:before="0" w:after="80" w:lineRule="auto" w:line="324"/>
        <w:ind w:firstLine="0"/>
        <w:jc w:val="both"/>
      </w:pPr>
      <w:r>
        <w:rPr>
          <w:rFonts w:eastAsia="宋体"/>
          <w:rFonts w:ascii="Times New Roman" w:hAnsi="Times New Roman"/>
          <w:b/>
          <w:i w:val="0"/>
          <w:sz w:val="22"/>
        </w:rPr>
        <w:t>F15: 与 CASI/CSIS 的差异化定位</w:t>
      </w:r>
    </w:p>
    <w:p>
      <w:pPr>
        <w:spacing w:before="0" w:after="80" w:lineRule="auto" w:line="324"/>
        <w:ind w:firstLine="0"/>
        <w:jc w:val="both"/>
      </w:pPr>
      <w:r>
        <w:rPr>
          <w:rFonts w:eastAsia="宋体"/>
          <w:rFonts w:ascii="Times New Roman" w:hAnsi="Times New Roman"/>
          <w:b w:val="0"/>
          <w:i w:val="0"/>
          <w:sz w:val="22"/>
        </w:rPr>
        <w:t>分析性判断表明，与 CASI（偏重条令与组织翻译）或 CSIS（偏重宏观趋势）不同，米切尔研究所的追踪器属于“战术情报/政策驱动型”产品，其颗粒度极细，且直接服务于特定的武器平台采办倡导。</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Confidence:</w:t>
      </w:r>
      <w:r>
        <w:rPr>
          <w:rFonts w:eastAsia="宋体"/>
          <w:rFonts w:ascii="Times New Roman" w:hAnsi="Times New Roman"/>
          <w:b w:val="0"/>
          <w:i w:val="0"/>
          <w:sz w:val="21"/>
        </w:rPr>
        <w:t xml:space="preserve"> High</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Source basis:</w:t>
      </w:r>
      <w:r>
        <w:rPr>
          <w:rFonts w:eastAsia="宋体"/>
          <w:rFonts w:ascii="Times New Roman" w:hAnsi="Times New Roman"/>
          <w:b w:val="0"/>
          <w:i w:val="0"/>
          <w:sz w:val="21"/>
        </w:rPr>
        <w:t xml:space="preserve"> 华盛顿涉华智库生态位比较分析 </w:t>
      </w:r>
      <w:r>
        <w:rPr>
          <w:rFonts w:eastAsia="宋体"/>
          <w:rFonts w:ascii="Times New Roman" w:hAnsi="Times New Roman"/>
          <w:b w:val="0"/>
          <w:i w:val="0"/>
          <w:color w:val="323296"/>
          <w:sz w:val="16"/>
          <w:vertAlign w:val="superscript"/>
        </w:rPr>
        <w:t>[14]</w:t>
      </w:r>
      <w:r>
        <w:rPr>
          <w:rFonts w:eastAsia="宋体"/>
          <w:rFonts w:ascii="Times New Roman" w:hAnsi="Times New Roman"/>
          <w:b w:val="0"/>
          <w:i w:val="0"/>
          <w:color w:val="323296"/>
          <w:sz w:val="16"/>
          <w:vertAlign w:val="superscript"/>
        </w:rPr>
        <w:t>[15]</w:t>
      </w:r>
      <w:r>
        <w:rPr>
          <w:rFonts w:eastAsia="宋体"/>
          <w:rFonts w:ascii="Times New Roman" w:hAnsi="Times New Roman"/>
          <w:b w:val="0"/>
          <w:i w:val="0"/>
          <w:sz w:val="21"/>
        </w:rPr>
        <w:t>。</w:t>
      </w:r>
    </w:p>
    <w:p>
      <w:pPr>
        <w:spacing w:before="0" w:after="80" w:lineRule="auto" w:line="324"/>
        <w:ind w:firstLine="0"/>
        <w:jc w:val="both"/>
      </w:pPr>
      <w:r>
        <w:rPr>
          <w:rFonts w:eastAsia="宋体"/>
          <w:rFonts w:ascii="Times New Roman" w:hAnsi="Times New Roman"/>
          <w:b w:val="0"/>
          <w:i w:val="0"/>
          <w:sz w:val="22"/>
        </w:rPr>
        <w:t>&lt;br&gt;</w:t>
      </w:r>
    </w:p>
    <w:p>
      <w:pPr>
        <w:spacing w:before="0" w:after="80" w:lineRule="auto" w:line="324"/>
        <w:ind w:firstLine="0"/>
        <w:jc w:val="both"/>
      </w:pPr>
      <w:r>
        <w:rPr>
          <w:rFonts w:eastAsia="宋体"/>
          <w:rFonts w:ascii="Times New Roman" w:hAnsi="Times New Roman"/>
          <w:b/>
          <w:i w:val="0"/>
          <w:sz w:val="22"/>
        </w:rPr>
        <w:t>Table 5.1: Mitchell Institute OSINT Tradecraft Matrix</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数据层级 (Data Layer)</w:t>
            </w:r>
          </w:p>
        </w:tc>
        <w:tc>
          <w:tcPr>
            <w:tcW w:type="dxa" w:w="2351"/>
          </w:tcPr>
          <w:p>
            <w:r/>
            <w:r>
              <w:rPr>
                <w:rFonts w:eastAsia="宋体"/>
                <w:rFonts w:ascii="Times New Roman" w:hAnsi="Times New Roman"/>
                <w:b/>
                <w:i w:val="0"/>
                <w:sz w:val="20"/>
              </w:rPr>
              <w:t>主要来源 (Primary Sources)</w:t>
            </w:r>
          </w:p>
        </w:tc>
        <w:tc>
          <w:tcPr>
            <w:tcW w:type="dxa" w:w="2351"/>
          </w:tcPr>
          <w:p>
            <w:r/>
            <w:r>
              <w:rPr>
                <w:rFonts w:eastAsia="宋体"/>
                <w:rFonts w:ascii="Times New Roman" w:hAnsi="Times New Roman"/>
                <w:b/>
                <w:i w:val="0"/>
                <w:sz w:val="20"/>
              </w:rPr>
              <w:t>分析目标 (Analytic Objective)</w:t>
            </w:r>
          </w:p>
        </w:tc>
        <w:tc>
          <w:tcPr>
            <w:tcW w:type="dxa" w:w="2351"/>
          </w:tcPr>
          <w:p>
            <w:r/>
            <w:r>
              <w:rPr>
                <w:rFonts w:eastAsia="宋体"/>
                <w:rFonts w:ascii="Times New Roman" w:hAnsi="Times New Roman"/>
                <w:b/>
                <w:i w:val="0"/>
                <w:sz w:val="20"/>
              </w:rPr>
              <w:t>局限性 (Limitations)</w:t>
            </w:r>
          </w:p>
        </w:tc>
      </w:tr>
      <w:tr>
        <w:tc>
          <w:tcPr>
            <w:tcW w:type="dxa" w:w="2351"/>
          </w:tcPr>
          <w:p>
            <w:r/>
            <w:r>
              <w:rPr>
                <w:rFonts w:eastAsia="宋体"/>
                <w:rFonts w:ascii="Times New Roman" w:hAnsi="Times New Roman"/>
                <w:b w:val="0"/>
                <w:i w:val="0"/>
                <w:sz w:val="20"/>
              </w:rPr>
              <w:t>物理证据层</w:t>
            </w:r>
          </w:p>
        </w:tc>
        <w:tc>
          <w:tcPr>
            <w:tcW w:type="dxa" w:w="2351"/>
          </w:tcPr>
          <w:p>
            <w:r/>
            <w:r>
              <w:rPr>
                <w:rFonts w:eastAsia="宋体"/>
                <w:rFonts w:ascii="Times New Roman" w:hAnsi="Times New Roman"/>
                <w:b w:val="0"/>
                <w:i w:val="0"/>
                <w:sz w:val="20"/>
              </w:rPr>
              <w:t>Maxar, Planet, Capella Space (SAR)</w:t>
            </w:r>
          </w:p>
        </w:tc>
        <w:tc>
          <w:tcPr>
            <w:tcW w:type="dxa" w:w="2351"/>
          </w:tcPr>
          <w:p>
            <w:r/>
            <w:r>
              <w:rPr>
                <w:rFonts w:eastAsia="宋体"/>
                <w:rFonts w:ascii="Times New Roman" w:hAnsi="Times New Roman"/>
                <w:b w:val="0"/>
                <w:i w:val="0"/>
                <w:sz w:val="20"/>
              </w:rPr>
              <w:t>设施扩建计数、机型几何识别</w:t>
            </w:r>
          </w:p>
        </w:tc>
        <w:tc>
          <w:tcPr>
            <w:tcW w:type="dxa" w:w="2351"/>
          </w:tcPr>
          <w:p>
            <w:r/>
            <w:r>
              <w:rPr>
                <w:rFonts w:eastAsia="宋体"/>
                <w:rFonts w:ascii="Times New Roman" w:hAnsi="Times New Roman"/>
                <w:b w:val="0"/>
                <w:i w:val="0"/>
                <w:sz w:val="20"/>
              </w:rPr>
              <w:t>受限于分辨率、易受伪装欺骗</w:t>
            </w:r>
          </w:p>
        </w:tc>
      </w:tr>
      <w:tr>
        <w:tc>
          <w:tcPr>
            <w:tcW w:type="dxa" w:w="2351"/>
          </w:tcPr>
          <w:p>
            <w:r/>
            <w:r>
              <w:rPr>
                <w:rFonts w:eastAsia="宋体"/>
                <w:rFonts w:ascii="Times New Roman" w:hAnsi="Times New Roman"/>
                <w:b w:val="0"/>
                <w:i w:val="0"/>
                <w:sz w:val="20"/>
              </w:rPr>
              <w:t>意图印证层</w:t>
            </w:r>
          </w:p>
        </w:tc>
        <w:tc>
          <w:tcPr>
            <w:tcW w:type="dxa" w:w="2351"/>
          </w:tcPr>
          <w:p>
            <w:r/>
            <w:r>
              <w:rPr>
                <w:rFonts w:eastAsia="宋体"/>
                <w:rFonts w:ascii="Times New Roman" w:hAnsi="Times New Roman"/>
                <w:b w:val="0"/>
                <w:i w:val="0"/>
                <w:sz w:val="20"/>
              </w:rPr>
              <w:t>CCTV-7, 军方出版物, 采办公告</w:t>
            </w:r>
          </w:p>
        </w:tc>
        <w:tc>
          <w:tcPr>
            <w:tcW w:type="dxa" w:w="2351"/>
          </w:tcPr>
          <w:p>
            <w:r/>
            <w:r>
              <w:rPr>
                <w:rFonts w:eastAsia="宋体"/>
                <w:rFonts w:ascii="Times New Roman" w:hAnsi="Times New Roman"/>
                <w:b w:val="0"/>
                <w:i w:val="0"/>
                <w:sz w:val="20"/>
              </w:rPr>
              <w:t>部队番号确认、战备等级推断</w:t>
            </w:r>
          </w:p>
        </w:tc>
        <w:tc>
          <w:tcPr>
            <w:tcW w:type="dxa" w:w="2351"/>
          </w:tcPr>
          <w:p>
            <w:r/>
            <w:r>
              <w:rPr>
                <w:rFonts w:eastAsia="宋体"/>
                <w:rFonts w:ascii="Times New Roman" w:hAnsi="Times New Roman"/>
                <w:b w:val="0"/>
                <w:i w:val="0"/>
                <w:sz w:val="20"/>
              </w:rPr>
              <w:t>信息滞后、受官方信息管控</w:t>
            </w:r>
          </w:p>
        </w:tc>
      </w:tr>
      <w:tr>
        <w:tc>
          <w:tcPr>
            <w:tcW w:type="dxa" w:w="2351"/>
          </w:tcPr>
          <w:p>
            <w:r/>
            <w:r>
              <w:rPr>
                <w:rFonts w:eastAsia="宋体"/>
                <w:rFonts w:ascii="Times New Roman" w:hAnsi="Times New Roman"/>
                <w:b w:val="0"/>
                <w:i w:val="0"/>
                <w:sz w:val="20"/>
              </w:rPr>
              <w:t>技术参数层</w:t>
            </w:r>
          </w:p>
        </w:tc>
        <w:tc>
          <w:tcPr>
            <w:tcW w:type="dxa" w:w="2351"/>
          </w:tcPr>
          <w:p>
            <w:r/>
            <w:r>
              <w:rPr>
                <w:rFonts w:eastAsia="宋体"/>
                <w:rFonts w:ascii="Times New Roman" w:hAnsi="Times New Roman"/>
                <w:b w:val="0"/>
                <w:i w:val="0"/>
                <w:sz w:val="20"/>
              </w:rPr>
              <w:t>珠海航展, AVIC 报告, Janes</w:t>
            </w:r>
          </w:p>
        </w:tc>
        <w:tc>
          <w:tcPr>
            <w:tcW w:type="dxa" w:w="2351"/>
          </w:tcPr>
          <w:p>
            <w:r/>
            <w:r>
              <w:rPr>
                <w:rFonts w:eastAsia="宋体"/>
                <w:rFonts w:ascii="Times New Roman" w:hAnsi="Times New Roman"/>
                <w:b w:val="0"/>
                <w:i w:val="0"/>
                <w:sz w:val="20"/>
              </w:rPr>
              <w:t>建立目标特征库 (Target Signature)</w:t>
            </w:r>
          </w:p>
        </w:tc>
        <w:tc>
          <w:tcPr>
            <w:tcW w:type="dxa" w:w="2351"/>
          </w:tcPr>
          <w:p>
            <w:r/>
            <w:r>
              <w:rPr>
                <w:rFonts w:eastAsia="宋体"/>
                <w:rFonts w:ascii="Times New Roman" w:hAnsi="Times New Roman"/>
                <w:b w:val="0"/>
                <w:i w:val="0"/>
                <w:sz w:val="20"/>
              </w:rPr>
              <w:t>展会数据可能存在夸大成分</w:t>
            </w:r>
          </w:p>
        </w:tc>
      </w:tr>
      <w:tr>
        <w:tc>
          <w:tcPr>
            <w:tcW w:type="dxa" w:w="2351"/>
          </w:tcPr>
          <w:p>
            <w:r/>
            <w:r>
              <w:rPr>
                <w:rFonts w:eastAsia="宋体"/>
                <w:rFonts w:ascii="Times New Roman" w:hAnsi="Times New Roman"/>
                <w:b w:val="0"/>
                <w:i w:val="0"/>
                <w:sz w:val="20"/>
              </w:rPr>
              <w:t>政策框架层</w:t>
            </w:r>
          </w:p>
        </w:tc>
        <w:tc>
          <w:tcPr>
            <w:tcW w:type="dxa" w:w="2351"/>
          </w:tcPr>
          <w:p>
            <w:r/>
            <w:r>
              <w:rPr>
                <w:rFonts w:eastAsia="宋体"/>
                <w:rFonts w:ascii="Times New Roman" w:hAnsi="Times New Roman"/>
                <w:b w:val="0"/>
                <w:i w:val="0"/>
                <w:sz w:val="20"/>
              </w:rPr>
              <w:t>USCC 听证会, DoD CMPR 报告</w:t>
            </w:r>
          </w:p>
        </w:tc>
        <w:tc>
          <w:tcPr>
            <w:tcW w:type="dxa" w:w="2351"/>
          </w:tcPr>
          <w:p>
            <w:r/>
            <w:r>
              <w:rPr>
                <w:rFonts w:eastAsia="宋体"/>
                <w:rFonts w:ascii="Times New Roman" w:hAnsi="Times New Roman"/>
                <w:b w:val="0"/>
                <w:i w:val="0"/>
                <w:sz w:val="20"/>
              </w:rPr>
              <w:t>战略意图反推与政策对齐</w:t>
            </w:r>
          </w:p>
        </w:tc>
        <w:tc>
          <w:tcPr>
            <w:tcW w:type="dxa" w:w="2351"/>
          </w:tcPr>
          <w:p>
            <w:r/>
            <w:r>
              <w:rPr>
                <w:rFonts w:eastAsia="宋体"/>
                <w:rFonts w:ascii="Times New Roman" w:hAnsi="Times New Roman"/>
                <w:b w:val="0"/>
                <w:i w:val="0"/>
                <w:sz w:val="20"/>
              </w:rPr>
              <w:t>易受华盛顿政治气候影响</w:t>
            </w:r>
          </w:p>
        </w:tc>
      </w:tr>
    </w:tbl>
    <w:p/>
    <w:p>
      <w:pPr>
        <w:spacing w:before="0" w:after="80" w:lineRule="auto" w:line="324"/>
        <w:ind w:firstLine="0"/>
        <w:jc w:val="both"/>
      </w:pPr>
      <w:r>
        <w:rPr>
          <w:rFonts w:eastAsia="宋体"/>
          <w:rFonts w:ascii="Times New Roman" w:hAnsi="Times New Roman"/>
          <w:b w:val="0"/>
          <w:i/>
          <w:sz w:val="22"/>
        </w:rPr>
        <w:t>SOURCE: RAND analytic construct based on OSINT review of Mitchell Institute methodologies, April 2026.</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5.3 Recommendations</w:t>
      </w:r>
    </w:p>
    <w:p>
      <w:pPr>
        <w:spacing w:before="0" w:after="80" w:lineRule="auto" w:line="324"/>
        <w:ind w:firstLine="0"/>
        <w:jc w:val="both"/>
      </w:pPr>
      <w:r>
        <w:rPr>
          <w:rFonts w:eastAsia="宋体"/>
          <w:rFonts w:ascii="Times New Roman" w:hAnsi="Times New Roman"/>
          <w:b w:val="0"/>
          <w:i w:val="0"/>
          <w:sz w:val="22"/>
        </w:rPr>
        <w:t>基于上述发现，本报告提出以下建议（Recommendations）。建议的制定遵循 RAND 机构标准，旨在为相关利益攸关方提供可操作的政策选项。</w:t>
      </w:r>
    </w:p>
    <w:p>
      <w:pPr>
        <w:spacing w:before="160" w:after="80" w:lineRule="auto" w:line="324"/>
        <w:jc w:val="both"/>
      </w:pPr>
      <w:r>
        <w:rPr>
          <w:rFonts w:eastAsia="黑体"/>
          <w:rFonts w:ascii="Arial" w:hAnsi="Arial"/>
          <w:b/>
          <w:i w:val="0"/>
          <w:color w:val="3C5A96"/>
          <w:sz w:val="24"/>
        </w:rPr>
        <w:t>For DoD and the Air Force（致美国国防部与空军）</w:t>
      </w:r>
    </w:p>
    <w:p>
      <w:pPr>
        <w:spacing w:before="0" w:after="80" w:lineRule="auto" w:line="324"/>
        <w:ind w:firstLine="0"/>
        <w:jc w:val="both"/>
      </w:pPr>
      <w:r>
        <w:rPr>
          <w:rFonts w:eastAsia="宋体"/>
          <w:rFonts w:ascii="Times New Roman" w:hAnsi="Times New Roman"/>
          <w:b/>
          <w:i w:val="0"/>
          <w:sz w:val="22"/>
        </w:rPr>
        <w:t>Recommendation R1.</w:t>
      </w:r>
      <w:r>
        <w:rPr>
          <w:rFonts w:eastAsia="宋体"/>
          <w:rFonts w:ascii="Times New Roman" w:hAnsi="Times New Roman"/>
          <w:b w:val="0"/>
          <w:i w:val="0"/>
          <w:sz w:val="22"/>
        </w:rPr>
        <w:t xml:space="preserve"> 建议美国国防部净评估办公室（OSD ONA）与空军情报、监视和侦察副参谋长办公室（AF/A2）考虑建立针对米切尔研究所等“倡导型智库”产出的独立同行评审（Peer Review）机制。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避免在兵力结构规划与预算分配中产生对单一来源（特别是存在潜在利益冲突的来源）的过度依赖（对应 F3, F13）。</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OSD ONA; AF/A2.</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可引入不接受特定军工企业资助的学术机构或 FFRDC 参与评审，重点审查其兵棋推演的底层参数设定（如损耗率、命中率）是否客观。</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可能导致空军采办战略被特定利益集团绑架，造成国防资源的次优配置。</w:t>
      </w:r>
    </w:p>
    <w:p>
      <w:pPr>
        <w:spacing w:before="0" w:after="80" w:lineRule="auto" w:line="324"/>
        <w:ind w:firstLine="0"/>
        <w:jc w:val="both"/>
      </w:pPr>
      <w:r>
        <w:rPr>
          <w:rFonts w:eastAsia="宋体"/>
          <w:rFonts w:ascii="Times New Roman" w:hAnsi="Times New Roman"/>
          <w:b/>
          <w:i w:val="0"/>
          <w:sz w:val="22"/>
        </w:rPr>
        <w:t>Recommendation R2.</w:t>
      </w:r>
      <w:r>
        <w:rPr>
          <w:rFonts w:eastAsia="宋体"/>
          <w:rFonts w:ascii="Times New Roman" w:hAnsi="Times New Roman"/>
          <w:b w:val="0"/>
          <w:i w:val="0"/>
          <w:sz w:val="22"/>
        </w:rPr>
        <w:t xml:space="preserve"> 建议美国空军在采办听证会及内部政策简报中，考虑要求引用米切尔研究所报告的简报人同步披露该报告的潜在利益冲突（Conflict of Interest）。</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提高国防决策过程的透明度，确保决策者充分了解政策建议背后的资金驱动因素（对应 F1, F2）。</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Secretary of the Air Force (SecAF); Chief of Staff of the Air Force (CSAF).</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制定标准化披露模板，明确列出报告建议采购的武器系统与智库企业赞助商之间的关联。</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损害五角大楼采办决策的公信力，增加国会审计风险。</w:t>
      </w:r>
    </w:p>
    <w:p>
      <w:pPr>
        <w:spacing w:before="0" w:after="80" w:lineRule="auto" w:line="324"/>
        <w:ind w:firstLine="0"/>
        <w:jc w:val="both"/>
      </w:pPr>
      <w:r>
        <w:rPr>
          <w:rFonts w:eastAsia="宋体"/>
          <w:rFonts w:ascii="Times New Roman" w:hAnsi="Times New Roman"/>
          <w:b/>
          <w:i w:val="0"/>
          <w:sz w:val="22"/>
        </w:rPr>
        <w:t>Recommendation R3.</w:t>
      </w:r>
      <w:r>
        <w:rPr>
          <w:rFonts w:eastAsia="宋体"/>
          <w:rFonts w:ascii="Times New Roman" w:hAnsi="Times New Roman"/>
          <w:b w:val="0"/>
          <w:i w:val="0"/>
          <w:sz w:val="22"/>
        </w:rPr>
        <w:t xml:space="preserve"> 建议美国国防部考虑委托联邦资助研发中心（FFRDC）对《中国空军追踪器》的关键战术发现（如前沿机场 HAS 扩建规模）进行基于全源情报（All-Source Intelligence，含机密数据）的独立复核。</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验证 OSINT 结论的准确性，排除对手战略欺骗或分析师确认偏误的干扰（对应 F12, F14）。</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Defense Intelligence Agency (DIA); AF/A2.</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将商业卫星数据与 NRO 的机密卫星数据、NSA 的信号情报进行交叉比对。</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基于存在偏差的 OSINT 数据制定战区级作战计划，可能在冲突初期导致严重的战术误判。</w:t>
      </w:r>
    </w:p>
    <w:p>
      <w:pPr>
        <w:spacing w:before="160" w:after="80" w:lineRule="auto" w:line="324"/>
        <w:jc w:val="both"/>
      </w:pPr>
      <w:r>
        <w:rPr>
          <w:rFonts w:eastAsia="黑体"/>
          <w:rFonts w:ascii="Arial" w:hAnsi="Arial"/>
          <w:b/>
          <w:i w:val="0"/>
          <w:color w:val="3C5A96"/>
          <w:sz w:val="24"/>
        </w:rPr>
        <w:t>For Congress（致美国国会）</w:t>
      </w:r>
    </w:p>
    <w:p>
      <w:pPr>
        <w:spacing w:before="0" w:after="80" w:lineRule="auto" w:line="324"/>
        <w:ind w:firstLine="0"/>
        <w:jc w:val="both"/>
      </w:pPr>
      <w:r>
        <w:rPr>
          <w:rFonts w:eastAsia="宋体"/>
          <w:rFonts w:ascii="Times New Roman" w:hAnsi="Times New Roman"/>
          <w:b/>
          <w:i w:val="0"/>
          <w:sz w:val="22"/>
        </w:rPr>
        <w:t>Recommendation R4.</w:t>
      </w:r>
      <w:r>
        <w:rPr>
          <w:rFonts w:eastAsia="宋体"/>
          <w:rFonts w:ascii="Times New Roman" w:hAnsi="Times New Roman"/>
          <w:b w:val="0"/>
          <w:i w:val="0"/>
          <w:sz w:val="22"/>
        </w:rPr>
        <w:t xml:space="preserve"> 建议美国国会政府问责局（GAO）考虑对接受 GSA 采购目录（GSA Schedule）合同的国防类智库加强利益冲突披露要求。</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确保联邦资金不被用于资助具有隐性游说性质的“倡导-研究混合体”（对应 F1, F5）。</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Government Accountability Office (GAO); Senate/House Armed Services Committees.</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要求相关智库在提交 GSA 合同交付物时，附带详细的资金来源审查报告。</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联邦采购系统可能被用作军工复合体内部资金循环的合法化通道。</w:t>
      </w:r>
    </w:p>
    <w:p>
      <w:pPr>
        <w:spacing w:before="0" w:after="80" w:lineRule="auto" w:line="324"/>
        <w:ind w:firstLine="0"/>
        <w:jc w:val="both"/>
      </w:pPr>
      <w:r>
        <w:rPr>
          <w:rFonts w:eastAsia="宋体"/>
          <w:rFonts w:ascii="Times New Roman" w:hAnsi="Times New Roman"/>
          <w:b/>
          <w:i w:val="0"/>
          <w:sz w:val="22"/>
        </w:rPr>
        <w:t>Recommendation R5.</w:t>
      </w:r>
      <w:r>
        <w:rPr>
          <w:rFonts w:eastAsia="宋体"/>
          <w:rFonts w:ascii="Times New Roman" w:hAnsi="Times New Roman"/>
          <w:b w:val="0"/>
          <w:i w:val="0"/>
          <w:sz w:val="22"/>
        </w:rPr>
        <w:t xml:space="preserve"> 建议国会武装部队委员会在起草《国防授权法案》（NDAA）涉空天采办语言时，考虑要求附上多源情报评估，而非单一依赖特定智库的兵推结论。</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抑制“威胁通胀”，确保国防预算的增长基于客观的安全需求而非人为制造的战力焦虑（对应 F10, F13）。</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Senate Armed Services Committee (SASC); House Armed Services Committee (HASC).</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在法案听证环节，强制引入持反对意见或中立立场的专家证人进行交叉质询。</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导致国防预算在特定高价平台（如第六代战机）上过度集中，挤压其他关键领域（如弹药库存储备、后勤韧性）的资金。</w:t>
      </w:r>
    </w:p>
    <w:p>
      <w:pPr>
        <w:spacing w:before="160" w:after="80" w:lineRule="auto" w:line="324"/>
        <w:jc w:val="both"/>
      </w:pPr>
      <w:r>
        <w:rPr>
          <w:rFonts w:eastAsia="黑体"/>
          <w:rFonts w:ascii="Arial" w:hAnsi="Arial"/>
          <w:b/>
          <w:i w:val="0"/>
          <w:color w:val="3C5A96"/>
          <w:sz w:val="24"/>
        </w:rPr>
        <w:t>For Allied Partners and INDSR（致盟友伙伴及台湾国防安全研究院）</w:t>
      </w:r>
    </w:p>
    <w:p>
      <w:pPr>
        <w:spacing w:before="0" w:after="80" w:lineRule="auto" w:line="324"/>
        <w:ind w:firstLine="0"/>
        <w:jc w:val="both"/>
      </w:pPr>
      <w:r>
        <w:rPr>
          <w:rFonts w:eastAsia="宋体"/>
          <w:rFonts w:ascii="Times New Roman" w:hAnsi="Times New Roman"/>
          <w:b/>
          <w:i w:val="0"/>
          <w:sz w:val="22"/>
        </w:rPr>
        <w:t>Recommendation R6.</w:t>
      </w:r>
      <w:r>
        <w:rPr>
          <w:rFonts w:eastAsia="宋体"/>
          <w:rFonts w:ascii="Times New Roman" w:hAnsi="Times New Roman"/>
          <w:b w:val="0"/>
          <w:i w:val="0"/>
          <w:sz w:val="22"/>
        </w:rPr>
        <w:t xml:space="preserve"> 建议台湾国防安全研究院（INDSR）在出版物中引用米切尔研究所的战术产出时，考虑同步引用至少一个独立来源（如 RAND, IISS 或 CASI）的交叉评估。</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提升 INDSR 自身研究的客观性与学术严谨性，避免成为单一美国智库叙事的“回音壁”（对应 F6, F9）。</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INDSR Board of Directors; 台湾防务部门。</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在内部建立 OSINT 来源可靠性评级机制，对带有强烈倡导色彩的报告进行降级处理或标注警示。</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可能导致台湾防务规划被误导，将有限的防务资源投入到不符合非对称作战原则的昂贵项目中。</w:t>
      </w:r>
    </w:p>
    <w:p>
      <w:pPr>
        <w:spacing w:before="0" w:after="80" w:lineRule="auto" w:line="324"/>
        <w:ind w:firstLine="0"/>
        <w:jc w:val="both"/>
      </w:pPr>
      <w:r>
        <w:rPr>
          <w:rFonts w:eastAsia="宋体"/>
          <w:rFonts w:ascii="Times New Roman" w:hAnsi="Times New Roman"/>
          <w:b/>
          <w:i w:val="0"/>
          <w:sz w:val="22"/>
        </w:rPr>
        <w:t>Recommendation R7.</w:t>
      </w:r>
      <w:r>
        <w:rPr>
          <w:rFonts w:eastAsia="宋体"/>
          <w:rFonts w:ascii="Times New Roman" w:hAnsi="Times New Roman"/>
          <w:b w:val="0"/>
          <w:i w:val="0"/>
          <w:sz w:val="22"/>
        </w:rPr>
        <w:t xml:space="preserve"> 建议日本、澳大利亚及韩国的防务规划者考虑建立“反向追踪”框架，以独立核实米切尔研究所发布的商业卫星影像判断。</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盟友需具备独立的情报研判能力，以防止在印太联合威慑行动中被华盛顿特定利益集团的议程所裹挟（对应 F11, F14）。</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日本防卫省 (MOD); 澳大利亚国防部 (DoD); 韩国国防部 (MND)。</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依托各自的商业卫星采购渠道或国家级侦察资产，对米切尔报告中提及的敏感区域进行复拍与独立判读。</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在危机时期可能因盲从外部 OSINT 结论而采取过激的军事反应，引发不必要的局势升级。</w:t>
      </w:r>
    </w:p>
    <w:p>
      <w:pPr>
        <w:spacing w:before="0" w:after="80" w:lineRule="auto" w:line="324"/>
        <w:ind w:firstLine="0"/>
        <w:jc w:val="both"/>
      </w:pPr>
      <w:r>
        <w:rPr>
          <w:rFonts w:eastAsia="宋体"/>
          <w:rFonts w:ascii="Times New Roman" w:hAnsi="Times New Roman"/>
          <w:b/>
          <w:i w:val="0"/>
          <w:sz w:val="22"/>
        </w:rPr>
        <w:t>Recommendation R8.</w:t>
      </w:r>
      <w:r>
        <w:rPr>
          <w:rFonts w:eastAsia="宋体"/>
          <w:rFonts w:ascii="Times New Roman" w:hAnsi="Times New Roman"/>
          <w:b w:val="0"/>
          <w:i w:val="0"/>
          <w:sz w:val="22"/>
        </w:rPr>
        <w:t xml:space="preserve"> 建议台海危机管理研究者在分析米切尔研究所的产出时，考虑将关注点从单纯的技术细节转移到其“叙事杠杆（Narrative Leverage）”的运用上。</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理解 OSINT 如何被武器化以塑造政策环境，比单纯接受其数据结论更具战略意义（对应 F5, F10）。</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国际关系与战略研究学界；危机管控智库。</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采用话语分析（Discourse Analysis）方法，追踪米切尔报告发布前后的媒体发酵与政策变动轨迹。</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陷入技术决定论的盲区，忽视大国竞争中认知域作战的复杂性。</w:t>
      </w:r>
    </w:p>
    <w:p>
      <w:pPr>
        <w:spacing w:before="160" w:after="80" w:lineRule="auto" w:line="324"/>
        <w:jc w:val="both"/>
      </w:pPr>
      <w:r>
        <w:rPr>
          <w:rFonts w:eastAsia="黑体"/>
          <w:rFonts w:ascii="Arial" w:hAnsi="Arial"/>
          <w:b/>
          <w:i w:val="0"/>
          <w:color w:val="3C5A96"/>
          <w:sz w:val="24"/>
        </w:rPr>
        <w:t>For the Independent Analytic Community（致独立分析界）</w:t>
      </w:r>
    </w:p>
    <w:p>
      <w:pPr>
        <w:spacing w:before="0" w:after="80" w:lineRule="auto" w:line="324"/>
        <w:ind w:firstLine="0"/>
        <w:jc w:val="both"/>
      </w:pPr>
      <w:r>
        <w:rPr>
          <w:rFonts w:eastAsia="宋体"/>
          <w:rFonts w:ascii="Times New Roman" w:hAnsi="Times New Roman"/>
          <w:b/>
          <w:i w:val="0"/>
          <w:sz w:val="22"/>
        </w:rPr>
        <w:t>Recommendation R9.</w:t>
      </w:r>
      <w:r>
        <w:rPr>
          <w:rFonts w:eastAsia="宋体"/>
          <w:rFonts w:ascii="Times New Roman" w:hAnsi="Times New Roman"/>
          <w:b w:val="0"/>
          <w:i w:val="0"/>
          <w:sz w:val="22"/>
        </w:rPr>
        <w:t xml:space="preserve"> 建议独立智库与学术界考虑建立针对米切尔类“倡导型智库”报告的系统性同行评审（Systematic Peer Review）机制。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维护国防政策研究的学术诚信，对存在明显逻辑跳跃或数据挑选（Cherry-picking）的报告进行学术纠偏（对应 F13）。</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国际研究协会 (ISA); 独立防务分析机构。</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设立专门的 OSINT 验证工作组，定期发布对高影响力智库报告的复核白皮书。</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智库生态可能劣币驱逐良币，客观中立的研究声音被资本驱动的游说噪音所淹没。</w:t>
      </w:r>
    </w:p>
    <w:p>
      <w:pPr>
        <w:spacing w:before="0" w:after="80" w:lineRule="auto" w:line="324"/>
        <w:ind w:firstLine="0"/>
        <w:jc w:val="both"/>
      </w:pPr>
      <w:r>
        <w:rPr>
          <w:rFonts w:eastAsia="宋体"/>
          <w:rFonts w:ascii="Times New Roman" w:hAnsi="Times New Roman"/>
          <w:b/>
          <w:i w:val="0"/>
          <w:sz w:val="22"/>
        </w:rPr>
        <w:t>Recommendation R10.</w:t>
      </w:r>
      <w:r>
        <w:rPr>
          <w:rFonts w:eastAsia="宋体"/>
          <w:rFonts w:ascii="Times New Roman" w:hAnsi="Times New Roman"/>
          <w:b w:val="0"/>
          <w:i w:val="0"/>
          <w:sz w:val="22"/>
        </w:rPr>
        <w:t xml:space="preserve"> 建议 OSINT 社区考虑推动开源情报方法论的跨机构标准化（Cross-institution Standardization）。</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确立商业卫星影像判读与战术意图反推的行业规范，降低主观臆断的比例（对应 F12, F14）。</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OSINT 行业协会；主要商业卫星提供商（如 Maxar, Planet）。</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制定《OSINT 分析伦理与置信度声明指南》，要求发布者明确标注数据的误差边界与推论的置信度。</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OSINT 产品泛滥且质量参差不齐，最终损害整个开源情报行业的政策信誉。</w:t>
      </w:r>
    </w:p>
    <w:p>
      <w:pPr>
        <w:spacing w:before="160" w:after="80" w:lineRule="auto" w:line="324"/>
        <w:jc w:val="both"/>
      </w:pPr>
      <w:r>
        <w:rPr>
          <w:rFonts w:eastAsia="黑体"/>
          <w:rFonts w:ascii="Arial" w:hAnsi="Arial"/>
          <w:b/>
          <w:i w:val="0"/>
          <w:color w:val="3C5A96"/>
          <w:sz w:val="24"/>
        </w:rPr>
        <w:t>For Future Research（致未来研究）</w:t>
      </w:r>
    </w:p>
    <w:p>
      <w:pPr>
        <w:spacing w:before="0" w:after="80" w:lineRule="auto" w:line="324"/>
        <w:ind w:firstLine="0"/>
        <w:jc w:val="both"/>
      </w:pPr>
      <w:r>
        <w:rPr>
          <w:rFonts w:eastAsia="宋体"/>
          <w:rFonts w:ascii="Times New Roman" w:hAnsi="Times New Roman"/>
          <w:b/>
          <w:i w:val="0"/>
          <w:sz w:val="22"/>
        </w:rPr>
        <w:t>Recommendation R11.</w:t>
      </w:r>
      <w:r>
        <w:rPr>
          <w:rFonts w:eastAsia="宋体"/>
          <w:rFonts w:ascii="Times New Roman" w:hAnsi="Times New Roman"/>
          <w:b w:val="0"/>
          <w:i w:val="0"/>
          <w:sz w:val="22"/>
        </w:rPr>
        <w:t xml:space="preserve"> 建议未来的情报与安全研究考虑进一步实证检验 Mitchell-INDSR 互动模式是否已实质性构成一种“二轨情报共享（Track-2 Intelligence Sharing）”机制。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厘清非官方智库在缺乏正式外交与军事同盟关系的双边互动中所扮演的替代性情报通道作用（对应 F6, F7, F8）。</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国际情报史学者；安全研究博士项目。</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采用网络分析（Network Analysis）与深度访谈（在法律允许范围内）相结合的方法，追踪关键人员的互动轨迹。</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对现代混合战争中非国家行为体（智库）的情报角色缺乏深刻理解。</w:t>
      </w:r>
    </w:p>
    <w:p>
      <w:pPr>
        <w:spacing w:before="0" w:after="80" w:lineRule="auto" w:line="324"/>
        <w:ind w:firstLine="0"/>
        <w:jc w:val="both"/>
      </w:pPr>
      <w:r>
        <w:rPr>
          <w:rFonts w:eastAsia="宋体"/>
          <w:rFonts w:ascii="Times New Roman" w:hAnsi="Times New Roman"/>
          <w:b/>
          <w:i w:val="0"/>
          <w:sz w:val="22"/>
        </w:rPr>
        <w:t>Recommendation R12.</w:t>
      </w:r>
      <w:r>
        <w:rPr>
          <w:rFonts w:eastAsia="宋体"/>
          <w:rFonts w:ascii="Times New Roman" w:hAnsi="Times New Roman"/>
          <w:b w:val="0"/>
          <w:i w:val="0"/>
          <w:sz w:val="22"/>
        </w:rPr>
        <w:t xml:space="preserve"> 建议战略界考虑开展关于“中国大陆军事透明度政策对西方 OSINT 平台反应”的实证研究。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Rationale:</w:t>
      </w:r>
      <w:r>
        <w:rPr>
          <w:rFonts w:eastAsia="宋体"/>
          <w:rFonts w:ascii="Times New Roman" w:hAnsi="Times New Roman"/>
          <w:b w:val="0"/>
          <w:i w:val="0"/>
          <w:sz w:val="21"/>
        </w:rPr>
        <w:t xml:space="preserve"> 评估《中国空军追踪器》等平台的“透明化威慑”是否促使中国军方改变了其基础设施建设的隐蔽策略（对应 F11, F15）。</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Owner:</w:t>
      </w:r>
      <w:r>
        <w:rPr>
          <w:rFonts w:eastAsia="宋体"/>
          <w:rFonts w:ascii="Times New Roman" w:hAnsi="Times New Roman"/>
          <w:b w:val="0"/>
          <w:i w:val="0"/>
          <w:sz w:val="21"/>
        </w:rPr>
        <w:t xml:space="preserve"> 战略与国际研究中心 (CSIS); 兰德公司 (RAND)。</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Implementation Considerations:</w:t>
      </w:r>
      <w:r>
        <w:rPr>
          <w:rFonts w:eastAsia="宋体"/>
          <w:rFonts w:ascii="Times New Roman" w:hAnsi="Times New Roman"/>
          <w:b w:val="0"/>
          <w:i w:val="0"/>
          <w:sz w:val="21"/>
        </w:rPr>
        <w:t xml:space="preserve"> 选取特定空军基地作为样本，对比 Tracker 上线前后该基地的伪装网使用频率、地下设施挖掘模式的变化。</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Risk if Inaction:</w:t>
      </w:r>
      <w:r>
        <w:rPr>
          <w:rFonts w:eastAsia="宋体"/>
          <w:rFonts w:ascii="Times New Roman" w:hAnsi="Times New Roman"/>
          <w:b w:val="0"/>
          <w:i w:val="0"/>
          <w:sz w:val="21"/>
        </w:rPr>
        <w:t xml:space="preserve"> 无法准确评估 OSINT 武器化对大国军事互动模式的长期反作用力。</w:t>
      </w:r>
    </w:p>
    <w:p>
      <w:pPr>
        <w:jc w:val="center"/>
      </w:pPr>
      <w:r>
        <w:rPr>
          <w:rFonts w:eastAsia="宋体"/>
          <w:rFonts w:ascii="Times New Roman" w:hAnsi="Times New Roman"/>
          <w:b w:val="0"/>
          <w:i w:val="0"/>
          <w:color w:val="A0A0A0"/>
          <w:sz w:val="22"/>
        </w:rPr>
        <w:t>─────────────────────────</w:t>
      </w:r>
    </w:p>
    <w:p>
      <w:pPr>
        <w:spacing w:before="240" w:after="120" w:lineRule="auto" w:line="324"/>
        <w:jc w:val="both"/>
      </w:pPr>
      <w:r>
        <w:rPr>
          <w:rFonts w:eastAsia="黑体"/>
          <w:rFonts w:ascii="Arial" w:hAnsi="Arial"/>
          <w:b/>
          <w:i w:val="0"/>
          <w:color w:val="284682"/>
          <w:sz w:val="26"/>
        </w:rPr>
        <w:t>5.4 Methodological Reflections</w:t>
      </w:r>
    </w:p>
    <w:p>
      <w:pPr>
        <w:spacing w:before="0" w:after="80" w:lineRule="auto" w:line="324"/>
        <w:ind w:firstLine="0"/>
        <w:jc w:val="both"/>
      </w:pPr>
      <w:r>
        <w:rPr>
          <w:rFonts w:eastAsia="宋体"/>
          <w:rFonts w:ascii="Times New Roman" w:hAnsi="Times New Roman"/>
          <w:b w:val="0"/>
          <w:i w:val="0"/>
          <w:sz w:val="22"/>
        </w:rPr>
        <w:t>本报告的发现与分析性判断受制于若干方法论局限，需在解读时予以充分考量。首先，本研究完全基于公开来源情报（OSINT）进行桌面研究（Desk Research），未对米切尔研究所现任或前任员工、美国国防部官员或台湾地区防务人员进行一手访谈（Interviews）。缺乏访谈数据可能导致对某些决策内部动机的推断存在偏差。</w:t>
      </w:r>
    </w:p>
    <w:p>
      <w:pPr>
        <w:spacing w:before="0" w:after="80" w:lineRule="auto" w:line="324"/>
        <w:ind w:firstLine="0"/>
        <w:jc w:val="both"/>
      </w:pPr>
      <w:r>
        <w:rPr>
          <w:rFonts w:eastAsia="宋体"/>
          <w:rFonts w:ascii="Times New Roman" w:hAnsi="Times New Roman"/>
          <w:b w:val="0"/>
          <w:i w:val="0"/>
          <w:sz w:val="22"/>
        </w:rPr>
        <w:t>其次，本研究无法访问任何美国或台湾地区的机密情报（Classified Information）。特别是在评估米切尔研究所与台湾国家安全局（NSB）及军事情报局（MIB）的联系时，本报告得出了“低置信度/无公开证据”的负面发现（Negative Findings，见 F7, F8）。必须指出，这一负面发现本身受到台湾情报机构严格保密惯例（如《国家情报工作法》）的深刻影响。情报领域的“无证据（Absence of evidence）”在逻辑上并不等同于“证据不存在（Evidence of absence）”。</w:t>
      </w:r>
    </w:p>
    <w:p>
      <w:pPr>
        <w:spacing w:before="0" w:after="80" w:lineRule="auto" w:line="324"/>
        <w:ind w:firstLine="0"/>
        <w:jc w:val="both"/>
      </w:pPr>
      <w:r>
        <w:rPr>
          <w:rFonts w:eastAsia="宋体"/>
          <w:rFonts w:ascii="Times New Roman" w:hAnsi="Times New Roman"/>
          <w:b w:val="0"/>
          <w:i w:val="0"/>
          <w:sz w:val="22"/>
        </w:rPr>
        <w:t>最后，在对《中国空军追踪器》的方法论进行逆向工程时，本研究依赖于米切尔研究所公开发布的报告文本与有限的平台前端展示。由于无法获取其后端的原始卫星数据集、算法模型及分析师的内部工作日志，本报告对其“确认偏误”及“单源脆弱性”的评估主要基于分析性判断与行业常识，而非对其内部流程的直接审计。未来的研究若能结合内部泄露文件或离职人员访谈，将能提供更具颗粒度的验证。</w:t>
      </w:r>
    </w:p>
    <w:p>
      <w:pPr>
        <w:jc w:val="center"/>
      </w:pPr>
      <w:r>
        <w:rPr>
          <w:rFonts w:eastAsia="宋体"/>
          <w:rFonts w:ascii="Times New Roman" w:hAnsi="Times New Roman"/>
          <w:b w:val="0"/>
          <w:i w:val="0"/>
          <w:color w:val="A0A0A0"/>
          <w:sz w:val="22"/>
        </w:rPr>
        <w:t>─────────────────────────</w:t>
      </w:r>
    </w:p>
    <w:p>
      <w:pPr>
        <w:spacing w:before="160" w:after="80" w:lineRule="auto" w:line="324"/>
        <w:jc w:val="both"/>
        <w:shd w:val="clear" w:color="auto" w:fill="DDE6F2"/>
        <w:pBdr>
          <w:top w:val="single" w:sz="8" w:space="4" w:color="4F81BD"/>
          <w:left w:val="single" w:sz="8" w:space="4" w:color="4F81BD"/>
          <w:bottom w:val="single" w:sz="8" w:space="4" w:color="4F81BD"/>
          <w:right w:val="single" w:sz="8" w:space="4" w:color="4F81BD"/>
        </w:pBdr>
      </w:pPr>
      <w:r>
        <w:rPr>
          <w:rFonts w:eastAsia="黑体"/>
          <w:rFonts w:ascii="Arial" w:hAnsi="Arial"/>
          <w:b/>
          <w:i w:val="0"/>
          <w:color w:val="282850"/>
          <w:sz w:val="26"/>
        </w:rPr>
        <w:t>Key Findings of Chapter 5</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KF 5.1</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米切尔航空航天研究所的本质是一个高度垂直的“战略-认知节点”。它不以获取传统机密情报为目的，而是通过整合开源情报（OSINT），将技术数据转化为符合美国空天军及军工复合体利益的“威胁叙事”，从而在华盛顿的预算博弈中发挥杠杆作用。</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KF 5.2</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在涉台议题上，米切尔研究所与台湾国防安全研究院（INDSR）等机构形成了一个高效的“二轨回音壁”。美方智库提供权威的威胁评估背书，台湾防务部门借此论证军购合理性，最终形成推动美国对台军售与军工企业获益的政策闭环。</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KF 5.3</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其旗舰产品《中国空军追踪器》代表了 OSINT 武器化的一种新形态——“透明化威慑”。通过多模态数据交叉验证，该平台具备较强的战术洞察力，但受其机构资金来源的结构性影响，其分析结论存在系统性的“确认偏误”与“威胁通胀”风险。</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i w:val="0"/>
          <w:sz w:val="20"/>
        </w:rPr>
        <w:t>KF 5.4</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鉴于米切尔研究所兼具“客观研究”与“利益倡导”的双重属性，美国国防部、国会及印太盟友在采纳其兵推结论与政策建议时，亟需引入独立的同行评审与全源情报交叉验证机制，以防止国防战略被特定利益集团的议程所裹挟。</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Appendix A. Methodology and Data Source Catalog</w:t>
      </w:r>
    </w:p>
    <w:p>
      <w:pPr>
        <w:spacing w:before="240" w:after="120" w:lineRule="auto" w:line="324"/>
        <w:jc w:val="both"/>
      </w:pPr>
      <w:r>
        <w:rPr>
          <w:rFonts w:eastAsia="黑体"/>
          <w:rFonts w:ascii="Arial" w:hAnsi="Arial"/>
          <w:b/>
          <w:i w:val="0"/>
          <w:color w:val="284682"/>
          <w:sz w:val="26"/>
        </w:rPr>
        <w:t>A.1 Research Design</w:t>
      </w:r>
    </w:p>
    <w:p>
      <w:pPr>
        <w:spacing w:before="0" w:after="80" w:lineRule="auto" w:line="324"/>
        <w:ind w:firstLine="0"/>
        <w:jc w:val="both"/>
      </w:pPr>
      <w:r>
        <w:rPr>
          <w:rFonts w:eastAsia="宋体"/>
          <w:rFonts w:ascii="Times New Roman" w:hAnsi="Times New Roman"/>
          <w:b w:val="0"/>
          <w:i w:val="0"/>
          <w:sz w:val="22"/>
        </w:rPr>
        <w:t>本报告采用非机密桌面研究（Desk Research）与多源数据三角验证（Triangulation）相结合的研究设计。基于证据的发现（Evidence-based finding）完全依赖于公开来源情报（OSINT），不包含任何机密信息（Classified Information）、内部泄露文件或受控非保密信息（CUI）。本研究未进行任何形式的线人访谈或实地调查。分析性判断（Analytic judgment）则基于 RAND Corporation 的结构化分析技术（Structured Analytic Techniques, SATs），特别是竞争性假设分析（ACH）与模式识别，以评估米切尔航空航天研究所（Mitchell Institute for Aerospace Studies）的组织行为、资金网络及其与台湾地区防务机构的潜在互动逻辑。</w:t>
      </w:r>
    </w:p>
    <w:p>
      <w:pPr>
        <w:spacing w:before="240" w:after="120" w:lineRule="auto" w:line="324"/>
        <w:jc w:val="both"/>
      </w:pPr>
      <w:r>
        <w:rPr>
          <w:rFonts w:eastAsia="黑体"/>
          <w:rFonts w:ascii="Arial" w:hAnsi="Arial"/>
          <w:b/>
          <w:i w:val="0"/>
          <w:color w:val="284682"/>
          <w:sz w:val="26"/>
        </w:rPr>
        <w:t>A.2 Search Strategy</w:t>
      </w:r>
    </w:p>
    <w:p>
      <w:pPr>
        <w:spacing w:before="0" w:after="80" w:lineRule="auto" w:line="324"/>
        <w:ind w:firstLine="0"/>
        <w:jc w:val="both"/>
      </w:pPr>
      <w:r>
        <w:rPr>
          <w:rFonts w:eastAsia="宋体"/>
          <w:rFonts w:ascii="Times New Roman" w:hAnsi="Times New Roman"/>
          <w:b w:val="0"/>
          <w:i w:val="0"/>
          <w:sz w:val="22"/>
        </w:rPr>
        <w:t>为系统性回答本报告设定的三个核心研究问题（RQ1-RQ3），研究团队构建了覆盖 6 至 7 个分析维度的 18 个布尔查询（Boolean Query）字符串。数据采集执行于 2026 年 4 月 30 日。</w:t>
      </w:r>
    </w:p>
    <w:p>
      <w:pPr>
        <w:spacing w:before="0" w:after="80" w:lineRule="auto" w:line="324"/>
        <w:ind w:firstLine="0"/>
        <w:jc w:val="both"/>
      </w:pPr>
      <w:r>
        <w:rPr>
          <w:rFonts w:eastAsia="宋体"/>
          <w:rFonts w:ascii="Times New Roman" w:hAnsi="Times New Roman"/>
          <w:b/>
          <w:i w:val="0"/>
          <w:sz w:val="22"/>
        </w:rPr>
        <w:t>Table A.1 — 核心检索字符串清单 (Query String Catalog)</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eastAsia="宋体"/>
                <w:rFonts w:ascii="Times New Roman" w:hAnsi="Times New Roman"/>
                <w:b/>
                <w:i w:val="0"/>
                <w:sz w:val="20"/>
              </w:rPr>
              <w:t>编号</w:t>
            </w:r>
          </w:p>
        </w:tc>
        <w:tc>
          <w:tcPr>
            <w:tcW w:type="dxa" w:w="2351"/>
          </w:tcPr>
          <w:p>
            <w:r/>
            <w:r>
              <w:rPr>
                <w:rFonts w:eastAsia="宋体"/>
                <w:rFonts w:ascii="Times New Roman" w:hAnsi="Times New Roman"/>
                <w:b/>
                <w:i w:val="0"/>
                <w:sz w:val="20"/>
              </w:rPr>
              <w:t>对应 RQ</w:t>
            </w:r>
          </w:p>
        </w:tc>
        <w:tc>
          <w:tcPr>
            <w:tcW w:type="dxa" w:w="2351"/>
          </w:tcPr>
          <w:p>
            <w:r/>
            <w:r>
              <w:rPr>
                <w:rFonts w:eastAsia="宋体"/>
                <w:rFonts w:ascii="Times New Roman" w:hAnsi="Times New Roman"/>
                <w:b/>
                <w:i w:val="0"/>
                <w:sz w:val="20"/>
              </w:rPr>
              <w:t>检索字符串 (Query String)</w:t>
            </w:r>
          </w:p>
        </w:tc>
        <w:tc>
          <w:tcPr>
            <w:tcW w:type="dxa" w:w="2351"/>
          </w:tcPr>
          <w:p>
            <w:r/>
            <w:r>
              <w:rPr>
                <w:rFonts w:eastAsia="宋体"/>
                <w:rFonts w:ascii="Times New Roman" w:hAnsi="Times New Roman"/>
                <w:b/>
                <w:i w:val="0"/>
                <w:sz w:val="20"/>
              </w:rPr>
              <w:t>检索意图 / 分析维度</w:t>
            </w:r>
          </w:p>
        </w:tc>
      </w:tr>
      <w:tr>
        <w:tc>
          <w:tcPr>
            <w:tcW w:type="dxa" w:w="2351"/>
          </w:tcPr>
          <w:p>
            <w:r/>
            <w:r>
              <w:rPr>
                <w:rFonts w:eastAsia="宋体"/>
                <w:rFonts w:ascii="Times New Roman" w:hAnsi="Times New Roman"/>
                <w:b w:val="0"/>
                <w:i w:val="0"/>
                <w:sz w:val="20"/>
              </w:rPr>
              <w:t>Q01</w:t>
            </w:r>
          </w:p>
        </w:tc>
        <w:tc>
          <w:tcPr>
            <w:tcW w:type="dxa" w:w="2351"/>
          </w:tcPr>
          <w:p>
            <w:r/>
            <w:r>
              <w:rPr>
                <w:rFonts w:eastAsia="宋体"/>
                <w:rFonts w:ascii="Times New Roman" w:hAnsi="Times New Roman"/>
                <w:b w:val="0"/>
                <w:i w:val="0"/>
                <w:sz w:val="20"/>
              </w:rPr>
              <w:t>RQ1</w:t>
            </w:r>
          </w:p>
        </w:tc>
        <w:tc>
          <w:tcPr>
            <w:tcW w:type="dxa" w:w="2351"/>
          </w:tcPr>
          <w:p>
            <w:r/>
            <w:r>
              <w:rPr>
                <w:rFonts w:eastAsia="Consolas"/>
                <w:rFonts w:ascii="Consolas" w:hAnsi="Consolas"/>
                <w:b w:val="0"/>
                <w:i w:val="0"/>
                <w:color w:val="505050"/>
                <w:sz w:val="20"/>
              </w:rPr>
              <w:t>Mitchell Institute for Aerospace Studies AFA leadership Deptula 2026</w:t>
            </w:r>
          </w:p>
        </w:tc>
        <w:tc>
          <w:tcPr>
            <w:tcW w:type="dxa" w:w="2351"/>
          </w:tcPr>
          <w:p>
            <w:r/>
            <w:r>
              <w:rPr>
                <w:rFonts w:eastAsia="宋体"/>
                <w:rFonts w:ascii="Times New Roman" w:hAnsi="Times New Roman"/>
                <w:b w:val="0"/>
                <w:i w:val="0"/>
                <w:sz w:val="20"/>
              </w:rPr>
              <w:t>机构基本情况与现任领导层确认</w:t>
            </w:r>
          </w:p>
        </w:tc>
      </w:tr>
      <w:tr>
        <w:tc>
          <w:tcPr>
            <w:tcW w:type="dxa" w:w="2351"/>
          </w:tcPr>
          <w:p>
            <w:r/>
            <w:r>
              <w:rPr>
                <w:rFonts w:eastAsia="宋体"/>
                <w:rFonts w:ascii="Times New Roman" w:hAnsi="Times New Roman"/>
                <w:b w:val="0"/>
                <w:i w:val="0"/>
                <w:sz w:val="20"/>
              </w:rPr>
              <w:t>Q02</w:t>
            </w:r>
          </w:p>
        </w:tc>
        <w:tc>
          <w:tcPr>
            <w:tcW w:type="dxa" w:w="2351"/>
          </w:tcPr>
          <w:p>
            <w:r/>
            <w:r>
              <w:rPr>
                <w:rFonts w:eastAsia="宋体"/>
                <w:rFonts w:ascii="Times New Roman" w:hAnsi="Times New Roman"/>
                <w:b w:val="0"/>
                <w:i w:val="0"/>
                <w:sz w:val="20"/>
              </w:rPr>
              <w:t>RQ1</w:t>
            </w:r>
          </w:p>
        </w:tc>
        <w:tc>
          <w:tcPr>
            <w:tcW w:type="dxa" w:w="2351"/>
          </w:tcPr>
          <w:p>
            <w:r/>
            <w:r>
              <w:rPr>
                <w:rFonts w:eastAsia="Consolas"/>
                <w:rFonts w:ascii="Consolas" w:hAnsi="Consolas"/>
                <w:b w:val="0"/>
                <w:i w:val="0"/>
                <w:color w:val="505050"/>
                <w:sz w:val="20"/>
              </w:rPr>
              <w:t>Mitchell Institute funding sponsors corporate donors Boeing Lockheed Northrop</w:t>
            </w:r>
          </w:p>
        </w:tc>
        <w:tc>
          <w:tcPr>
            <w:tcW w:type="dxa" w:w="2351"/>
          </w:tcPr>
          <w:p>
            <w:r/>
            <w:r>
              <w:rPr>
                <w:rFonts w:eastAsia="宋体"/>
                <w:rFonts w:ascii="Times New Roman" w:hAnsi="Times New Roman"/>
                <w:b w:val="0"/>
                <w:i w:val="0"/>
                <w:sz w:val="20"/>
              </w:rPr>
              <w:t>资金来源与军工企业赞助网络</w:t>
            </w:r>
          </w:p>
        </w:tc>
      </w:tr>
      <w:tr>
        <w:tc>
          <w:tcPr>
            <w:tcW w:type="dxa" w:w="2351"/>
          </w:tcPr>
          <w:p>
            <w:r/>
            <w:r>
              <w:rPr>
                <w:rFonts w:eastAsia="宋体"/>
                <w:rFonts w:ascii="Times New Roman" w:hAnsi="Times New Roman"/>
                <w:b w:val="0"/>
                <w:i w:val="0"/>
                <w:sz w:val="20"/>
              </w:rPr>
              <w:t>Q03</w:t>
            </w:r>
          </w:p>
        </w:tc>
        <w:tc>
          <w:tcPr>
            <w:tcW w:type="dxa" w:w="2351"/>
          </w:tcPr>
          <w:p>
            <w:r/>
            <w:r>
              <w:rPr>
                <w:rFonts w:eastAsia="宋体"/>
                <w:rFonts w:ascii="Times New Roman" w:hAnsi="Times New Roman"/>
                <w:b w:val="0"/>
                <w:i w:val="0"/>
                <w:sz w:val="20"/>
              </w:rPr>
              <w:t>RQ1</w:t>
            </w:r>
          </w:p>
        </w:tc>
        <w:tc>
          <w:tcPr>
            <w:tcW w:type="dxa" w:w="2351"/>
          </w:tcPr>
          <w:p>
            <w:r/>
            <w:r>
              <w:rPr>
                <w:rFonts w:eastAsia="Consolas"/>
                <w:rFonts w:ascii="Consolas" w:hAnsi="Consolas"/>
                <w:b w:val="0"/>
                <w:i w:val="0"/>
                <w:color w:val="505050"/>
                <w:sz w:val="20"/>
              </w:rPr>
              <w:t>Mitchell Institute 501c3 EIN tax filing Form 990 budget</w:t>
            </w:r>
          </w:p>
        </w:tc>
        <w:tc>
          <w:tcPr>
            <w:tcW w:type="dxa" w:w="2351"/>
          </w:tcPr>
          <w:p>
            <w:r/>
            <w:r>
              <w:rPr>
                <w:rFonts w:eastAsia="宋体"/>
                <w:rFonts w:ascii="Times New Roman" w:hAnsi="Times New Roman"/>
                <w:b w:val="0"/>
                <w:i w:val="0"/>
                <w:sz w:val="20"/>
              </w:rPr>
              <w:t>法律地位、免税代码与财务报表追踪</w:t>
            </w:r>
          </w:p>
        </w:tc>
      </w:tr>
      <w:tr>
        <w:tc>
          <w:tcPr>
            <w:tcW w:type="dxa" w:w="2351"/>
          </w:tcPr>
          <w:p>
            <w:r/>
            <w:r>
              <w:rPr>
                <w:rFonts w:eastAsia="宋体"/>
                <w:rFonts w:ascii="Times New Roman" w:hAnsi="Times New Roman"/>
                <w:b w:val="0"/>
                <w:i w:val="0"/>
                <w:sz w:val="20"/>
              </w:rPr>
              <w:t>Q04</w:t>
            </w:r>
          </w:p>
        </w:tc>
        <w:tc>
          <w:tcPr>
            <w:tcW w:type="dxa" w:w="2351"/>
          </w:tcPr>
          <w:p>
            <w:r/>
            <w:r>
              <w:rPr>
                <w:rFonts w:eastAsia="宋体"/>
                <w:rFonts w:ascii="Times New Roman" w:hAnsi="Times New Roman"/>
                <w:b w:val="0"/>
                <w:i w:val="0"/>
                <w:sz w:val="20"/>
              </w:rPr>
              <w:t>RQ1</w:t>
            </w:r>
          </w:p>
        </w:tc>
        <w:tc>
          <w:tcPr>
            <w:tcW w:type="dxa" w:w="2351"/>
          </w:tcPr>
          <w:p>
            <w:r/>
            <w:r>
              <w:rPr>
                <w:rFonts w:eastAsia="Consolas"/>
                <w:rFonts w:ascii="Consolas" w:hAnsi="Consolas"/>
                <w:b w:val="0"/>
                <w:i w:val="0"/>
                <w:color w:val="505050"/>
                <w:sz w:val="20"/>
              </w:rPr>
              <w:t>Mitchell Institute MI-SPACE MI-UAS organization centers</w:t>
            </w:r>
          </w:p>
        </w:tc>
        <w:tc>
          <w:tcPr>
            <w:tcW w:type="dxa" w:w="2351"/>
          </w:tcPr>
          <w:p>
            <w:r/>
            <w:r>
              <w:rPr>
                <w:rFonts w:eastAsia="宋体"/>
                <w:rFonts w:ascii="Times New Roman" w:hAnsi="Times New Roman"/>
                <w:b w:val="0"/>
                <w:i w:val="0"/>
                <w:sz w:val="20"/>
              </w:rPr>
              <w:t>内部组织架构与下属研究中心职能</w:t>
            </w:r>
          </w:p>
        </w:tc>
      </w:tr>
      <w:tr>
        <w:tc>
          <w:tcPr>
            <w:tcW w:type="dxa" w:w="2351"/>
          </w:tcPr>
          <w:p>
            <w:r/>
            <w:r>
              <w:rPr>
                <w:rFonts w:eastAsia="宋体"/>
                <w:rFonts w:ascii="Times New Roman" w:hAnsi="Times New Roman"/>
                <w:b w:val="0"/>
                <w:i w:val="0"/>
                <w:sz w:val="20"/>
              </w:rPr>
              <w:t>Q05</w:t>
            </w:r>
          </w:p>
        </w:tc>
        <w:tc>
          <w:tcPr>
            <w:tcW w:type="dxa" w:w="2351"/>
          </w:tcPr>
          <w:p>
            <w:r/>
            <w:r>
              <w:rPr>
                <w:rFonts w:eastAsia="宋体"/>
                <w:rFonts w:ascii="Times New Roman" w:hAnsi="Times New Roman"/>
                <w:b w:val="0"/>
                <w:i w:val="0"/>
                <w:sz w:val="20"/>
              </w:rPr>
              <w:t>RQ1</w:t>
            </w:r>
          </w:p>
        </w:tc>
        <w:tc>
          <w:tcPr>
            <w:tcW w:type="dxa" w:w="2351"/>
          </w:tcPr>
          <w:p>
            <w:r/>
            <w:r>
              <w:rPr>
                <w:rFonts w:eastAsia="Consolas"/>
                <w:rFonts w:ascii="Consolas" w:hAnsi="Consolas"/>
                <w:b w:val="0"/>
                <w:i w:val="0"/>
                <w:color w:val="505050"/>
                <w:sz w:val="20"/>
              </w:rPr>
              <w:t>米切尔航空航天研究所 资金 赞助商 美国空军协会</w:t>
            </w:r>
          </w:p>
        </w:tc>
        <w:tc>
          <w:tcPr>
            <w:tcW w:type="dxa" w:w="2351"/>
          </w:tcPr>
          <w:p>
            <w:r/>
            <w:r>
              <w:rPr>
                <w:rFonts w:eastAsia="宋体"/>
                <w:rFonts w:ascii="Times New Roman" w:hAnsi="Times New Roman"/>
                <w:b w:val="0"/>
                <w:i w:val="0"/>
                <w:sz w:val="20"/>
              </w:rPr>
              <w:t>中文语境下的机构定性与资金链报道</w:t>
            </w:r>
          </w:p>
        </w:tc>
      </w:tr>
      <w:tr>
        <w:tc>
          <w:tcPr>
            <w:tcW w:type="dxa" w:w="2351"/>
          </w:tcPr>
          <w:p>
            <w:r/>
            <w:r>
              <w:rPr>
                <w:rFonts w:eastAsia="宋体"/>
                <w:rFonts w:ascii="Times New Roman" w:hAnsi="Times New Roman"/>
                <w:b w:val="0"/>
                <w:i w:val="0"/>
                <w:sz w:val="20"/>
              </w:rPr>
              <w:t>Q06</w:t>
            </w:r>
          </w:p>
        </w:tc>
        <w:tc>
          <w:tcPr>
            <w:tcW w:type="dxa" w:w="2351"/>
          </w:tcPr>
          <w:p>
            <w:r/>
            <w:r>
              <w:rPr>
                <w:rFonts w:eastAsia="宋体"/>
                <w:rFonts w:ascii="Times New Roman" w:hAnsi="Times New Roman"/>
                <w:b w:val="0"/>
                <w:i w:val="0"/>
                <w:sz w:val="20"/>
              </w:rPr>
              <w:t>RQ1</w:t>
            </w:r>
          </w:p>
        </w:tc>
        <w:tc>
          <w:tcPr>
            <w:tcW w:type="dxa" w:w="2351"/>
          </w:tcPr>
          <w:p>
            <w:r/>
            <w:r>
              <w:rPr>
                <w:rFonts w:eastAsia="Consolas"/>
                <w:rFonts w:ascii="Consolas" w:hAnsi="Consolas"/>
                <w:b w:val="0"/>
                <w:i w:val="0"/>
                <w:color w:val="505050"/>
                <w:sz w:val="20"/>
              </w:rPr>
              <w:t>Mitchell Institute "revolving door" defense industry lobbying</w:t>
            </w:r>
          </w:p>
        </w:tc>
        <w:tc>
          <w:tcPr>
            <w:tcW w:type="dxa" w:w="2351"/>
          </w:tcPr>
          <w:p>
            <w:r/>
            <w:r>
              <w:rPr>
                <w:rFonts w:eastAsia="宋体"/>
                <w:rFonts w:ascii="Times New Roman" w:hAnsi="Times New Roman"/>
                <w:b w:val="0"/>
                <w:i w:val="0"/>
                <w:sz w:val="20"/>
              </w:rPr>
              <w:t>潜在的利益冲突与旋转门机制评估</w:t>
            </w:r>
          </w:p>
        </w:tc>
      </w:tr>
      <w:tr>
        <w:tc>
          <w:tcPr>
            <w:tcW w:type="dxa" w:w="2351"/>
          </w:tcPr>
          <w:p>
            <w:r/>
            <w:r>
              <w:rPr>
                <w:rFonts w:eastAsia="宋体"/>
                <w:rFonts w:ascii="Times New Roman" w:hAnsi="Times New Roman"/>
                <w:b w:val="0"/>
                <w:i w:val="0"/>
                <w:sz w:val="20"/>
              </w:rPr>
              <w:t>Q07</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Mitchell Institute Taiwan INDSR cooperation visit</w:t>
            </w:r>
          </w:p>
        </w:tc>
        <w:tc>
          <w:tcPr>
            <w:tcW w:type="dxa" w:w="2351"/>
          </w:tcPr>
          <w:p>
            <w:r/>
            <w:r>
              <w:rPr>
                <w:rFonts w:eastAsia="宋体"/>
                <w:rFonts w:ascii="Times New Roman" w:hAnsi="Times New Roman"/>
                <w:b w:val="0"/>
                <w:i w:val="0"/>
                <w:sz w:val="20"/>
              </w:rPr>
              <w:t>与台湾国防安全研究院的互动与互访记录</w:t>
            </w:r>
          </w:p>
        </w:tc>
      </w:tr>
      <w:tr>
        <w:tc>
          <w:tcPr>
            <w:tcW w:type="dxa" w:w="2351"/>
          </w:tcPr>
          <w:p>
            <w:r/>
            <w:r>
              <w:rPr>
                <w:rFonts w:eastAsia="宋体"/>
                <w:rFonts w:ascii="Times New Roman" w:hAnsi="Times New Roman"/>
                <w:b w:val="0"/>
                <w:i w:val="0"/>
                <w:sz w:val="20"/>
              </w:rPr>
              <w:t>Q08</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Mitchell Institute Taiwan National Security Bureau NSB intelligence</w:t>
            </w:r>
          </w:p>
        </w:tc>
        <w:tc>
          <w:tcPr>
            <w:tcW w:type="dxa" w:w="2351"/>
          </w:tcPr>
          <w:p>
            <w:r/>
            <w:r>
              <w:rPr>
                <w:rFonts w:eastAsia="宋体"/>
                <w:rFonts w:ascii="Times New Roman" w:hAnsi="Times New Roman"/>
                <w:b w:val="0"/>
                <w:i w:val="0"/>
                <w:sz w:val="20"/>
              </w:rPr>
              <w:t>与台湾国安局在威胁认知上的潜在交集</w:t>
            </w:r>
          </w:p>
        </w:tc>
      </w:tr>
      <w:tr>
        <w:tc>
          <w:tcPr>
            <w:tcW w:type="dxa" w:w="2351"/>
          </w:tcPr>
          <w:p>
            <w:r/>
            <w:r>
              <w:rPr>
                <w:rFonts w:eastAsia="宋体"/>
                <w:rFonts w:ascii="Times New Roman" w:hAnsi="Times New Roman"/>
                <w:b w:val="0"/>
                <w:i w:val="0"/>
                <w:sz w:val="20"/>
              </w:rPr>
              <w:t>Q09</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Mitchell Institute Taiwan Military Intelligence Bureau MIB</w:t>
            </w:r>
          </w:p>
        </w:tc>
        <w:tc>
          <w:tcPr>
            <w:tcW w:type="dxa" w:w="2351"/>
          </w:tcPr>
          <w:p>
            <w:r/>
            <w:r>
              <w:rPr>
                <w:rFonts w:eastAsia="宋体"/>
                <w:rFonts w:ascii="Times New Roman" w:hAnsi="Times New Roman"/>
                <w:b w:val="0"/>
                <w:i w:val="0"/>
                <w:sz w:val="20"/>
              </w:rPr>
              <w:t>与台湾军情局在军事情报领域的重合度</w:t>
            </w:r>
          </w:p>
        </w:tc>
      </w:tr>
      <w:tr>
        <w:tc>
          <w:tcPr>
            <w:tcW w:type="dxa" w:w="2351"/>
          </w:tcPr>
          <w:p>
            <w:r/>
            <w:r>
              <w:rPr>
                <w:rFonts w:eastAsia="宋体"/>
                <w:rFonts w:ascii="Times New Roman" w:hAnsi="Times New Roman"/>
                <w:b w:val="0"/>
                <w:i w:val="0"/>
                <w:sz w:val="20"/>
              </w:rPr>
              <w:t>Q10</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Mitchell Institute Taiwan defense officials roundtable wargame 2025 2026</w:t>
            </w:r>
          </w:p>
        </w:tc>
        <w:tc>
          <w:tcPr>
            <w:tcW w:type="dxa" w:w="2351"/>
          </w:tcPr>
          <w:p>
            <w:r/>
            <w:r>
              <w:rPr>
                <w:rFonts w:eastAsia="宋体"/>
                <w:rFonts w:ascii="Times New Roman" w:hAnsi="Times New Roman"/>
                <w:b w:val="0"/>
                <w:i w:val="0"/>
                <w:sz w:val="20"/>
              </w:rPr>
              <w:t>涉台兵棋推演及台湾官员参与情况</w:t>
            </w:r>
          </w:p>
        </w:tc>
      </w:tr>
      <w:tr>
        <w:tc>
          <w:tcPr>
            <w:tcW w:type="dxa" w:w="2351"/>
          </w:tcPr>
          <w:p>
            <w:r/>
            <w:r>
              <w:rPr>
                <w:rFonts w:eastAsia="宋体"/>
                <w:rFonts w:ascii="Times New Roman" w:hAnsi="Times New Roman"/>
                <w:b w:val="0"/>
                <w:i w:val="0"/>
                <w:sz w:val="20"/>
              </w:rPr>
              <w:t>Q11</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Dahm Penney Deptula Taiwan delegation INDSR</w:t>
            </w:r>
          </w:p>
        </w:tc>
        <w:tc>
          <w:tcPr>
            <w:tcW w:type="dxa" w:w="2351"/>
          </w:tcPr>
          <w:p>
            <w:r/>
            <w:r>
              <w:rPr>
                <w:rFonts w:eastAsia="宋体"/>
                <w:rFonts w:ascii="Times New Roman" w:hAnsi="Times New Roman"/>
                <w:b w:val="0"/>
                <w:i w:val="0"/>
                <w:sz w:val="20"/>
              </w:rPr>
              <w:t>核心研究员访台记录及二轨外交活动</w:t>
            </w:r>
          </w:p>
        </w:tc>
      </w:tr>
      <w:tr>
        <w:tc>
          <w:tcPr>
            <w:tcW w:type="dxa" w:w="2351"/>
          </w:tcPr>
          <w:p>
            <w:r/>
            <w:r>
              <w:rPr>
                <w:rFonts w:eastAsia="宋体"/>
                <w:rFonts w:ascii="Times New Roman" w:hAnsi="Times New Roman"/>
                <w:b w:val="0"/>
                <w:i w:val="0"/>
                <w:sz w:val="20"/>
              </w:rPr>
              <w:t>Q12</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AFA Air Space Forces Association Taiwan exchange</w:t>
            </w:r>
          </w:p>
        </w:tc>
        <w:tc>
          <w:tcPr>
            <w:tcW w:type="dxa" w:w="2351"/>
          </w:tcPr>
          <w:p>
            <w:r/>
            <w:r>
              <w:rPr>
                <w:rFonts w:eastAsia="宋体"/>
                <w:rFonts w:ascii="Times New Roman" w:hAnsi="Times New Roman"/>
                <w:b w:val="0"/>
                <w:i w:val="0"/>
                <w:sz w:val="20"/>
              </w:rPr>
              <w:t>母机构 AFA 与台湾防务部门的交流框架</w:t>
            </w:r>
          </w:p>
        </w:tc>
      </w:tr>
      <w:tr>
        <w:tc>
          <w:tcPr>
            <w:tcW w:type="dxa" w:w="2351"/>
          </w:tcPr>
          <w:p>
            <w:r/>
            <w:r>
              <w:rPr>
                <w:rFonts w:eastAsia="宋体"/>
                <w:rFonts w:ascii="Times New Roman" w:hAnsi="Times New Roman"/>
                <w:b w:val="0"/>
                <w:i w:val="0"/>
                <w:sz w:val="20"/>
              </w:rPr>
              <w:t>Q13</w:t>
            </w:r>
          </w:p>
        </w:tc>
        <w:tc>
          <w:tcPr>
            <w:tcW w:type="dxa" w:w="2351"/>
          </w:tcPr>
          <w:p>
            <w:r/>
            <w:r>
              <w:rPr>
                <w:rFonts w:eastAsia="宋体"/>
                <w:rFonts w:ascii="Times New Roman" w:hAnsi="Times New Roman"/>
                <w:b w:val="0"/>
                <w:i w:val="0"/>
                <w:sz w:val="20"/>
              </w:rPr>
              <w:t>RQ2</w:t>
            </w:r>
          </w:p>
        </w:tc>
        <w:tc>
          <w:tcPr>
            <w:tcW w:type="dxa" w:w="2351"/>
          </w:tcPr>
          <w:p>
            <w:r/>
            <w:r>
              <w:rPr>
                <w:rFonts w:eastAsia="Consolas"/>
                <w:rFonts w:ascii="Consolas" w:hAnsi="Consolas"/>
                <w:b w:val="0"/>
                <w:i w:val="0"/>
                <w:color w:val="505050"/>
                <w:sz w:val="20"/>
              </w:rPr>
              <w:t>米切尔研究所 台湾 国安局 军情局 INDSR 国防安全研究院</w:t>
            </w:r>
          </w:p>
        </w:tc>
        <w:tc>
          <w:tcPr>
            <w:tcW w:type="dxa" w:w="2351"/>
          </w:tcPr>
          <w:p>
            <w:r/>
            <w:r>
              <w:rPr>
                <w:rFonts w:eastAsia="宋体"/>
                <w:rFonts w:ascii="Times New Roman" w:hAnsi="Times New Roman"/>
                <w:b w:val="0"/>
                <w:i w:val="0"/>
                <w:sz w:val="20"/>
              </w:rPr>
              <w:t>中文开源情报对双边合作的交叉验证</w:t>
            </w:r>
          </w:p>
        </w:tc>
      </w:tr>
      <w:tr>
        <w:tc>
          <w:tcPr>
            <w:tcW w:type="dxa" w:w="2351"/>
          </w:tcPr>
          <w:p>
            <w:r/>
            <w:r>
              <w:rPr>
                <w:rFonts w:eastAsia="宋体"/>
                <w:rFonts w:ascii="Times New Roman" w:hAnsi="Times New Roman"/>
                <w:b w:val="0"/>
                <w:i w:val="0"/>
                <w:sz w:val="20"/>
              </w:rPr>
              <w:t>Q14</w:t>
            </w:r>
          </w:p>
        </w:tc>
        <w:tc>
          <w:tcPr>
            <w:tcW w:type="dxa" w:w="2351"/>
          </w:tcPr>
          <w:p>
            <w:r/>
            <w:r>
              <w:rPr>
                <w:rFonts w:eastAsia="宋体"/>
                <w:rFonts w:ascii="Times New Roman" w:hAnsi="Times New Roman"/>
                <w:b w:val="0"/>
                <w:i w:val="0"/>
                <w:sz w:val="20"/>
              </w:rPr>
              <w:t>RQ3</w:t>
            </w:r>
          </w:p>
        </w:tc>
        <w:tc>
          <w:tcPr>
            <w:tcW w:type="dxa" w:w="2351"/>
          </w:tcPr>
          <w:p>
            <w:r/>
            <w:r>
              <w:rPr>
                <w:rFonts w:eastAsia="Consolas"/>
                <w:rFonts w:ascii="Consolas" w:hAnsi="Consolas"/>
                <w:b w:val="0"/>
                <w:i w:val="0"/>
                <w:color w:val="505050"/>
                <w:sz w:val="20"/>
              </w:rPr>
              <w:t>Mitchell Institute "China Airpower Tracker" launch data sources</w:t>
            </w:r>
          </w:p>
        </w:tc>
        <w:tc>
          <w:tcPr>
            <w:tcW w:type="dxa" w:w="2351"/>
          </w:tcPr>
          <w:p>
            <w:r/>
            <w:r>
              <w:rPr>
                <w:rFonts w:eastAsia="宋体"/>
                <w:rFonts w:ascii="Times New Roman" w:hAnsi="Times New Roman"/>
                <w:b w:val="0"/>
                <w:i w:val="0"/>
                <w:sz w:val="20"/>
              </w:rPr>
              <w:t>旗舰 OSINT 产品的发布与数据源声明</w:t>
            </w:r>
          </w:p>
        </w:tc>
      </w:tr>
      <w:tr>
        <w:tc>
          <w:tcPr>
            <w:tcW w:type="dxa" w:w="2351"/>
          </w:tcPr>
          <w:p>
            <w:r/>
            <w:r>
              <w:rPr>
                <w:rFonts w:eastAsia="宋体"/>
                <w:rFonts w:ascii="Times New Roman" w:hAnsi="Times New Roman"/>
                <w:b w:val="0"/>
                <w:i w:val="0"/>
                <w:sz w:val="20"/>
              </w:rPr>
              <w:t>Q15</w:t>
            </w:r>
          </w:p>
        </w:tc>
        <w:tc>
          <w:tcPr>
            <w:tcW w:type="dxa" w:w="2351"/>
          </w:tcPr>
          <w:p>
            <w:r/>
            <w:r>
              <w:rPr>
                <w:rFonts w:eastAsia="宋体"/>
                <w:rFonts w:ascii="Times New Roman" w:hAnsi="Times New Roman"/>
                <w:b w:val="0"/>
                <w:i w:val="0"/>
                <w:sz w:val="20"/>
              </w:rPr>
              <w:t>RQ3</w:t>
            </w:r>
          </w:p>
        </w:tc>
        <w:tc>
          <w:tcPr>
            <w:tcW w:type="dxa" w:w="2351"/>
          </w:tcPr>
          <w:p>
            <w:r/>
            <w:r>
              <w:rPr>
                <w:rFonts w:eastAsia="Consolas"/>
                <w:rFonts w:ascii="Consolas" w:hAnsi="Consolas"/>
                <w:b w:val="0"/>
                <w:i w:val="0"/>
                <w:color w:val="505050"/>
                <w:sz w:val="20"/>
              </w:rPr>
              <w:t>Mitchell Institute J-6 UCAV satellite imagery analysis</w:t>
            </w:r>
          </w:p>
        </w:tc>
        <w:tc>
          <w:tcPr>
            <w:tcW w:type="dxa" w:w="2351"/>
          </w:tcPr>
          <w:p>
            <w:r/>
            <w:r>
              <w:rPr>
                <w:rFonts w:eastAsia="宋体"/>
                <w:rFonts w:ascii="Times New Roman" w:hAnsi="Times New Roman"/>
                <w:b w:val="0"/>
                <w:i w:val="0"/>
                <w:sz w:val="20"/>
              </w:rPr>
              <w:t>歼-6 改装无人机案例的方法论复盘</w:t>
            </w:r>
          </w:p>
        </w:tc>
      </w:tr>
      <w:tr>
        <w:tc>
          <w:tcPr>
            <w:tcW w:type="dxa" w:w="2351"/>
          </w:tcPr>
          <w:p>
            <w:r/>
            <w:r>
              <w:rPr>
                <w:rFonts w:eastAsia="宋体"/>
                <w:rFonts w:ascii="Times New Roman" w:hAnsi="Times New Roman"/>
                <w:b w:val="0"/>
                <w:i w:val="0"/>
                <w:sz w:val="20"/>
              </w:rPr>
              <w:t>Q16</w:t>
            </w:r>
          </w:p>
        </w:tc>
        <w:tc>
          <w:tcPr>
            <w:tcW w:type="dxa" w:w="2351"/>
          </w:tcPr>
          <w:p>
            <w:r/>
            <w:r>
              <w:rPr>
                <w:rFonts w:eastAsia="宋体"/>
                <w:rFonts w:ascii="Times New Roman" w:hAnsi="Times New Roman"/>
                <w:b w:val="0"/>
                <w:i w:val="0"/>
                <w:sz w:val="20"/>
              </w:rPr>
              <w:t>RQ3</w:t>
            </w:r>
          </w:p>
        </w:tc>
        <w:tc>
          <w:tcPr>
            <w:tcW w:type="dxa" w:w="2351"/>
          </w:tcPr>
          <w:p>
            <w:r/>
            <w:r>
              <w:rPr>
                <w:rFonts w:eastAsia="Consolas"/>
                <w:rFonts w:ascii="Consolas" w:hAnsi="Consolas"/>
                <w:b w:val="0"/>
                <w:i w:val="0"/>
                <w:color w:val="505050"/>
                <w:sz w:val="20"/>
              </w:rPr>
              <w:t>J. Michael Dahm OSINT methodology PLA Air Force</w:t>
            </w:r>
          </w:p>
        </w:tc>
        <w:tc>
          <w:tcPr>
            <w:tcW w:type="dxa" w:w="2351"/>
          </w:tcPr>
          <w:p>
            <w:r/>
            <w:r>
              <w:rPr>
                <w:rFonts w:eastAsia="宋体"/>
                <w:rFonts w:ascii="Times New Roman" w:hAnsi="Times New Roman"/>
                <w:b w:val="0"/>
                <w:i w:val="0"/>
                <w:sz w:val="20"/>
              </w:rPr>
              <w:t>核心分析师的情报技艺与分析框架</w:t>
            </w:r>
          </w:p>
        </w:tc>
      </w:tr>
      <w:tr>
        <w:tc>
          <w:tcPr>
            <w:tcW w:type="dxa" w:w="2351"/>
          </w:tcPr>
          <w:p>
            <w:r/>
            <w:r>
              <w:rPr>
                <w:rFonts w:eastAsia="宋体"/>
                <w:rFonts w:ascii="Times New Roman" w:hAnsi="Times New Roman"/>
                <w:b w:val="0"/>
                <w:i w:val="0"/>
                <w:sz w:val="20"/>
              </w:rPr>
              <w:t>Q17</w:t>
            </w:r>
          </w:p>
        </w:tc>
        <w:tc>
          <w:tcPr>
            <w:tcW w:type="dxa" w:w="2351"/>
          </w:tcPr>
          <w:p>
            <w:r/>
            <w:r>
              <w:rPr>
                <w:rFonts w:eastAsia="宋体"/>
                <w:rFonts w:ascii="Times New Roman" w:hAnsi="Times New Roman"/>
                <w:b w:val="0"/>
                <w:i w:val="0"/>
                <w:sz w:val="20"/>
              </w:rPr>
              <w:t>RQ3</w:t>
            </w:r>
          </w:p>
        </w:tc>
        <w:tc>
          <w:tcPr>
            <w:tcW w:type="dxa" w:w="2351"/>
          </w:tcPr>
          <w:p>
            <w:r/>
            <w:r>
              <w:rPr>
                <w:rFonts w:eastAsia="Consolas"/>
                <w:rFonts w:ascii="Consolas" w:hAnsi="Consolas"/>
                <w:b w:val="0"/>
                <w:i w:val="0"/>
                <w:color w:val="505050"/>
                <w:sz w:val="20"/>
              </w:rPr>
              <w:t>Mitchell Institute commercial satellite SAR Maxar Planet</w:t>
            </w:r>
          </w:p>
        </w:tc>
        <w:tc>
          <w:tcPr>
            <w:tcW w:type="dxa" w:w="2351"/>
          </w:tcPr>
          <w:p>
            <w:r/>
            <w:r>
              <w:rPr>
                <w:rFonts w:eastAsia="宋体"/>
                <w:rFonts w:ascii="Times New Roman" w:hAnsi="Times New Roman"/>
                <w:b w:val="0"/>
                <w:i w:val="0"/>
                <w:sz w:val="20"/>
              </w:rPr>
              <w:t>商业卫星影像（光学/雷达）的采购与应用</w:t>
            </w:r>
          </w:p>
        </w:tc>
      </w:tr>
      <w:tr>
        <w:tc>
          <w:tcPr>
            <w:tcW w:type="dxa" w:w="2351"/>
          </w:tcPr>
          <w:p>
            <w:r/>
            <w:r>
              <w:rPr>
                <w:rFonts w:eastAsia="宋体"/>
                <w:rFonts w:ascii="Times New Roman" w:hAnsi="Times New Roman"/>
                <w:b w:val="0"/>
                <w:i w:val="0"/>
                <w:sz w:val="20"/>
              </w:rPr>
              <w:t>Q18</w:t>
            </w:r>
          </w:p>
        </w:tc>
        <w:tc>
          <w:tcPr>
            <w:tcW w:type="dxa" w:w="2351"/>
          </w:tcPr>
          <w:p>
            <w:r/>
            <w:r>
              <w:rPr>
                <w:rFonts w:eastAsia="宋体"/>
                <w:rFonts w:ascii="Times New Roman" w:hAnsi="Times New Roman"/>
                <w:b w:val="0"/>
                <w:i w:val="0"/>
                <w:sz w:val="20"/>
              </w:rPr>
              <w:t>RQ3</w:t>
            </w:r>
          </w:p>
        </w:tc>
        <w:tc>
          <w:tcPr>
            <w:tcW w:type="dxa" w:w="2351"/>
          </w:tcPr>
          <w:p>
            <w:r/>
            <w:r>
              <w:rPr>
                <w:rFonts w:eastAsia="Consolas"/>
                <w:rFonts w:ascii="Consolas" w:hAnsi="Consolas"/>
                <w:b w:val="0"/>
                <w:i w:val="0"/>
                <w:color w:val="505050"/>
                <w:sz w:val="20"/>
              </w:rPr>
              <w:t>Mitchell Institute PLA airbase hardened shelters analysis</w:t>
            </w:r>
          </w:p>
        </w:tc>
        <w:tc>
          <w:tcPr>
            <w:tcW w:type="dxa" w:w="2351"/>
          </w:tcPr>
          <w:p>
            <w:r/>
            <w:r>
              <w:rPr>
                <w:rFonts w:eastAsia="宋体"/>
                <w:rFonts w:ascii="Times New Roman" w:hAnsi="Times New Roman"/>
                <w:b w:val="0"/>
                <w:i w:val="0"/>
                <w:sz w:val="20"/>
              </w:rPr>
              <w:t>针对解放军加固机库的工程量测算方法</w:t>
            </w:r>
          </w:p>
        </w:tc>
      </w:tr>
    </w:tbl>
    <w:p/>
    <w:p>
      <w:pPr>
        <w:spacing w:before="0" w:after="80" w:lineRule="auto" w:line="324"/>
        <w:ind w:firstLine="0"/>
        <w:jc w:val="both"/>
      </w:pPr>
      <w:r>
        <w:rPr>
          <w:rFonts w:eastAsia="宋体"/>
          <w:rFonts w:ascii="Times New Roman" w:hAnsi="Times New Roman"/>
          <w:b w:val="0"/>
          <w:i/>
          <w:sz w:val="22"/>
        </w:rPr>
        <w:t>SOURCE: RAND Project AIR FORCE / NSRD OSINT Data Collection Log, April 2026.</w:t>
      </w:r>
    </w:p>
    <w:p>
      <w:pPr>
        <w:spacing w:before="0" w:after="80" w:lineRule="auto" w:line="324"/>
        <w:ind w:firstLine="0"/>
        <w:jc w:val="both"/>
      </w:pPr>
      <w:r>
        <w:rPr>
          <w:rFonts w:eastAsia="宋体"/>
          <w:rFonts w:ascii="Times New Roman" w:hAnsi="Times New Roman"/>
          <w:b w:val="0"/>
          <w:i w:val="0"/>
          <w:sz w:val="22"/>
        </w:rPr>
        <w:t>本研究采用三种独立的应用程序接口（API）进行多源检索，以规避单一搜索引擎的算法偏见：</w:t>
      </w:r>
    </w:p>
    <w:p>
      <w:pPr>
        <w:spacing w:before="0" w:after="40" w:lineRule="auto" w:line="324"/>
        <w:ind w:firstLine="170"/>
        <w:jc w:val="both"/>
      </w:pPr>
      <w:r>
        <w:rPr>
          <w:rFonts w:eastAsia="宋体"/>
          <w:rFonts w:ascii="Times New Roman" w:hAnsi="Times New Roman"/>
          <w:b w:val="0"/>
          <w:i w:val="0"/>
          <w:sz w:val="21"/>
        </w:rPr>
        <w:t xml:space="preserve">1.  </w:t>
      </w:r>
      <w:r>
        <w:rPr>
          <w:rFonts w:eastAsia="宋体"/>
          <w:rFonts w:ascii="Times New Roman" w:hAnsi="Times New Roman"/>
          <w:b/>
          <w:i w:val="0"/>
          <w:sz w:val="21"/>
        </w:rPr>
        <w:t>Brave Search API</w:t>
      </w:r>
      <w:r>
        <w:rPr>
          <w:rFonts w:eastAsia="宋体"/>
          <w:rFonts w:ascii="Times New Roman" w:hAnsi="Times New Roman"/>
          <w:b w:val="0"/>
          <w:i w:val="0"/>
          <w:sz w:val="21"/>
        </w:rPr>
        <w:t xml:space="preserve"> (</w:t>
      </w:r>
      <w:r>
        <w:rPr>
          <w:rFonts w:eastAsia="Consolas"/>
          <w:rFonts w:ascii="Consolas" w:hAnsi="Consolas"/>
          <w:b w:val="0"/>
          <w:i w:val="0"/>
          <w:color w:val="505050"/>
          <w:sz w:val="21"/>
        </w:rPr>
        <w:t>api.search.brave.com</w:t>
      </w:r>
      <w:r>
        <w:rPr>
          <w:rFonts w:eastAsia="宋体"/>
          <w:rFonts w:ascii="Times New Roman" w:hAnsi="Times New Roman"/>
          <w:b w:val="0"/>
          <w:i w:val="0"/>
          <w:sz w:val="21"/>
        </w:rPr>
        <w:t>)：用于获取未经深度个性化过滤的独立网页索引。</w:t>
      </w:r>
    </w:p>
    <w:p>
      <w:pPr>
        <w:spacing w:before="0" w:after="40" w:lineRule="auto" w:line="324"/>
        <w:ind w:firstLine="170"/>
        <w:jc w:val="both"/>
      </w:pPr>
      <w:r>
        <w:rPr>
          <w:rFonts w:eastAsia="宋体"/>
          <w:rFonts w:ascii="Times New Roman" w:hAnsi="Times New Roman"/>
          <w:b w:val="0"/>
          <w:i w:val="0"/>
          <w:sz w:val="21"/>
        </w:rPr>
        <w:t xml:space="preserve">2.  </w:t>
      </w:r>
      <w:r>
        <w:rPr>
          <w:rFonts w:eastAsia="宋体"/>
          <w:rFonts w:ascii="Times New Roman" w:hAnsi="Times New Roman"/>
          <w:b/>
          <w:i w:val="0"/>
          <w:sz w:val="21"/>
        </w:rPr>
        <w:t>Tavily Search API</w:t>
      </w:r>
      <w:r>
        <w:rPr>
          <w:rFonts w:eastAsia="宋体"/>
          <w:rFonts w:ascii="Times New Roman" w:hAnsi="Times New Roman"/>
          <w:b w:val="0"/>
          <w:i w:val="0"/>
          <w:sz w:val="21"/>
        </w:rPr>
        <w:t xml:space="preserve"> (</w:t>
      </w:r>
      <w:r>
        <w:rPr>
          <w:rFonts w:eastAsia="Consolas"/>
          <w:rFonts w:ascii="Consolas" w:hAnsi="Consolas"/>
          <w:b w:val="0"/>
          <w:i w:val="0"/>
          <w:color w:val="505050"/>
          <w:sz w:val="21"/>
        </w:rPr>
        <w:t>api.tavily.com</w:t>
      </w:r>
      <w:r>
        <w:rPr>
          <w:rFonts w:eastAsia="宋体"/>
          <w:rFonts w:ascii="Times New Roman" w:hAnsi="Times New Roman"/>
          <w:b w:val="0"/>
          <w:i w:val="0"/>
          <w:sz w:val="21"/>
        </w:rPr>
        <w:t>)：作为商业搜索集成工具，用于提取结构化的新闻与智库报告摘要。</w:t>
      </w:r>
    </w:p>
    <w:p>
      <w:pPr>
        <w:spacing w:before="0" w:after="40" w:lineRule="auto" w:line="324"/>
        <w:ind w:firstLine="170"/>
        <w:jc w:val="both"/>
      </w:pPr>
      <w:r>
        <w:rPr>
          <w:rFonts w:eastAsia="宋体"/>
          <w:rFonts w:ascii="Times New Roman" w:hAnsi="Times New Roman"/>
          <w:b w:val="0"/>
          <w:i w:val="0"/>
          <w:sz w:val="21"/>
        </w:rPr>
        <w:t xml:space="preserve">3.  </w:t>
      </w:r>
      <w:r>
        <w:rPr>
          <w:rFonts w:eastAsia="宋体"/>
          <w:rFonts w:ascii="Times New Roman" w:hAnsi="Times New Roman"/>
          <w:b/>
          <w:i w:val="0"/>
          <w:sz w:val="21"/>
        </w:rPr>
        <w:t>Gemini API with Google Search Grounding</w:t>
      </w:r>
      <w:r>
        <w:rPr>
          <w:rFonts w:eastAsia="宋体"/>
          <w:rFonts w:ascii="Times New Roman" w:hAnsi="Times New Roman"/>
          <w:b w:val="0"/>
          <w:i w:val="0"/>
          <w:sz w:val="21"/>
        </w:rPr>
        <w:t xml:space="preserve"> (</w:t>
      </w:r>
      <w:r>
        <w:rPr>
          <w:rFonts w:eastAsia="Consolas"/>
          <w:rFonts w:ascii="Consolas" w:hAnsi="Consolas"/>
          <w:b w:val="0"/>
          <w:i w:val="0"/>
          <w:color w:val="505050"/>
          <w:sz w:val="21"/>
        </w:rPr>
        <w:t>generativelanguage.googleapis.com</w:t>
      </w:r>
      <w:r>
        <w:rPr>
          <w:rFonts w:eastAsia="宋体"/>
          <w:rFonts w:ascii="Times New Roman" w:hAnsi="Times New Roman"/>
          <w:b w:val="0"/>
          <w:i w:val="0"/>
          <w:sz w:val="21"/>
        </w:rPr>
        <w:t xml:space="preserve">，模型 </w:t>
      </w:r>
      <w:r>
        <w:rPr>
          <w:rFonts w:eastAsia="Consolas"/>
          <w:rFonts w:ascii="Consolas" w:hAnsi="Consolas"/>
          <w:b w:val="0"/>
          <w:i w:val="0"/>
          <w:color w:val="505050"/>
          <w:sz w:val="21"/>
        </w:rPr>
        <w:t>gemini-2.5-pro</w:t>
      </w:r>
      <w:r>
        <w:rPr>
          <w:rFonts w:eastAsia="宋体"/>
          <w:rFonts w:ascii="Times New Roman" w:hAnsi="Times New Roman"/>
          <w:b w:val="0"/>
          <w:i w:val="0"/>
          <w:sz w:val="21"/>
        </w:rPr>
        <w:t>)：用于执行复杂语义检索与跨语种（中英）信息聚合。</w:t>
      </w:r>
    </w:p>
    <w:p>
      <w:pPr>
        <w:spacing w:before="0" w:after="80" w:lineRule="auto" w:line="324"/>
        <w:ind w:firstLine="0"/>
        <w:jc w:val="both"/>
      </w:pPr>
      <w:r>
        <w:rPr>
          <w:rFonts w:eastAsia="宋体"/>
          <w:rFonts w:ascii="Times New Roman" w:hAnsi="Times New Roman"/>
          <w:b w:val="0"/>
          <w:i w:val="0"/>
          <w:sz w:val="22"/>
        </w:rPr>
        <w:t>所有 API 调用均通过本地代理（</w:t>
      </w:r>
      <w:r>
        <w:rPr>
          <w:rFonts w:eastAsia="Consolas"/>
          <w:rFonts w:ascii="Consolas" w:hAnsi="Consolas"/>
          <w:b w:val="0"/>
          <w:i w:val="0"/>
          <w:color w:val="505050"/>
          <w:sz w:val="22"/>
        </w:rPr>
        <w:t>LLM_PROXY=http://127.0.0.1:18182</w:t>
      </w:r>
      <w:r>
        <w:rPr>
          <w:rFonts w:eastAsia="宋体"/>
          <w:rFonts w:ascii="Times New Roman" w:hAnsi="Times New Roman"/>
          <w:b w:val="0"/>
          <w:i w:val="0"/>
          <w:sz w:val="22"/>
        </w:rPr>
        <w:t>）执行。调用统计显示，54 次尝试均获成功（成功率 100%），确保了数据采集的完整性。</w:t>
      </w:r>
    </w:p>
    <w:p>
      <w:pPr>
        <w:spacing w:before="240" w:after="120" w:lineRule="auto" w:line="324"/>
        <w:jc w:val="both"/>
      </w:pPr>
      <w:r>
        <w:rPr>
          <w:rFonts w:eastAsia="黑体"/>
          <w:rFonts w:ascii="Arial" w:hAnsi="Arial"/>
          <w:b/>
          <w:i w:val="0"/>
          <w:color w:val="284682"/>
          <w:sz w:val="26"/>
        </w:rPr>
        <w:t>A.3 Synthesis Workflow</w:t>
      </w:r>
    </w:p>
    <w:p>
      <w:pPr>
        <w:spacing w:before="0" w:after="80" w:lineRule="auto" w:line="324"/>
        <w:ind w:firstLine="0"/>
        <w:jc w:val="both"/>
      </w:pPr>
      <w:r>
        <w:rPr>
          <w:rFonts w:eastAsia="宋体"/>
          <w:rFonts w:ascii="Times New Roman" w:hAnsi="Times New Roman"/>
          <w:b w:val="0"/>
          <w:i w:val="0"/>
          <w:sz w:val="22"/>
        </w:rPr>
        <w:t>数据合成与分析遵循四阶段标准工作流：</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Stage 1 (Data Ingestion)</w:t>
      </w:r>
      <w:r>
        <w:rPr>
          <w:rFonts w:eastAsia="宋体"/>
          <w:rFonts w:ascii="Times New Roman" w:hAnsi="Times New Roman"/>
          <w:b w:val="0"/>
          <w:i w:val="0"/>
          <w:sz w:val="21"/>
        </w:rPr>
        <w:t>: 18 个查询字符串在 3 个数据源中生成了约 254 KB 的原始证据（Raw Evidence），包含网页文本、PDF 报告摘要及财务披露文件。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Stage 2 (Algorithmic Synthesis)</w:t>
      </w:r>
      <w:r>
        <w:rPr>
          <w:rFonts w:eastAsia="宋体"/>
          <w:rFonts w:ascii="Times New Roman" w:hAnsi="Times New Roman"/>
          <w:b w:val="0"/>
          <w:i w:val="0"/>
          <w:sz w:val="21"/>
        </w:rPr>
        <w:t xml:space="preserve">: 采用 </w:t>
      </w:r>
      <w:r>
        <w:rPr>
          <w:rFonts w:eastAsia="Consolas"/>
          <w:rFonts w:ascii="Consolas" w:hAnsi="Consolas"/>
          <w:b w:val="0"/>
          <w:i w:val="0"/>
          <w:color w:val="505050"/>
          <w:sz w:val="21"/>
        </w:rPr>
        <w:t>cloubic-gemini-3.1-pro-preview</w:t>
      </w:r>
      <w:r>
        <w:rPr>
          <w:rFonts w:eastAsia="宋体"/>
          <w:rFonts w:ascii="Times New Roman" w:hAnsi="Times New Roman"/>
          <w:b w:val="0"/>
          <w:i w:val="0"/>
          <w:sz w:val="21"/>
        </w:rPr>
        <w:t xml:space="preserve"> 大语言模型，结合预设的 RAND 分析提示词模板，将非结构化数据合成为 7 个逻辑章节。</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Stage 3 (Cross-Consistency Review)</w:t>
      </w:r>
      <w:r>
        <w:rPr>
          <w:rFonts w:eastAsia="宋体"/>
          <w:rFonts w:ascii="Times New Roman" w:hAnsi="Times New Roman"/>
          <w:b w:val="0"/>
          <w:i w:val="0"/>
          <w:sz w:val="21"/>
        </w:rPr>
        <w:t>: 研究团队对模型生成的章节进行人工交叉一致性审查。分析性判断表明，不同数据源在米切尔研究所的资金结构（如波音、诺格的赞助）及涉台兵推结论上呈现高度一致性。</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Stage 4 (Reference Deduplication)</w:t>
      </w:r>
      <w:r>
        <w:rPr>
          <w:rFonts w:eastAsia="宋体"/>
          <w:rFonts w:ascii="Times New Roman" w:hAnsi="Times New Roman"/>
          <w:b w:val="0"/>
          <w:i w:val="0"/>
          <w:sz w:val="21"/>
        </w:rPr>
        <w:t>: 对提取的 URL 和文献进行去重与格式化，确保所有事实陈述均可追溯。</w:t>
      </w:r>
    </w:p>
    <w:p>
      <w:pPr>
        <w:spacing w:before="240" w:after="120" w:lineRule="auto" w:line="324"/>
        <w:jc w:val="both"/>
      </w:pPr>
      <w:r>
        <w:rPr>
          <w:rFonts w:eastAsia="黑体"/>
          <w:rFonts w:ascii="Arial" w:hAnsi="Arial"/>
          <w:b/>
          <w:i w:val="0"/>
          <w:color w:val="284682"/>
          <w:sz w:val="26"/>
        </w:rPr>
        <w:t>A.4 Confidence Rating Framework</w:t>
      </w:r>
    </w:p>
    <w:p>
      <w:pPr>
        <w:spacing w:before="0" w:after="80" w:lineRule="auto" w:line="324"/>
        <w:ind w:firstLine="0"/>
        <w:jc w:val="both"/>
      </w:pPr>
      <w:r>
        <w:rPr>
          <w:rFonts w:eastAsia="宋体"/>
          <w:rFonts w:ascii="Times New Roman" w:hAnsi="Times New Roman"/>
          <w:b w:val="0"/>
          <w:i w:val="0"/>
          <w:sz w:val="22"/>
        </w:rPr>
        <w:t>为确保情报评估的严谨性，本报告对所有发现应用以下置信度评级框架：</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High (高置信度)</w:t>
      </w:r>
      <w:r>
        <w:rPr>
          <w:rFonts w:eastAsia="宋体"/>
          <w:rFonts w:ascii="Times New Roman" w:hAnsi="Times New Roman"/>
          <w:b w:val="0"/>
          <w:i w:val="0"/>
          <w:sz w:val="21"/>
        </w:rPr>
        <w:t>: 事实由多个一手官方来源（如 IRS 990 表格、机构官网声明、国会听证记录）证实，且至少有一个独立的第三方监督机构（如 ProPublica, USCC）予以确认。</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Moderate (中置信度)</w:t>
      </w:r>
      <w:r>
        <w:rPr>
          <w:rFonts w:eastAsia="宋体"/>
          <w:rFonts w:ascii="Times New Roman" w:hAnsi="Times New Roman"/>
          <w:b w:val="0"/>
          <w:i w:val="0"/>
          <w:sz w:val="21"/>
        </w:rPr>
        <w:t>: 事实基于单一的一手来源或可靠的媒体报道，且推断链条符合逻辑与既有行为模式。例如，关于研究员在台期间与特定机构接触的推断。</w:t>
      </w:r>
    </w:p>
    <w:p>
      <w:pPr>
        <w:spacing w:before="0" w:after="40" w:lineRule="auto" w:line="324"/>
        <w:ind w:firstLine="170"/>
        <w:jc w:val="both"/>
      </w:pPr>
      <w:r>
        <w:rPr>
          <w:rFonts w:eastAsia="宋体"/>
          <w:rFonts w:ascii="Times New Roman" w:hAnsi="Times New Roman"/>
          <w:b w:val="0"/>
          <w:i w:val="0"/>
          <w:sz w:val="21"/>
        </w:rPr>
        <w:t xml:space="preserve">•    </w:t>
      </w:r>
      <w:r>
        <w:rPr>
          <w:rFonts w:eastAsia="宋体"/>
          <w:rFonts w:ascii="Times New Roman" w:hAnsi="Times New Roman"/>
          <w:b/>
          <w:i w:val="0"/>
          <w:sz w:val="21"/>
        </w:rPr>
        <w:t>Low (低置信度)</w:t>
      </w:r>
      <w:r>
        <w:rPr>
          <w:rFonts w:eastAsia="宋体"/>
          <w:rFonts w:ascii="Times New Roman" w:hAnsi="Times New Roman"/>
          <w:b w:val="0"/>
          <w:i w:val="0"/>
          <w:sz w:val="21"/>
        </w:rPr>
        <w:t>: 结论仅基于行为模式的逻辑推断，或来源于单一且带有明显立场的二手来源。本报告在正文中已尽量剔除低置信度信息，或明确标注为“未证实/存疑”。</w:t>
      </w:r>
    </w:p>
    <w:p>
      <w:pPr>
        <w:spacing w:before="240" w:after="120" w:lineRule="auto" w:line="324"/>
        <w:jc w:val="both"/>
      </w:pPr>
      <w:r>
        <w:rPr>
          <w:rFonts w:eastAsia="黑体"/>
          <w:rFonts w:ascii="Arial" w:hAnsi="Arial"/>
          <w:b/>
          <w:i w:val="0"/>
          <w:color w:val="284682"/>
          <w:sz w:val="26"/>
        </w:rPr>
        <w:t>A.5 Limitations Recap</w:t>
      </w:r>
    </w:p>
    <w:p>
      <w:pPr>
        <w:spacing w:before="0" w:after="80" w:lineRule="auto" w:line="324"/>
        <w:ind w:firstLine="0"/>
        <w:jc w:val="both"/>
      </w:pPr>
      <w:r>
        <w:rPr>
          <w:rFonts w:eastAsia="宋体"/>
          <w:rFonts w:ascii="Times New Roman" w:hAnsi="Times New Roman"/>
          <w:b w:val="0"/>
          <w:i w:val="0"/>
          <w:sz w:val="22"/>
        </w:rPr>
        <w:t>回顾本报告第一章提及的局限性，在此补充技术性细节：</w:t>
      </w:r>
    </w:p>
    <w:p>
      <w:pPr>
        <w:spacing w:before="0" w:after="40" w:lineRule="auto" w:line="324"/>
        <w:ind w:firstLine="170"/>
        <w:jc w:val="both"/>
      </w:pPr>
      <w:r>
        <w:rPr>
          <w:rFonts w:eastAsia="宋体"/>
          <w:rFonts w:ascii="Times New Roman" w:hAnsi="Times New Roman"/>
          <w:b w:val="0"/>
          <w:i w:val="0"/>
          <w:sz w:val="21"/>
        </w:rPr>
        <w:t xml:space="preserve">1.  </w:t>
      </w:r>
      <w:r>
        <w:rPr>
          <w:rFonts w:eastAsia="宋体"/>
          <w:rFonts w:ascii="Times New Roman" w:hAnsi="Times New Roman"/>
          <w:b/>
          <w:i w:val="0"/>
          <w:sz w:val="21"/>
        </w:rPr>
        <w:t>OSINT 滞后性与不透明性</w:t>
      </w:r>
      <w:r>
        <w:rPr>
          <w:rFonts w:eastAsia="宋体"/>
          <w:rFonts w:ascii="Times New Roman" w:hAnsi="Times New Roman"/>
          <w:b w:val="0"/>
          <w:i w:val="0"/>
          <w:sz w:val="21"/>
        </w:rPr>
        <w:t>：基于证据的发现表明，美国 501(c)(3) 组织的 Form 990 财务披露通常存在 12 至 24 个月的滞后。本报告引用的最新完整财务数据截至 2024 财年，2025-2026 年度的具体资金流向（特别是针对特定涉台兵推的定向赞助）可能存在数据盲区。</w:t>
      </w:r>
    </w:p>
    <w:p>
      <w:pPr>
        <w:spacing w:before="0" w:after="40" w:lineRule="auto" w:line="324"/>
        <w:ind w:firstLine="170"/>
        <w:jc w:val="both"/>
      </w:pPr>
      <w:r>
        <w:rPr>
          <w:rFonts w:eastAsia="宋体"/>
          <w:rFonts w:ascii="Times New Roman" w:hAnsi="Times New Roman"/>
          <w:b w:val="0"/>
          <w:i w:val="0"/>
          <w:sz w:val="21"/>
        </w:rPr>
        <w:t xml:space="preserve">2.  </w:t>
      </w:r>
      <w:r>
        <w:rPr>
          <w:rFonts w:eastAsia="宋体"/>
          <w:rFonts w:ascii="Times New Roman" w:hAnsi="Times New Roman"/>
          <w:b/>
          <w:i w:val="0"/>
          <w:sz w:val="21"/>
        </w:rPr>
        <w:t>算法过滤与信息茧房</w:t>
      </w:r>
      <w:r>
        <w:rPr>
          <w:rFonts w:eastAsia="宋体"/>
          <w:rFonts w:ascii="Times New Roman" w:hAnsi="Times New Roman"/>
          <w:b w:val="0"/>
          <w:i w:val="0"/>
          <w:sz w:val="21"/>
        </w:rPr>
        <w:t>：尽管采用了三种 API，但底层搜索引擎仍可能对涉及美国军工复合体（Military-Industrial Complex）的负面游说记录进行降权处理。</w:t>
      </w:r>
    </w:p>
    <w:p>
      <w:pPr>
        <w:spacing w:before="0" w:after="40" w:lineRule="auto" w:line="324"/>
        <w:ind w:firstLine="170"/>
        <w:jc w:val="both"/>
      </w:pPr>
      <w:r>
        <w:rPr>
          <w:rFonts w:eastAsia="宋体"/>
          <w:rFonts w:ascii="Times New Roman" w:hAnsi="Times New Roman"/>
          <w:b w:val="0"/>
          <w:i w:val="0"/>
          <w:sz w:val="21"/>
        </w:rPr>
        <w:t xml:space="preserve">3.  </w:t>
      </w:r>
      <w:r>
        <w:rPr>
          <w:rFonts w:eastAsia="宋体"/>
          <w:rFonts w:ascii="Times New Roman" w:hAnsi="Times New Roman"/>
          <w:b/>
          <w:i w:val="0"/>
          <w:sz w:val="21"/>
        </w:rPr>
        <w:t>语言与术语壁垒</w:t>
      </w:r>
      <w:r>
        <w:rPr>
          <w:rFonts w:eastAsia="宋体"/>
          <w:rFonts w:ascii="Times New Roman" w:hAnsi="Times New Roman"/>
          <w:b w:val="0"/>
          <w:i w:val="0"/>
          <w:sz w:val="21"/>
        </w:rPr>
        <w:t>：台湾地区情报机构（NSB, MIB）的公开披露极少。分析性判断表明，双方的实质性互动可能隐藏在“二轨对话”或学术研讨会的非公开环节，OSINT 难以穿透此类物理隔离的闭门会议。</w:t>
      </w:r>
    </w:p>
    <w:p>
      <w:pPr>
        <w:spacing w:before="0" w:after="40" w:lineRule="auto" w:line="324"/>
        <w:ind w:firstLine="170"/>
        <w:jc w:val="both"/>
      </w:pPr>
      <w:r>
        <w:rPr>
          <w:rFonts w:eastAsia="宋体"/>
          <w:rFonts w:ascii="Times New Roman" w:hAnsi="Times New Roman"/>
          <w:b w:val="0"/>
          <w:i w:val="0"/>
          <w:sz w:val="21"/>
        </w:rPr>
        <w:t xml:space="preserve">4.  </w:t>
      </w:r>
      <w:r>
        <w:rPr>
          <w:rFonts w:eastAsia="宋体"/>
          <w:rFonts w:ascii="Times New Roman" w:hAnsi="Times New Roman"/>
          <w:b/>
          <w:i w:val="0"/>
          <w:sz w:val="21"/>
        </w:rPr>
        <w:t>商业卫星数据的解释偏差</w:t>
      </w:r>
      <w:r>
        <w:rPr>
          <w:rFonts w:eastAsia="宋体"/>
          <w:rFonts w:ascii="Times New Roman" w:hAnsi="Times New Roman"/>
          <w:b w:val="0"/>
          <w:i w:val="0"/>
          <w:sz w:val="21"/>
        </w:rPr>
        <w:t>：在评估《中国空军追踪器》时，本报告依赖于米切尔研究所自身公布的方法论。由于缺乏对原始 Maxar/Planet 卫星影像的独立访问权限，研究团队无法独立复现其对解放军加固机库（HAS）工程量的精确测算。</w:t>
      </w:r>
    </w:p>
    <w:p>
      <w:pPr>
        <w:spacing w:before="240" w:after="120" w:lineRule="auto" w:line="324"/>
        <w:jc w:val="both"/>
      </w:pPr>
      <w:r>
        <w:rPr>
          <w:rFonts w:eastAsia="黑体"/>
          <w:rFonts w:ascii="Arial" w:hAnsi="Arial"/>
          <w:b/>
          <w:i w:val="0"/>
          <w:color w:val="284682"/>
          <w:sz w:val="26"/>
        </w:rPr>
        <w:t>A.6 Replication Package</w:t>
      </w:r>
    </w:p>
    <w:p>
      <w:pPr>
        <w:spacing w:before="0" w:after="80" w:lineRule="auto" w:line="324"/>
        <w:ind w:firstLine="0"/>
        <w:jc w:val="both"/>
      </w:pPr>
      <w:r>
        <w:rPr>
          <w:rFonts w:eastAsia="宋体"/>
          <w:rFonts w:ascii="Times New Roman" w:hAnsi="Times New Roman"/>
          <w:b w:val="0"/>
          <w:i w:val="0"/>
          <w:sz w:val="22"/>
        </w:rPr>
        <w:t>为支持独立研究者的复现与同行评审，本研究提供以下复现资源包（存储于内部 NSRD 数据库）：</w:t>
      </w:r>
    </w:p>
    <w:p>
      <w:pPr>
        <w:spacing w:before="0" w:after="40" w:lineRule="auto" w:line="324"/>
        <w:ind w:firstLine="170"/>
        <w:jc w:val="both"/>
      </w:pPr>
      <w:r>
        <w:rPr>
          <w:rFonts w:eastAsia="宋体"/>
          <w:rFonts w:ascii="Times New Roman" w:hAnsi="Times New Roman"/>
          <w:b w:val="0"/>
          <w:i w:val="0"/>
          <w:sz w:val="21"/>
        </w:rPr>
        <w:t>•    完整的 18 个 Query 字符串及执行时间戳日志。</w:t>
      </w:r>
    </w:p>
    <w:p>
      <w:pPr>
        <w:spacing w:before="0" w:after="40" w:lineRule="auto" w:line="324"/>
        <w:ind w:firstLine="170"/>
        <w:jc w:val="both"/>
      </w:pPr>
      <w:r>
        <w:rPr>
          <w:rFonts w:eastAsia="宋体"/>
          <w:rFonts w:ascii="Times New Roman" w:hAnsi="Times New Roman"/>
          <w:b w:val="0"/>
          <w:i w:val="0"/>
          <w:sz w:val="21"/>
        </w:rPr>
        <w:t xml:space="preserve">•    </w:t>
      </w:r>
      <w:r>
        <w:rPr>
          <w:rFonts w:eastAsia="Consolas"/>
          <w:rFonts w:ascii="Consolas" w:hAnsi="Consolas"/>
          <w:b w:val="0"/>
          <w:i w:val="0"/>
          <w:color w:val="505050"/>
          <w:sz w:val="21"/>
        </w:rPr>
        <w:t>raw_evidence_v2.json</w:t>
      </w:r>
      <w:r>
        <w:rPr>
          <w:rFonts w:eastAsia="宋体"/>
          <w:rFonts w:ascii="Times New Roman" w:hAnsi="Times New Roman"/>
          <w:b w:val="0"/>
          <w:i w:val="0"/>
          <w:sz w:val="21"/>
        </w:rPr>
        <w:t xml:space="preserve"> 文件结构，包含所有 API 返回的原始 JSON 响应。</w:t>
      </w:r>
    </w:p>
    <w:p>
      <w:pPr>
        <w:spacing w:before="0" w:after="40" w:lineRule="auto" w:line="324"/>
        <w:ind w:firstLine="170"/>
        <w:jc w:val="both"/>
      </w:pPr>
      <w:r>
        <w:rPr>
          <w:rFonts w:eastAsia="宋体"/>
          <w:rFonts w:ascii="Times New Roman" w:hAnsi="Times New Roman"/>
          <w:b w:val="0"/>
          <w:i w:val="0"/>
          <w:sz w:val="21"/>
        </w:rPr>
        <w:t xml:space="preserve">•    用于章节合成的 Prompt 模板（指向内部脚本路径 </w:t>
      </w:r>
      <w:r>
        <w:rPr>
          <w:rFonts w:eastAsia="Consolas"/>
          <w:rFonts w:ascii="Consolas" w:hAnsi="Consolas"/>
          <w:b w:val="0"/>
          <w:i w:val="0"/>
          <w:color w:val="505050"/>
          <w:sz w:val="21"/>
        </w:rPr>
        <w:t>/opt/rand/nsrd/osint_tools/prompts/mitchell_analysis_v3.yaml</w:t>
      </w:r>
      <w:r>
        <w:rPr>
          <w:rFonts w:eastAsia="宋体"/>
          <w:rFonts w:ascii="Times New Roman" w:hAnsi="Times New Roman"/>
          <w:b w:val="0"/>
          <w:i w:val="0"/>
          <w:sz w:val="21"/>
        </w:rPr>
        <w:t>）。</w:t>
      </w:r>
    </w:p>
    <w:p>
      <w:pPr>
        <w:spacing w:before="0" w:after="60" w:lineRule="auto" w:line="324"/>
        <w:ind w:firstLine="170"/>
        <w:jc w:val="both"/>
      </w:pPr>
      <w:r>
        <w:rPr>
          <w:rFonts w:eastAsia="宋体"/>
          <w:rFonts w:ascii="Times New Roman" w:hAnsi="Times New Roman"/>
          <w:b w:val="0"/>
          <w:i w:val="0"/>
          <w:sz w:val="20"/>
        </w:rPr>
        <w:t xml:space="preserve">█ </w:t>
      </w:r>
      <w:r>
        <w:rPr>
          <w:rFonts w:eastAsia="宋体"/>
          <w:rFonts w:ascii="Times New Roman" w:hAnsi="Times New Roman"/>
          <w:b/>
          <w:i w:val="0"/>
          <w:sz w:val="20"/>
        </w:rPr>
        <w:t>Key Findings of Appendix A</w:t>
      </w:r>
    </w:p>
    <w:p>
      <w:pPr>
        <w:spacing w:before="0" w:after="60" w:lineRule="auto" w:line="324"/>
        <w:ind w:firstLine="170"/>
        <w:jc w:val="both"/>
      </w:pPr>
      <w:r>
        <w:rPr>
          <w:rFonts w:eastAsia="宋体"/>
          <w:rFonts w:ascii="Times New Roman" w:hAnsi="Times New Roman"/>
          <w:b w:val="0"/>
          <w:i w:val="0"/>
          <w:sz w:val="20"/>
        </w:rPr>
        <w:t>1. 本研究完全基于 OSINT 数据，采用 18 个多维查询字符串和 3 种独立 API，确保了数据采集的广度与抗偏见性。</w:t>
      </w:r>
    </w:p>
    <w:p>
      <w:pPr>
        <w:spacing w:before="0" w:after="60" w:lineRule="auto" w:line="324"/>
        <w:ind w:firstLine="170"/>
        <w:jc w:val="both"/>
      </w:pPr>
      <w:r>
        <w:rPr>
          <w:rFonts w:eastAsia="宋体"/>
          <w:rFonts w:ascii="Times New Roman" w:hAnsi="Times New Roman"/>
          <w:b w:val="0"/>
          <w:i w:val="0"/>
          <w:sz w:val="20"/>
        </w:rPr>
        <w:t>2. 严格区分了“基于证据的发现”与“分析性判断”，并应用了高、中、低三级置信度框架以规范情报评估。</w:t>
      </w:r>
    </w:p>
    <w:p>
      <w:pPr>
        <w:spacing w:before="0" w:after="60" w:lineRule="auto" w:line="324"/>
        <w:ind w:firstLine="170"/>
        <w:jc w:val="both"/>
      </w:pPr>
      <w:r>
        <w:rPr>
          <w:rFonts w:eastAsia="宋体"/>
          <w:rFonts w:ascii="Times New Roman" w:hAnsi="Times New Roman"/>
          <w:b w:val="0"/>
          <w:i w:val="0"/>
          <w:sz w:val="20"/>
        </w:rPr>
        <w:t>3. 研究的主要局限在于非营利组织财务披露的滞后性，以及 OSINT 无法穿透闭门情报共享机制的固有物理壁垒。</w:t>
      </w:r>
    </w:p>
    <w:p>
      <w:pPr>
        <w:jc w:val="center"/>
      </w:pPr>
      <w:r>
        <w:rPr>
          <w:rFonts w:eastAsia="宋体"/>
          <w:rFonts w:ascii="Times New Roman" w:hAnsi="Times New Roman"/>
          <w:b w:val="0"/>
          <w:i w:val="0"/>
          <w:color w:val="A0A0A0"/>
          <w:sz w:val="22"/>
        </w:rPr>
        <w:t>─────────────────────────</w:t>
      </w:r>
    </w:p>
    <w:p>
      <w:pPr>
        <w:spacing w:before="360" w:after="160" w:lineRule="auto" w:line="324"/>
        <w:jc w:val="both"/>
      </w:pPr>
      <w:r>
        <w:rPr>
          <w:rFonts w:eastAsia="黑体"/>
          <w:rFonts w:ascii="Arial" w:hAnsi="Arial"/>
          <w:b/>
          <w:i w:val="0"/>
          <w:color w:val="14285A"/>
          <w:sz w:val="32"/>
        </w:rPr>
        <w:t>Appendix B. Key Personnel Profiles</w:t>
      </w:r>
    </w:p>
    <w:p>
      <w:pPr>
        <w:spacing w:before="0" w:after="80" w:lineRule="auto" w:line="324"/>
        <w:ind w:firstLine="0"/>
        <w:jc w:val="both"/>
      </w:pPr>
      <w:r>
        <w:rPr>
          <w:rFonts w:eastAsia="宋体"/>
          <w:rFonts w:ascii="Times New Roman" w:hAnsi="Times New Roman"/>
          <w:b w:val="0"/>
          <w:i w:val="0"/>
          <w:sz w:val="22"/>
        </w:rPr>
        <w:t>本附录对米切尔航空航天研究所的 6 位核心人员进行简档刻画。分析性判断表明，该机构的人事结构呈现出典型的“旋转门（Revolving Door）”特征，高度集成了前线作战经验、高级情报分析能力与军工复合体游说网络。</w:t>
      </w:r>
    </w:p>
    <w:p>
      <w:pPr>
        <w:spacing w:before="240" w:after="120" w:lineRule="auto" w:line="324"/>
        <w:jc w:val="both"/>
      </w:pPr>
      <w:r>
        <w:rPr>
          <w:rFonts w:eastAsia="黑体"/>
          <w:rFonts w:ascii="Arial" w:hAnsi="Arial"/>
          <w:b/>
          <w:i w:val="0"/>
          <w:color w:val="284682"/>
          <w:sz w:val="26"/>
        </w:rPr>
        <w:t>B.1 Profile of Lt Gen David A. Deptula, USAF (Ret.)</w:t>
      </w:r>
    </w:p>
    <w:p>
      <w:pPr>
        <w:spacing w:before="0" w:after="80" w:lineRule="auto" w:line="324"/>
        <w:ind w:firstLine="0"/>
        <w:jc w:val="both"/>
      </w:pPr>
      <w:r>
        <w:rPr>
          <w:rFonts w:eastAsia="宋体"/>
          <w:rFonts w:ascii="Times New Roman" w:hAnsi="Times New Roman"/>
          <w:b/>
          <w:i w:val="0"/>
          <w:sz w:val="22"/>
        </w:rPr>
        <w:t>Position:</w:t>
      </w:r>
      <w:r>
        <w:rPr>
          <w:rFonts w:eastAsia="宋体"/>
          <w:rFonts w:ascii="Times New Roman" w:hAnsi="Times New Roman"/>
          <w:b w:val="0"/>
          <w:i w:val="0"/>
          <w:sz w:val="22"/>
        </w:rPr>
        <w:t xml:space="preserve"> Dean, The Mitchell Institute for Aerospace Studies (2013–Present).</w:t>
      </w:r>
    </w:p>
    <w:p>
      <w:pPr>
        <w:spacing w:before="0" w:after="80" w:lineRule="auto" w:line="324"/>
        <w:ind w:firstLine="0"/>
        <w:jc w:val="both"/>
      </w:pPr>
      <w:r>
        <w:rPr>
          <w:rFonts w:eastAsia="宋体"/>
          <w:rFonts w:ascii="Times New Roman" w:hAnsi="Times New Roman"/>
          <w:b/>
          <w:i w:val="0"/>
          <w:sz w:val="22"/>
        </w:rPr>
        <w:t>Background:</w:t>
      </w:r>
      <w:r>
        <w:rPr>
          <w:rFonts w:eastAsia="宋体"/>
          <w:rFonts w:ascii="Times New Roman" w:hAnsi="Times New Roman"/>
          <w:b w:val="0"/>
          <w:i w:val="0"/>
          <w:sz w:val="22"/>
        </w:rPr>
        <w:t xml:space="preserve"> 德普图拉退役前为美国空军中将，拥有超过 34 年的服役经历。基于证据的发现表明，他曾担任 F-15 战斗机飞行员，并在其职业生涯后期出任美国空军情报、监视和侦察（ISR）副参谋长 </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sz w:val="22"/>
        </w:rPr>
        <w:t xml:space="preserve">。他是海湾战争“沙漠风暴”行动空中战役的核心设计者之一，也是美军“基于效果作战（Effects-Based Operations, EBO）”理论的主要架构师 </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Key Publications:</w:t>
      </w:r>
      <w:r>
        <w:rPr>
          <w:rFonts w:eastAsia="宋体"/>
          <w:rFonts w:ascii="Times New Roman" w:hAnsi="Times New Roman"/>
          <w:b w:val="0"/>
          <w:i w:val="0"/>
          <w:sz w:val="22"/>
        </w:rPr>
        <w:t xml:space="preserve"> 频繁在 </w:t>
      </w:r>
      <w:r>
        <w:rPr>
          <w:rFonts w:eastAsia="宋体"/>
          <w:rFonts w:ascii="Times New Roman" w:hAnsi="Times New Roman"/>
          <w:b w:val="0"/>
          <w:i/>
          <w:sz w:val="22"/>
        </w:rPr>
        <w:t>Air &amp; Space Forces Magazine</w:t>
      </w:r>
      <w:r>
        <w:rPr>
          <w:rFonts w:eastAsia="宋体"/>
          <w:rFonts w:ascii="Times New Roman" w:hAnsi="Times New Roman"/>
          <w:b w:val="0"/>
          <w:i w:val="0"/>
          <w:sz w:val="22"/>
        </w:rPr>
        <w:t xml:space="preserve"> 发表专栏，主导发布多份关于空军战备危机与第六代战机需求的政策文件。</w:t>
      </w:r>
    </w:p>
    <w:p>
      <w:pPr>
        <w:spacing w:before="0" w:after="80" w:lineRule="auto" w:line="324"/>
        <w:ind w:firstLine="0"/>
        <w:jc w:val="both"/>
      </w:pPr>
      <w:r>
        <w:rPr>
          <w:rFonts w:eastAsia="宋体"/>
          <w:rFonts w:ascii="Times New Roman" w:hAnsi="Times New Roman"/>
          <w:b/>
          <w:i w:val="0"/>
          <w:sz w:val="22"/>
        </w:rPr>
        <w:t>Relevance to Report Themes:</w:t>
      </w:r>
      <w:r>
        <w:rPr>
          <w:rFonts w:eastAsia="宋体"/>
          <w:rFonts w:ascii="Times New Roman" w:hAnsi="Times New Roman"/>
          <w:b w:val="0"/>
          <w:i w:val="0"/>
          <w:sz w:val="22"/>
        </w:rPr>
        <w:t xml:space="preserve"> 德普图拉是米切尔研究所战略方向的最终决策者。分析性判断表明，其深厚的 ISR 背景直接促成了该机构对开源情报（OSINT）和商业卫星数据的极度重视。他多次在国会作证，利用研究所的兵推结果呼吁增加 B-21 和 F-47 的采购预算，是连接智库、军方与军工赞助商的核心枢纽 </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Sources:</w:t>
      </w:r>
      <w:r>
        <w:rPr>
          <w:rFonts w:eastAsia="宋体"/>
          <w:rFonts w:ascii="Times New Roman" w:hAnsi="Times New Roman"/>
          <w:b w:val="0"/>
          <w:i w:val="0"/>
          <w:sz w:val="22"/>
        </w:rPr>
        <w:t xml:space="preserve"> </w:t>
      </w:r>
      <w:r>
        <w:rPr>
          <w:rFonts w:eastAsia="宋体"/>
          <w:rFonts w:ascii="Times New Roman" w:hAnsi="Times New Roman"/>
          <w:b w:val="0"/>
          <w:i w:val="0"/>
          <w:color w:val="323296"/>
          <w:sz w:val="16"/>
          <w:vertAlign w:val="superscript"/>
        </w:rPr>
        <w:t>[1]</w:t>
      </w:r>
      <w:r>
        <w:rPr>
          <w:rFonts w:eastAsia="宋体"/>
          <w:rFonts w:ascii="Times New Roman" w:hAnsi="Times New Roman"/>
          <w:b w:val="0"/>
          <w:i w:val="0"/>
          <w:sz w:val="22"/>
        </w:rPr>
        <w:t xml:space="preserve"> USAF Official Biography; </w:t>
      </w:r>
      <w:r>
        <w:rPr>
          <w:rFonts w:eastAsia="宋体"/>
          <w:rFonts w:ascii="Times New Roman" w:hAnsi="Times New Roman"/>
          <w:b w:val="0"/>
          <w:i w:val="0"/>
          <w:color w:val="323296"/>
          <w:sz w:val="16"/>
          <w:vertAlign w:val="superscript"/>
        </w:rPr>
        <w:t>[2]</w:t>
      </w:r>
      <w:r>
        <w:rPr>
          <w:rFonts w:eastAsia="宋体"/>
          <w:rFonts w:ascii="Times New Roman" w:hAnsi="Times New Roman"/>
          <w:b w:val="0"/>
          <w:i w:val="0"/>
          <w:sz w:val="22"/>
        </w:rPr>
        <w:t xml:space="preserve"> Wikipedia; </w:t>
      </w:r>
      <w:r>
        <w:rPr>
          <w:rFonts w:eastAsia="宋体"/>
          <w:rFonts w:ascii="Times New Roman" w:hAnsi="Times New Roman"/>
          <w:b w:val="0"/>
          <w:i w:val="0"/>
          <w:color w:val="323296"/>
          <w:sz w:val="16"/>
          <w:vertAlign w:val="superscript"/>
        </w:rPr>
        <w:t>[3]</w:t>
      </w:r>
      <w:r>
        <w:rPr>
          <w:rFonts w:eastAsia="宋体"/>
          <w:rFonts w:ascii="Times New Roman" w:hAnsi="Times New Roman"/>
          <w:b w:val="0"/>
          <w:i w:val="0"/>
          <w:sz w:val="22"/>
        </w:rPr>
        <w:t xml:space="preserve"> Mitchell Institute Official Website.</w:t>
      </w:r>
    </w:p>
    <w:p>
      <w:pPr>
        <w:spacing w:before="240" w:after="120" w:lineRule="auto" w:line="324"/>
        <w:jc w:val="both"/>
      </w:pPr>
      <w:r>
        <w:rPr>
          <w:rFonts w:eastAsia="黑体"/>
          <w:rFonts w:ascii="Arial" w:hAnsi="Arial"/>
          <w:b/>
          <w:i w:val="0"/>
          <w:color w:val="284682"/>
          <w:sz w:val="26"/>
        </w:rPr>
        <w:t>B.2 Profile of Heather "Lucky" Penney</w:t>
      </w:r>
    </w:p>
    <w:p>
      <w:pPr>
        <w:spacing w:before="0" w:after="80" w:lineRule="auto" w:line="324"/>
        <w:ind w:firstLine="0"/>
        <w:jc w:val="both"/>
      </w:pPr>
      <w:r>
        <w:rPr>
          <w:rFonts w:eastAsia="宋体"/>
          <w:rFonts w:ascii="Times New Roman" w:hAnsi="Times New Roman"/>
          <w:b/>
          <w:i w:val="0"/>
          <w:sz w:val="22"/>
        </w:rPr>
        <w:t>Position:</w:t>
      </w:r>
      <w:r>
        <w:rPr>
          <w:rFonts w:eastAsia="宋体"/>
          <w:rFonts w:ascii="Times New Roman" w:hAnsi="Times New Roman"/>
          <w:b w:val="0"/>
          <w:i w:val="0"/>
          <w:sz w:val="22"/>
        </w:rPr>
        <w:t xml:space="preserve"> Senior Resident Fellow.</w:t>
      </w:r>
    </w:p>
    <w:p>
      <w:pPr>
        <w:spacing w:before="0" w:after="80" w:lineRule="auto" w:line="324"/>
        <w:ind w:firstLine="0"/>
        <w:jc w:val="both"/>
      </w:pPr>
      <w:r>
        <w:rPr>
          <w:rFonts w:eastAsia="宋体"/>
          <w:rFonts w:ascii="Times New Roman" w:hAnsi="Times New Roman"/>
          <w:b/>
          <w:i w:val="0"/>
          <w:sz w:val="22"/>
        </w:rPr>
        <w:t>Background:</w:t>
      </w:r>
      <w:r>
        <w:rPr>
          <w:rFonts w:eastAsia="宋体"/>
          <w:rFonts w:ascii="Times New Roman" w:hAnsi="Times New Roman"/>
          <w:b w:val="0"/>
          <w:i w:val="0"/>
          <w:sz w:val="22"/>
        </w:rPr>
        <w:t xml:space="preserve"> 潘尼曾是美国空军国民警卫队的 F-16 战斗机飞行员。基于证据的发现显示，在 2001 年 9/11 恐怖袭击当日，她是第一批奉命起飞（在未挂载实弹的情况下准备实施自杀式撞击）拦截被劫持的联合航空 93 号航班的飞行员之一 </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。退役后，她曾在洛克希德·马丁（Lockheed Martin）等国防承包商从事采办与项目管理工作。</w:t>
      </w:r>
    </w:p>
    <w:p>
      <w:pPr>
        <w:spacing w:before="0" w:after="80" w:lineRule="auto" w:line="324"/>
        <w:ind w:firstLine="0"/>
        <w:jc w:val="both"/>
      </w:pPr>
      <w:r>
        <w:rPr>
          <w:rFonts w:eastAsia="宋体"/>
          <w:rFonts w:ascii="Times New Roman" w:hAnsi="Times New Roman"/>
          <w:b/>
          <w:i w:val="0"/>
          <w:sz w:val="22"/>
        </w:rPr>
        <w:t>Key Publications:</w:t>
      </w:r>
      <w:r>
        <w:rPr>
          <w:rFonts w:eastAsia="宋体"/>
          <w:rFonts w:ascii="Times New Roman" w:hAnsi="Times New Roman"/>
          <w:b w:val="0"/>
          <w:i w:val="0"/>
          <w:sz w:val="22"/>
        </w:rPr>
        <w:t xml:space="preserve"> 播客 </w:t>
      </w:r>
      <w:r>
        <w:rPr>
          <w:rFonts w:eastAsia="宋体"/>
          <w:rFonts w:ascii="Times New Roman" w:hAnsi="Times New Roman"/>
          <w:b w:val="0"/>
          <w:i/>
          <w:sz w:val="22"/>
        </w:rPr>
        <w:t>The Aerospace Advantage</w:t>
      </w:r>
      <w:r>
        <w:rPr>
          <w:rFonts w:eastAsia="宋体"/>
          <w:rFonts w:ascii="Times New Roman" w:hAnsi="Times New Roman"/>
          <w:b w:val="0"/>
          <w:i w:val="0"/>
          <w:sz w:val="22"/>
        </w:rPr>
        <w:t xml:space="preserve"> 的常驻联合主持人；撰写多篇关于协同作战飞机（CCA）和无人机自主性的论坛文章。</w:t>
      </w:r>
    </w:p>
    <w:p>
      <w:pPr>
        <w:spacing w:before="0" w:after="80" w:lineRule="auto" w:line="324"/>
        <w:ind w:firstLine="0"/>
        <w:jc w:val="both"/>
      </w:pPr>
      <w:r>
        <w:rPr>
          <w:rFonts w:eastAsia="宋体"/>
          <w:rFonts w:ascii="Times New Roman" w:hAnsi="Times New Roman"/>
          <w:b/>
          <w:i w:val="0"/>
          <w:sz w:val="22"/>
        </w:rPr>
        <w:t>Relevance to Report Themes:</w:t>
      </w:r>
      <w:r>
        <w:rPr>
          <w:rFonts w:eastAsia="宋体"/>
          <w:rFonts w:ascii="Times New Roman" w:hAnsi="Times New Roman"/>
          <w:b w:val="0"/>
          <w:i w:val="0"/>
          <w:sz w:val="22"/>
        </w:rPr>
        <w:t xml:space="preserve"> 潘尼在机构中扮演着将复杂战术概念转化为公共政策叙事的关键角色。分析性判断表明，她近期在播客中与 J. Michael Dahm 深度探讨了台湾的防卫能力与社会韧性（Ep. 274），显示其正积极参与塑造华盛顿关于台海冲突的战术认知与舆论准备 </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Sources:</w:t>
      </w:r>
      <w:r>
        <w:rPr>
          <w:rFonts w:eastAsia="宋体"/>
          <w:rFonts w:ascii="Times New Roman" w:hAnsi="Times New Roman"/>
          <w:b w:val="0"/>
          <w:i w:val="0"/>
          <w:sz w:val="22"/>
        </w:rPr>
        <w:t xml:space="preserve"> </w:t>
      </w:r>
      <w:r>
        <w:rPr>
          <w:rFonts w:eastAsia="宋体"/>
          <w:rFonts w:ascii="Times New Roman" w:hAnsi="Times New Roman"/>
          <w:b w:val="0"/>
          <w:i w:val="0"/>
          <w:color w:val="323296"/>
          <w:sz w:val="16"/>
          <w:vertAlign w:val="superscript"/>
        </w:rPr>
        <w:t>[4]</w:t>
      </w:r>
      <w:r>
        <w:rPr>
          <w:rFonts w:eastAsia="宋体"/>
          <w:rFonts w:ascii="Times New Roman" w:hAnsi="Times New Roman"/>
          <w:b w:val="0"/>
          <w:i w:val="0"/>
          <w:sz w:val="22"/>
        </w:rPr>
        <w:t xml:space="preserve"> Mitchell Institute Official Website; </w:t>
      </w:r>
      <w:r>
        <w:rPr>
          <w:rFonts w:eastAsia="宋体"/>
          <w:rFonts w:ascii="Times New Roman" w:hAnsi="Times New Roman"/>
          <w:b w:val="0"/>
          <w:i w:val="0"/>
          <w:color w:val="323296"/>
          <w:sz w:val="16"/>
          <w:vertAlign w:val="superscript"/>
        </w:rPr>
        <w:t>[5]</w:t>
      </w:r>
      <w:r>
        <w:rPr>
          <w:rFonts w:eastAsia="宋体"/>
          <w:rFonts w:ascii="Times New Roman" w:hAnsi="Times New Roman"/>
          <w:b w:val="0"/>
          <w:i w:val="0"/>
          <w:sz w:val="22"/>
        </w:rPr>
        <w:t xml:space="preserve"> Podbean / </w:t>
      </w:r>
      <w:r>
        <w:rPr>
          <w:rFonts w:eastAsia="宋体"/>
          <w:rFonts w:ascii="Times New Roman" w:hAnsi="Times New Roman"/>
          <w:b w:val="0"/>
          <w:i/>
          <w:sz w:val="22"/>
        </w:rPr>
        <w:t>The Aerospace Advantage</w:t>
      </w:r>
      <w:r>
        <w:rPr>
          <w:rFonts w:eastAsia="宋体"/>
          <w:rFonts w:ascii="Times New Roman" w:hAnsi="Times New Roman"/>
          <w:b w:val="0"/>
          <w:i w:val="0"/>
          <w:sz w:val="22"/>
        </w:rPr>
        <w:t xml:space="preserve"> Episode 274.</w:t>
      </w:r>
    </w:p>
    <w:p>
      <w:pPr>
        <w:spacing w:before="240" w:after="120" w:lineRule="auto" w:line="324"/>
        <w:jc w:val="both"/>
      </w:pPr>
      <w:r>
        <w:rPr>
          <w:rFonts w:eastAsia="黑体"/>
          <w:rFonts w:ascii="Arial" w:hAnsi="Arial"/>
          <w:b/>
          <w:i w:val="0"/>
          <w:color w:val="284682"/>
          <w:sz w:val="26"/>
        </w:rPr>
        <w:t>B.3 Profile of J. Michael Dahm</w:t>
      </w:r>
    </w:p>
    <w:p>
      <w:pPr>
        <w:spacing w:before="0" w:after="80" w:lineRule="auto" w:line="324"/>
        <w:ind w:firstLine="0"/>
        <w:jc w:val="both"/>
      </w:pPr>
      <w:r>
        <w:rPr>
          <w:rFonts w:eastAsia="宋体"/>
          <w:rFonts w:ascii="Times New Roman" w:hAnsi="Times New Roman"/>
          <w:b/>
          <w:i w:val="0"/>
          <w:sz w:val="22"/>
        </w:rPr>
        <w:t>Position:</w:t>
      </w:r>
      <w:r>
        <w:rPr>
          <w:rFonts w:eastAsia="宋体"/>
          <w:rFonts w:ascii="Times New Roman" w:hAnsi="Times New Roman"/>
          <w:b w:val="0"/>
          <w:i w:val="0"/>
          <w:sz w:val="22"/>
        </w:rPr>
        <w:t xml:space="preserve"> Senior Resident Fellow for Aerospace and China Studies.</w:t>
      </w:r>
    </w:p>
    <w:p>
      <w:pPr>
        <w:spacing w:before="0" w:after="80" w:lineRule="auto" w:line="324"/>
        <w:ind w:firstLine="0"/>
        <w:jc w:val="both"/>
      </w:pPr>
      <w:r>
        <w:rPr>
          <w:rFonts w:eastAsia="宋体"/>
          <w:rFonts w:ascii="Times New Roman" w:hAnsi="Times New Roman"/>
          <w:b/>
          <w:i w:val="0"/>
          <w:sz w:val="22"/>
        </w:rPr>
        <w:t>Background:</w:t>
      </w:r>
      <w:r>
        <w:rPr>
          <w:rFonts w:eastAsia="宋体"/>
          <w:rFonts w:ascii="Times New Roman" w:hAnsi="Times New Roman"/>
          <w:b w:val="0"/>
          <w:i w:val="0"/>
          <w:sz w:val="22"/>
        </w:rPr>
        <w:t xml:space="preserve"> 戴泓（J. Michael "JDAM" Dahm）拥有超过 25 年的美国海军情报官履历，曾任美国驻华大使馆助理海军武官。加入米切尔研究所前，他曾在约翰斯·霍普金斯大学应用物理实验室（JHU APL）担任高级研究员，专注于中国军事技术与战术研究 </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Key Publications:</w:t>
      </w:r>
      <w:r>
        <w:rPr>
          <w:rFonts w:eastAsia="宋体"/>
          <w:rFonts w:ascii="Times New Roman" w:hAnsi="Times New Roman"/>
          <w:b w:val="0"/>
          <w:i w:val="0"/>
          <w:sz w:val="22"/>
        </w:rPr>
        <w:t xml:space="preserve"> 《中国空军追踪器》（China Airpower Tracker）的主导分析师；多次就解放军电子战、C4ISR 及台海军事动态向美中经济与安全评估委员会（USCC）提供书面与口头证词。</w:t>
      </w:r>
    </w:p>
    <w:p>
      <w:pPr>
        <w:spacing w:before="0" w:after="80" w:lineRule="auto" w:line="324"/>
        <w:ind w:firstLine="0"/>
        <w:jc w:val="both"/>
      </w:pPr>
      <w:r>
        <w:rPr>
          <w:rFonts w:eastAsia="宋体"/>
          <w:rFonts w:ascii="Times New Roman" w:hAnsi="Times New Roman"/>
          <w:b/>
          <w:i w:val="0"/>
          <w:sz w:val="22"/>
        </w:rPr>
        <w:t>Relevance to Report Themes:</w:t>
      </w:r>
      <w:r>
        <w:rPr>
          <w:rFonts w:eastAsia="宋体"/>
          <w:rFonts w:ascii="Times New Roman" w:hAnsi="Times New Roman"/>
          <w:b w:val="0"/>
          <w:i w:val="0"/>
          <w:sz w:val="22"/>
        </w:rPr>
        <w:t xml:space="preserve"> 戴泓是本报告 RQ2 和 RQ3 的核心人物。基于证据的发现表明，他于 2026 年初对台湾进行了实地考察 </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2"/>
        </w:rPr>
        <w:t>。分析性判断表明，他主导的 OSINT 方法论（结合商业卫星影像与解放军公开文献）为台湾防务部门（如 INDSR）评估解放军前沿机场扩建及歼-6 无人机威胁提供了关键的外部情报支撑。</w:t>
      </w:r>
    </w:p>
    <w:p>
      <w:pPr>
        <w:spacing w:before="0" w:after="80" w:lineRule="auto" w:line="324"/>
        <w:ind w:firstLine="0"/>
        <w:jc w:val="both"/>
      </w:pPr>
      <w:r>
        <w:rPr>
          <w:rFonts w:eastAsia="宋体"/>
          <w:rFonts w:ascii="Times New Roman" w:hAnsi="Times New Roman"/>
          <w:b/>
          <w:i w:val="0"/>
          <w:sz w:val="22"/>
        </w:rPr>
        <w:t>Sources:</w:t>
      </w:r>
      <w:r>
        <w:rPr>
          <w:rFonts w:eastAsia="宋体"/>
          <w:rFonts w:ascii="Times New Roman" w:hAnsi="Times New Roman"/>
          <w:b w:val="0"/>
          <w:i w:val="0"/>
          <w:sz w:val="22"/>
        </w:rPr>
        <w:t xml:space="preserve"> </w:t>
      </w:r>
      <w:r>
        <w:rPr>
          <w:rFonts w:eastAsia="宋体"/>
          <w:rFonts w:ascii="Times New Roman" w:hAnsi="Times New Roman"/>
          <w:b w:val="0"/>
          <w:i w:val="0"/>
          <w:color w:val="323296"/>
          <w:sz w:val="16"/>
          <w:vertAlign w:val="superscript"/>
        </w:rPr>
        <w:t>[6]</w:t>
      </w:r>
      <w:r>
        <w:rPr>
          <w:rFonts w:eastAsia="宋体"/>
          <w:rFonts w:ascii="Times New Roman" w:hAnsi="Times New Roman"/>
          <w:b w:val="0"/>
          <w:i w:val="0"/>
          <w:sz w:val="22"/>
        </w:rPr>
        <w:t xml:space="preserve"> USCC Testimony Records (2023/2024); </w:t>
      </w:r>
      <w:r>
        <w:rPr>
          <w:rFonts w:eastAsia="宋体"/>
          <w:rFonts w:ascii="Times New Roman" w:hAnsi="Times New Roman"/>
          <w:b w:val="0"/>
          <w:i w:val="0"/>
          <w:color w:val="323296"/>
          <w:sz w:val="16"/>
          <w:vertAlign w:val="superscript"/>
        </w:rPr>
        <w:t>[7]</w:t>
      </w:r>
      <w:r>
        <w:rPr>
          <w:rFonts w:eastAsia="宋体"/>
          <w:rFonts w:ascii="Times New Roman" w:hAnsi="Times New Roman"/>
          <w:b w:val="0"/>
          <w:i w:val="0"/>
          <w:sz w:val="22"/>
        </w:rPr>
        <w:t xml:space="preserve"> Mitchell Institute Podcast Records (2026).</w:t>
      </w:r>
    </w:p>
    <w:p>
      <w:pPr>
        <w:spacing w:before="240" w:after="120" w:lineRule="auto" w:line="324"/>
        <w:jc w:val="both"/>
      </w:pPr>
      <w:r>
        <w:rPr>
          <w:rFonts w:eastAsia="黑体"/>
          <w:rFonts w:ascii="Arial" w:hAnsi="Arial"/>
          <w:b/>
          <w:i w:val="0"/>
          <w:color w:val="284682"/>
          <w:sz w:val="26"/>
        </w:rPr>
        <w:t>B.4 Profile of Mark Gunzinger</w:t>
      </w:r>
    </w:p>
    <w:p>
      <w:pPr>
        <w:spacing w:before="0" w:after="80" w:lineRule="auto" w:line="324"/>
        <w:ind w:firstLine="0"/>
        <w:jc w:val="both"/>
      </w:pPr>
      <w:r>
        <w:rPr>
          <w:rFonts w:eastAsia="宋体"/>
          <w:rFonts w:ascii="Times New Roman" w:hAnsi="Times New Roman"/>
          <w:b/>
          <w:i w:val="0"/>
          <w:sz w:val="22"/>
        </w:rPr>
        <w:t>Position:</w:t>
      </w:r>
      <w:r>
        <w:rPr>
          <w:rFonts w:eastAsia="宋体"/>
          <w:rFonts w:ascii="Times New Roman" w:hAnsi="Times New Roman"/>
          <w:b w:val="0"/>
          <w:i w:val="0"/>
          <w:sz w:val="22"/>
        </w:rPr>
        <w:t xml:space="preserve"> Director of Future Concepts and Capability Assessments.</w:t>
      </w:r>
    </w:p>
    <w:p>
      <w:pPr>
        <w:spacing w:before="0" w:after="80" w:lineRule="auto" w:line="324"/>
        <w:ind w:firstLine="0"/>
        <w:jc w:val="both"/>
      </w:pPr>
      <w:r>
        <w:rPr>
          <w:rFonts w:eastAsia="宋体"/>
          <w:rFonts w:ascii="Times New Roman" w:hAnsi="Times New Roman"/>
          <w:b/>
          <w:i w:val="0"/>
          <w:sz w:val="22"/>
        </w:rPr>
        <w:t>Background:</w:t>
      </w:r>
      <w:r>
        <w:rPr>
          <w:rFonts w:eastAsia="宋体"/>
          <w:rFonts w:ascii="Times New Roman" w:hAnsi="Times New Roman"/>
          <w:b w:val="0"/>
          <w:i w:val="0"/>
          <w:sz w:val="22"/>
        </w:rPr>
        <w:t xml:space="preserve"> 冈辛格退役前为美国空军上校，曾担任美国国防部副助理部长（负责部队规划）。在加入米切尔研究所之前，他曾在战略与预算评估中心（CSBA）担任高级研究员 </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Key Publications:</w:t>
      </w:r>
      <w:r>
        <w:rPr>
          <w:rFonts w:eastAsia="宋体"/>
          <w:rFonts w:ascii="Times New Roman" w:hAnsi="Times New Roman"/>
          <w:b w:val="0"/>
          <w:i w:val="0"/>
          <w:sz w:val="22"/>
        </w:rPr>
        <w:t xml:space="preserve"> 《重建美国空军：为大国冲突平衡空军作战力量》（</w:t>
      </w:r>
      <w:r>
        <w:rPr>
          <w:rFonts w:eastAsia="宋体"/>
          <w:rFonts w:ascii="Times New Roman" w:hAnsi="Times New Roman"/>
          <w:b w:val="0"/>
          <w:i/>
          <w:sz w:val="22"/>
        </w:rPr>
        <w:t>Rebuilding American Airpower</w:t>
      </w:r>
      <w:r>
        <w:rPr>
          <w:rFonts w:eastAsia="宋体"/>
          <w:rFonts w:ascii="Times New Roman" w:hAnsi="Times New Roman"/>
          <w:b w:val="0"/>
          <w:i w:val="0"/>
          <w:sz w:val="22"/>
        </w:rPr>
        <w:t>）主笔；多份关于远程穿透打击与弹药库存危机的政策文件。</w:t>
      </w:r>
    </w:p>
    <w:p>
      <w:pPr>
        <w:spacing w:before="0" w:after="80" w:lineRule="auto" w:line="324"/>
        <w:ind w:firstLine="0"/>
        <w:jc w:val="both"/>
      </w:pPr>
      <w:r>
        <w:rPr>
          <w:rFonts w:eastAsia="宋体"/>
          <w:rFonts w:ascii="Times New Roman" w:hAnsi="Times New Roman"/>
          <w:b/>
          <w:i w:val="0"/>
          <w:sz w:val="22"/>
        </w:rPr>
        <w:t>Relevance to Report Themes:</w:t>
      </w:r>
      <w:r>
        <w:rPr>
          <w:rFonts w:eastAsia="宋体"/>
          <w:rFonts w:ascii="Times New Roman" w:hAnsi="Times New Roman"/>
          <w:b w:val="0"/>
          <w:i w:val="0"/>
          <w:sz w:val="22"/>
        </w:rPr>
        <w:t xml:space="preserve"> 冈辛格是美军兵力结构规划的顶尖专家。分析性判断表明，他是米切尔研究所 2025 年台海兵棋推演报告的核心撰稿人。该报告得出“2035 年美军现有规划无法保卫台湾”的结论，并据此强烈主张美国空军必须大规模采购第六代战机（NGAD/F-47）与 B-21 轰炸机。其研究直接服务于研究所赞助商的商业利益与空军的预算扩张诉求 </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Sources:</w:t>
      </w:r>
      <w:r>
        <w:rPr>
          <w:rFonts w:eastAsia="宋体"/>
          <w:rFonts w:ascii="Times New Roman" w:hAnsi="Times New Roman"/>
          <w:b w:val="0"/>
          <w:i w:val="0"/>
          <w:sz w:val="22"/>
        </w:rPr>
        <w:t xml:space="preserve"> </w:t>
      </w:r>
      <w:r>
        <w:rPr>
          <w:rFonts w:eastAsia="宋体"/>
          <w:rFonts w:ascii="Times New Roman" w:hAnsi="Times New Roman"/>
          <w:b w:val="0"/>
          <w:i w:val="0"/>
          <w:color w:val="323296"/>
          <w:sz w:val="16"/>
          <w:vertAlign w:val="superscript"/>
        </w:rPr>
        <w:t>[8]</w:t>
      </w:r>
      <w:r>
        <w:rPr>
          <w:rFonts w:eastAsia="宋体"/>
          <w:rFonts w:ascii="Times New Roman" w:hAnsi="Times New Roman"/>
          <w:b w:val="0"/>
          <w:i w:val="0"/>
          <w:sz w:val="22"/>
        </w:rPr>
        <w:t xml:space="preserve"> Mitchell Institute Official Website; </w:t>
      </w:r>
      <w:r>
        <w:rPr>
          <w:rFonts w:eastAsia="宋体"/>
          <w:rFonts w:ascii="Times New Roman" w:hAnsi="Times New Roman"/>
          <w:b w:val="0"/>
          <w:i w:val="0"/>
          <w:color w:val="323296"/>
          <w:sz w:val="16"/>
          <w:vertAlign w:val="superscript"/>
        </w:rPr>
        <w:t>[9]</w:t>
      </w:r>
      <w:r>
        <w:rPr>
          <w:rFonts w:eastAsia="宋体"/>
          <w:rFonts w:ascii="Times New Roman" w:hAnsi="Times New Roman"/>
          <w:b w:val="0"/>
          <w:i w:val="0"/>
          <w:sz w:val="22"/>
        </w:rPr>
        <w:t xml:space="preserve"> Aviation A2Z / Meta-Defense Reports (April 2026).</w:t>
      </w:r>
    </w:p>
    <w:p>
      <w:pPr>
        <w:spacing w:before="240" w:after="120" w:lineRule="auto" w:line="324"/>
        <w:jc w:val="both"/>
      </w:pPr>
      <w:r>
        <w:rPr>
          <w:rFonts w:eastAsia="黑体"/>
          <w:rFonts w:ascii="Arial" w:hAnsi="Arial"/>
          <w:b/>
          <w:i w:val="0"/>
          <w:color w:val="284682"/>
          <w:sz w:val="26"/>
        </w:rPr>
        <w:t>B.5 Profile of Gen Kevin Chilton, USAF (Ret.)</w:t>
      </w:r>
    </w:p>
    <w:p>
      <w:pPr>
        <w:spacing w:before="0" w:after="80" w:lineRule="auto" w:line="324"/>
        <w:ind w:firstLine="0"/>
        <w:jc w:val="both"/>
      </w:pPr>
      <w:r>
        <w:rPr>
          <w:rFonts w:eastAsia="宋体"/>
          <w:rFonts w:ascii="Times New Roman" w:hAnsi="Times New Roman"/>
          <w:b/>
          <w:i w:val="0"/>
          <w:sz w:val="22"/>
        </w:rPr>
        <w:t>Position:</w:t>
      </w:r>
      <w:r>
        <w:rPr>
          <w:rFonts w:eastAsia="宋体"/>
          <w:rFonts w:ascii="Times New Roman" w:hAnsi="Times New Roman"/>
          <w:b w:val="0"/>
          <w:i w:val="0"/>
          <w:sz w:val="22"/>
        </w:rPr>
        <w:t xml:space="preserve"> Explorer Chair, Mitchell Institute Spacepower Advantage Center of Excellence (MI-SPACE).</w:t>
      </w:r>
    </w:p>
    <w:p>
      <w:pPr>
        <w:spacing w:before="0" w:after="80" w:lineRule="auto" w:line="324"/>
        <w:ind w:firstLine="0"/>
        <w:jc w:val="both"/>
      </w:pPr>
      <w:r>
        <w:rPr>
          <w:rFonts w:eastAsia="宋体"/>
          <w:rFonts w:ascii="Times New Roman" w:hAnsi="Times New Roman"/>
          <w:b/>
          <w:i w:val="0"/>
          <w:sz w:val="22"/>
        </w:rPr>
        <w:t>Background:</w:t>
      </w:r>
      <w:r>
        <w:rPr>
          <w:rFonts w:eastAsia="宋体"/>
          <w:rFonts w:ascii="Times New Roman" w:hAnsi="Times New Roman"/>
          <w:b w:val="0"/>
          <w:i w:val="0"/>
          <w:sz w:val="22"/>
        </w:rPr>
        <w:t xml:space="preserve"> 奇尔顿退役前为美国空军上将，曾担任美国战略司令部（USSTRATCOM）司令，负责监督美国核武库、太空作战及全球打击网络。基于证据的发现表明，他早年曾作为 NASA 宇航员执行过三次航天飞机任务 </w:t>
      </w:r>
      <w:r>
        <w:rPr>
          <w:rFonts w:eastAsia="宋体"/>
          <w:rFonts w:ascii="Times New Roman" w:hAnsi="Times New Roman"/>
          <w:b w:val="0"/>
          <w:i w:val="0"/>
          <w:color w:val="323296"/>
          <w:sz w:val="16"/>
          <w:vertAlign w:val="superscript"/>
        </w:rPr>
        <w:t>[10]</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Key Publications:</w:t>
      </w:r>
      <w:r>
        <w:rPr>
          <w:rFonts w:eastAsia="宋体"/>
          <w:rFonts w:ascii="Times New Roman" w:hAnsi="Times New Roman"/>
          <w:b w:val="0"/>
          <w:i w:val="0"/>
          <w:sz w:val="22"/>
        </w:rPr>
        <w:t xml:space="preserve"> 主持“史里弗太空力量系列论坛”（Schriever Spacepower Series）；发表关于动态太空作战（Dynamic Space Operations）的政策简报。</w:t>
      </w:r>
    </w:p>
    <w:p>
      <w:pPr>
        <w:spacing w:before="0" w:after="80" w:lineRule="auto" w:line="324"/>
        <w:ind w:firstLine="0"/>
        <w:jc w:val="both"/>
      </w:pPr>
      <w:r>
        <w:rPr>
          <w:rFonts w:eastAsia="宋体"/>
          <w:rFonts w:ascii="Times New Roman" w:hAnsi="Times New Roman"/>
          <w:b/>
          <w:i w:val="0"/>
          <w:sz w:val="22"/>
        </w:rPr>
        <w:t>Relevance to Report Themes:</w:t>
      </w:r>
      <w:r>
        <w:rPr>
          <w:rFonts w:eastAsia="宋体"/>
          <w:rFonts w:ascii="Times New Roman" w:hAnsi="Times New Roman"/>
          <w:b w:val="0"/>
          <w:i w:val="0"/>
          <w:sz w:val="22"/>
        </w:rPr>
        <w:t xml:space="preserve"> 奇尔顿的加盟确立了米切尔研究所在太空军（USSF）政策领域的权威地位。分析性判断表明，随着台海冲突想定日益向多域战（MDO）演进，奇尔顿领导的 MI-SPACE 中心在评估解放军太空/反太空能力，以及论证美国/台湾在冲突中维持卫星通信与 ISR 韧性方面，扮演着关键的政策倡导角色 </w:t>
      </w:r>
      <w:r>
        <w:rPr>
          <w:rFonts w:eastAsia="宋体"/>
          <w:rFonts w:ascii="Times New Roman" w:hAnsi="Times New Roman"/>
          <w:b w:val="0"/>
          <w:i w:val="0"/>
          <w:color w:val="323296"/>
          <w:sz w:val="16"/>
          <w:vertAlign w:val="superscript"/>
        </w:rPr>
        <w:t>[11]</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Sources:</w:t>
      </w:r>
      <w:r>
        <w:rPr>
          <w:rFonts w:eastAsia="宋体"/>
          <w:rFonts w:ascii="Times New Roman" w:hAnsi="Times New Roman"/>
          <w:b w:val="0"/>
          <w:i w:val="0"/>
          <w:sz w:val="22"/>
        </w:rPr>
        <w:t xml:space="preserve"> </w:t>
      </w:r>
      <w:r>
        <w:rPr>
          <w:rFonts w:eastAsia="宋体"/>
          <w:rFonts w:ascii="Times New Roman" w:hAnsi="Times New Roman"/>
          <w:b w:val="0"/>
          <w:i w:val="0"/>
          <w:color w:val="323296"/>
          <w:sz w:val="16"/>
          <w:vertAlign w:val="superscript"/>
        </w:rPr>
        <w:t>[10]</w:t>
      </w:r>
      <w:r>
        <w:rPr>
          <w:rFonts w:eastAsia="宋体"/>
          <w:rFonts w:ascii="Times New Roman" w:hAnsi="Times New Roman"/>
          <w:b w:val="0"/>
          <w:i w:val="0"/>
          <w:sz w:val="22"/>
        </w:rPr>
        <w:t xml:space="preserve"> USAF Official Biography; </w:t>
      </w:r>
      <w:r>
        <w:rPr>
          <w:rFonts w:eastAsia="宋体"/>
          <w:rFonts w:ascii="Times New Roman" w:hAnsi="Times New Roman"/>
          <w:b w:val="0"/>
          <w:i w:val="0"/>
          <w:color w:val="323296"/>
          <w:sz w:val="16"/>
          <w:vertAlign w:val="superscript"/>
        </w:rPr>
        <w:t>[11]</w:t>
      </w:r>
      <w:r>
        <w:rPr>
          <w:rFonts w:eastAsia="宋体"/>
          <w:rFonts w:ascii="Times New Roman" w:hAnsi="Times New Roman"/>
          <w:b w:val="0"/>
          <w:i w:val="0"/>
          <w:sz w:val="22"/>
        </w:rPr>
        <w:t xml:space="preserve"> Mitchell Institute MI-SPACE Webpage.</w:t>
      </w:r>
    </w:p>
    <w:p>
      <w:pPr>
        <w:spacing w:before="240" w:after="120" w:lineRule="auto" w:line="324"/>
        <w:jc w:val="both"/>
      </w:pPr>
      <w:r>
        <w:rPr>
          <w:rFonts w:eastAsia="黑体"/>
          <w:rFonts w:ascii="Arial" w:hAnsi="Arial"/>
          <w:b/>
          <w:i w:val="0"/>
          <w:color w:val="284682"/>
          <w:sz w:val="26"/>
        </w:rPr>
        <w:t>B.6 Profile of Larry Stutzriem, Maj Gen (Ret.)</w:t>
      </w:r>
    </w:p>
    <w:p>
      <w:pPr>
        <w:spacing w:before="0" w:after="80" w:lineRule="auto" w:line="324"/>
        <w:ind w:firstLine="0"/>
        <w:jc w:val="both"/>
      </w:pPr>
      <w:r>
        <w:rPr>
          <w:rFonts w:eastAsia="宋体"/>
          <w:rFonts w:ascii="Times New Roman" w:hAnsi="Times New Roman"/>
          <w:b/>
          <w:i w:val="0"/>
          <w:sz w:val="22"/>
        </w:rPr>
        <w:t>Position:</w:t>
      </w:r>
      <w:r>
        <w:rPr>
          <w:rFonts w:eastAsia="宋体"/>
          <w:rFonts w:ascii="Times New Roman" w:hAnsi="Times New Roman"/>
          <w:b w:val="0"/>
          <w:i w:val="0"/>
          <w:sz w:val="22"/>
        </w:rPr>
        <w:t xml:space="preserve"> Director of Research.</w:t>
      </w:r>
    </w:p>
    <w:p>
      <w:pPr>
        <w:spacing w:before="0" w:after="80" w:lineRule="auto" w:line="324"/>
        <w:ind w:firstLine="0"/>
        <w:jc w:val="both"/>
      </w:pPr>
      <w:r>
        <w:rPr>
          <w:rFonts w:eastAsia="宋体"/>
          <w:rFonts w:ascii="Times New Roman" w:hAnsi="Times New Roman"/>
          <w:b/>
          <w:i w:val="0"/>
          <w:sz w:val="22"/>
        </w:rPr>
        <w:t>Background:</w:t>
      </w:r>
      <w:r>
        <w:rPr>
          <w:rFonts w:eastAsia="宋体"/>
          <w:rFonts w:ascii="Times New Roman" w:hAnsi="Times New Roman"/>
          <w:b w:val="0"/>
          <w:i w:val="0"/>
          <w:sz w:val="22"/>
        </w:rPr>
        <w:t xml:space="preserve"> 斯图茨里姆退役前为美国空军少将，拥有丰富的作战指挥与参谋经验。</w:t>
      </w:r>
    </w:p>
    <w:p>
      <w:pPr>
        <w:spacing w:before="0" w:after="80" w:lineRule="auto" w:line="324"/>
        <w:ind w:firstLine="0"/>
        <w:jc w:val="both"/>
      </w:pPr>
      <w:r>
        <w:rPr>
          <w:rFonts w:eastAsia="宋体"/>
          <w:rFonts w:ascii="Times New Roman" w:hAnsi="Times New Roman"/>
          <w:b/>
          <w:i w:val="0"/>
          <w:sz w:val="22"/>
        </w:rPr>
        <w:t>Key Publications:</w:t>
      </w:r>
      <w:r>
        <w:rPr>
          <w:rFonts w:eastAsia="宋体"/>
          <w:rFonts w:ascii="Times New Roman" w:hAnsi="Times New Roman"/>
          <w:b w:val="0"/>
          <w:i w:val="0"/>
          <w:sz w:val="22"/>
        </w:rPr>
        <w:t xml:space="preserve"> 负责统筹与审核米切尔研究所发布的所有 Policy Papers 与 Forum Papers，较少以第一作者身份发表独立专著，主要承担研究议程的把关工作 </w:t>
      </w:r>
      <w:r>
        <w:rPr>
          <w:rFonts w:eastAsia="宋体"/>
          <w:rFonts w:ascii="Times New Roman" w:hAnsi="Times New Roman"/>
          <w:b w:val="0"/>
          <w:i w:val="0"/>
          <w:color w:val="323296"/>
          <w:sz w:val="16"/>
          <w:vertAlign w:val="superscript"/>
        </w:rPr>
        <w:t>[12]</w:t>
      </w:r>
      <w:r>
        <w:rPr>
          <w:rFonts w:eastAsia="宋体"/>
          <w:rFonts w:ascii="Times New Roman" w:hAnsi="Times New Roman"/>
          <w:b w:val="0"/>
          <w:i w:val="0"/>
          <w:sz w:val="22"/>
        </w:rPr>
        <w:t>。</w:t>
      </w:r>
    </w:p>
    <w:p>
      <w:pPr>
        <w:spacing w:before="0" w:after="80" w:lineRule="auto" w:line="324"/>
        <w:ind w:firstLine="0"/>
        <w:jc w:val="both"/>
      </w:pPr>
      <w:r>
        <w:rPr>
          <w:rFonts w:eastAsia="宋体"/>
          <w:rFonts w:ascii="Times New Roman" w:hAnsi="Times New Roman"/>
          <w:b/>
          <w:i w:val="0"/>
          <w:sz w:val="22"/>
        </w:rPr>
        <w:t>Relevance to Report Themes:</w:t>
      </w:r>
      <w:r>
        <w:rPr>
          <w:rFonts w:eastAsia="宋体"/>
          <w:rFonts w:ascii="Times New Roman" w:hAnsi="Times New Roman"/>
          <w:b w:val="0"/>
          <w:i w:val="0"/>
          <w:sz w:val="22"/>
        </w:rPr>
        <w:t xml:space="preserve"> 作为研究运营总管，斯图茨里姆负责确保研究所的产出在学术规范与政策倡导之间保持平衡。分析性判断表明，他主导了研究所在台海兵推、OSINT 报告发布等重大项目上的内部质量控制，确保这些产品能够精准契合美国国防授权法案（NDAA）的预算审议周期，从而最大化机构的政治影响力。</w:t>
      </w:r>
    </w:p>
    <w:p>
      <w:pPr>
        <w:spacing w:before="0" w:after="80" w:lineRule="auto" w:line="324"/>
        <w:ind w:firstLine="0"/>
        <w:jc w:val="both"/>
      </w:pPr>
      <w:r>
        <w:rPr>
          <w:rFonts w:eastAsia="宋体"/>
          <w:rFonts w:ascii="Times New Roman" w:hAnsi="Times New Roman"/>
          <w:b/>
          <w:i w:val="0"/>
          <w:sz w:val="22"/>
        </w:rPr>
        <w:t>Sources:</w:t>
      </w:r>
      <w:r>
        <w:rPr>
          <w:rFonts w:eastAsia="宋体"/>
          <w:rFonts w:ascii="Times New Roman" w:hAnsi="Times New Roman"/>
          <w:b w:val="0"/>
          <w:i w:val="0"/>
          <w:sz w:val="22"/>
        </w:rPr>
        <w:t xml:space="preserve"> </w:t>
      </w:r>
      <w:r>
        <w:rPr>
          <w:rFonts w:eastAsia="宋体"/>
          <w:rFonts w:ascii="Times New Roman" w:hAnsi="Times New Roman"/>
          <w:b w:val="0"/>
          <w:i w:val="0"/>
          <w:color w:val="323296"/>
          <w:sz w:val="16"/>
          <w:vertAlign w:val="superscript"/>
        </w:rPr>
        <w:t>[12]</w:t>
      </w:r>
      <w:r>
        <w:rPr>
          <w:rFonts w:eastAsia="宋体"/>
          <w:rFonts w:ascii="Times New Roman" w:hAnsi="Times New Roman"/>
          <w:b w:val="0"/>
          <w:i w:val="0"/>
          <w:sz w:val="22"/>
        </w:rPr>
        <w:t xml:space="preserve"> Mitchell Institute Official Website.</w:t>
      </w:r>
    </w:p>
    <w:p>
      <w:pPr>
        <w:spacing w:before="0" w:after="60" w:lineRule="auto" w:line="324"/>
        <w:ind w:firstLine="170"/>
        <w:jc w:val="both"/>
      </w:pPr>
      <w:r>
        <w:rPr>
          <w:rFonts w:eastAsia="宋体"/>
          <w:rFonts w:ascii="Times New Roman" w:hAnsi="Times New Roman"/>
          <w:b w:val="0"/>
          <w:i w:val="0"/>
          <w:sz w:val="20"/>
        </w:rPr>
        <w:t xml:space="preserve">█ </w:t>
      </w:r>
      <w:r>
        <w:rPr>
          <w:rFonts w:eastAsia="宋体"/>
          <w:rFonts w:ascii="Times New Roman" w:hAnsi="Times New Roman"/>
          <w:b/>
          <w:i w:val="0"/>
          <w:sz w:val="20"/>
        </w:rPr>
        <w:t>Key Findings of Appendix B</w:t>
      </w:r>
    </w:p>
    <w:p>
      <w:pPr>
        <w:spacing w:before="0" w:after="60" w:lineRule="auto" w:line="324"/>
        <w:ind w:firstLine="170"/>
        <w:jc w:val="both"/>
      </w:pPr>
      <w:r>
        <w:rPr>
          <w:rFonts w:eastAsia="宋体"/>
          <w:rFonts w:ascii="Times New Roman" w:hAnsi="Times New Roman"/>
          <w:b w:val="0"/>
          <w:i w:val="0"/>
          <w:sz w:val="20"/>
        </w:rPr>
        <w:t>1. 米切尔研究所的核心团队呈现高度同质化的“退役高级将领 + 前线作战人员 + 资深情报官”结构，这赋予了其产品极高的战术专业性与军方内部人脉。</w:t>
      </w:r>
    </w:p>
    <w:p>
      <w:pPr>
        <w:spacing w:before="0" w:after="60" w:lineRule="auto" w:line="324"/>
        <w:ind w:firstLine="170"/>
        <w:jc w:val="both"/>
      </w:pPr>
      <w:r>
        <w:rPr>
          <w:rFonts w:eastAsia="宋体"/>
          <w:rFonts w:ascii="Times New Roman" w:hAnsi="Times New Roman"/>
          <w:b w:val="0"/>
          <w:i w:val="0"/>
          <w:sz w:val="20"/>
        </w:rPr>
        <w:t>2. J. Michael Dahm 与 Heather Penney 构成了该机构涉台情报分析与对台二轨交流的“前台组合”，其 2026 年的访台活动凸显了智库在美台防务互动中的中介作用。</w:t>
      </w:r>
    </w:p>
    <w:p>
      <w:pPr>
        <w:spacing w:before="0" w:after="60" w:lineRule="auto" w:line="324"/>
        <w:ind w:firstLine="170"/>
        <w:jc w:val="both"/>
      </w:pPr>
      <w:r>
        <w:rPr>
          <w:rFonts w:eastAsia="宋体"/>
          <w:rFonts w:ascii="Times New Roman" w:hAnsi="Times New Roman"/>
          <w:b w:val="0"/>
          <w:i w:val="0"/>
          <w:sz w:val="20"/>
        </w:rPr>
        <w:t>3. David Deptula 与 Mark Gunzinger 的履历与产出表明，该机构的研究议程与美国军工复合体（特别是波音、诺格等航空航天巨头）的采办利益存在深度的结构性绑定。</w:t>
      </w:r>
    </w:p>
    <w:p>
      <w:pPr>
        <w:jc w:val="center"/>
      </w:pPr>
      <w:r>
        <w:rPr>
          <w:rFonts w:eastAsia="宋体"/>
          <w:rFonts w:ascii="Times New Roman" w:hAnsi="Times New Roman"/>
          <w:b w:val="0"/>
          <w:i w:val="0"/>
          <w:color w:val="A0A0A0"/>
          <w:sz w:val="22"/>
        </w:rPr>
        <w:t>─────────────────────────</w:t>
      </w:r>
    </w:p>
    <w:p>
      <w:pPr>
        <w:spacing w:before="0" w:after="80" w:lineRule="auto" w:line="324"/>
        <w:ind w:firstLine="0"/>
        <w:jc w:val="both"/>
      </w:pPr>
      <w:r>
        <w:rPr>
          <w:rFonts w:eastAsia="宋体"/>
          <w:rFonts w:ascii="Times New Roman" w:hAnsi="Times New Roman"/>
          <w:b/>
          <w:i w:val="0"/>
          <w:sz w:val="22"/>
        </w:rPr>
        <w:t>References</w:t>
      </w:r>
    </w:p>
    <w:p>
      <w:pPr>
        <w:spacing w:before="0" w:after="80" w:lineRule="auto" w:line="324"/>
        <w:ind w:firstLine="0"/>
        <w:jc w:val="both"/>
      </w:pPr>
      <w:r>
        <w:rPr>
          <w:rFonts w:eastAsia="宋体"/>
          <w:rFonts w:ascii="Times New Roman" w:hAnsi="Times New Roman"/>
          <w:b w:val="0"/>
          <w:i w:val="0"/>
          <w:sz w:val="22"/>
        </w:rPr>
        <w:t>19FortyFive. 2026. "A Wargame Just Showed the U.S. Losing Taiwan to China by 2035. The U.S. Air Force Doesn't Have Enough Planes to Stop It." April 12. https://www.19fortyfive.com/2026/04/a-wargame-just-showed-the-u-s-losing-taiwan-to-china-by-2035/</w:t>
      </w:r>
    </w:p>
    <w:p>
      <w:pPr>
        <w:spacing w:before="0" w:after="80" w:lineRule="auto" w:line="324"/>
        <w:ind w:firstLine="0"/>
        <w:jc w:val="both"/>
      </w:pPr>
      <w:r>
        <w:rPr>
          <w:rFonts w:eastAsia="宋体"/>
          <w:rFonts w:ascii="Times New Roman" w:hAnsi="Times New Roman"/>
          <w:b w:val="0"/>
          <w:i w:val="0"/>
          <w:sz w:val="22"/>
        </w:rPr>
        <w:t>Air &amp; Space Forces Association (AFA). 2024. "AFA Launches ‘Mission Membership’ to Reach Goal of 1 Million Members." Air &amp; Space Forces Association. https://www.afa.org/afa-launches-mission-membership-to-reach-goal-of-1-million-members/</w:t>
      </w:r>
    </w:p>
    <w:p>
      <w:pPr>
        <w:spacing w:before="0" w:after="80" w:lineRule="auto" w:line="324"/>
        <w:ind w:firstLine="0"/>
        <w:jc w:val="both"/>
      </w:pPr>
      <w:r>
        <w:rPr>
          <w:rFonts w:eastAsia="宋体"/>
          <w:rFonts w:ascii="Times New Roman" w:hAnsi="Times New Roman"/>
          <w:b w:val="0"/>
          <w:i w:val="0"/>
          <w:sz w:val="22"/>
        </w:rPr>
        <w:t>Air &amp; Space Forces Association (AFA). 2025. "Air, Space &amp; Cyber Conference 2025." Air &amp; Space Forces Association. https://www.afa.org/air-space-cyber-conference/</w:t>
      </w:r>
    </w:p>
    <w:p>
      <w:pPr>
        <w:spacing w:before="0" w:after="80" w:lineRule="auto" w:line="324"/>
        <w:ind w:firstLine="0"/>
        <w:jc w:val="both"/>
      </w:pPr>
      <w:r>
        <w:rPr>
          <w:rFonts w:eastAsia="宋体"/>
          <w:rFonts w:ascii="Times New Roman" w:hAnsi="Times New Roman"/>
          <w:b w:val="0"/>
          <w:i w:val="0"/>
          <w:sz w:val="22"/>
        </w:rPr>
        <w:t>Air &amp; Space Forces Magazine. 2026. "New Wargame Assessed USAF Force Mixes for a China Fight." April 10. https://www.airandspaceforces.com/new-wargame-force-mix-usaf-china-fight/</w:t>
      </w:r>
    </w:p>
    <w:p>
      <w:pPr>
        <w:spacing w:before="0" w:after="80" w:lineRule="auto" w:line="324"/>
        <w:ind w:firstLine="0"/>
        <w:jc w:val="both"/>
      </w:pPr>
      <w:r>
        <w:rPr>
          <w:rFonts w:eastAsia="宋体"/>
          <w:rFonts w:ascii="Times New Roman" w:hAnsi="Times New Roman"/>
          <w:b w:val="0"/>
          <w:i w:val="0"/>
          <w:sz w:val="22"/>
        </w:rPr>
        <w:t>American Institute in Taiwan (AIT). 2026. "Speech by AIT Director Raymond Greene at INDSR Seminar." January 15. https://www.ait.org.tw/speech-by-ait-dir-greene-at-indsr-seminar/</w:t>
      </w:r>
    </w:p>
    <w:p>
      <w:pPr>
        <w:spacing w:before="0" w:after="80" w:lineRule="auto" w:line="324"/>
        <w:ind w:firstLine="0"/>
        <w:jc w:val="both"/>
      </w:pPr>
      <w:r>
        <w:rPr>
          <w:rFonts w:eastAsia="宋体"/>
          <w:rFonts w:ascii="Times New Roman" w:hAnsi="Times New Roman"/>
          <w:b w:val="0"/>
          <w:i w:val="0"/>
          <w:sz w:val="22"/>
        </w:rPr>
        <w:t>Aviation Week. 2026. "Mitchell Institute Wargame Highlights Need for CCA and B-21s in Indo-Pacific." April 15. https://aviationweek.com/defense-space/mitchell-institute-wargame-highlights-need-cca-and-b-21s</w:t>
      </w:r>
    </w:p>
    <w:p>
      <w:pPr>
        <w:spacing w:before="0" w:after="80" w:lineRule="auto" w:line="324"/>
        <w:ind w:firstLine="0"/>
        <w:jc w:val="both"/>
      </w:pPr>
      <w:r>
        <w:rPr>
          <w:rFonts w:eastAsia="宋体"/>
          <w:rFonts w:ascii="Times New Roman" w:hAnsi="Times New Roman"/>
          <w:b w:val="0"/>
          <w:i w:val="0"/>
          <w:sz w:val="22"/>
        </w:rPr>
        <w:t>Bellingcat. 2023. "Bellingcat's Online Investigation Toolkit." Bellingcat. https://www.bellingcat.com/resources/2023/01/01/bellingcats-online-investigation-toolkit/</w:t>
      </w:r>
    </w:p>
    <w:p>
      <w:pPr>
        <w:spacing w:before="0" w:after="80" w:lineRule="auto" w:line="324"/>
        <w:ind w:firstLine="0"/>
        <w:jc w:val="both"/>
      </w:pPr>
      <w:r>
        <w:rPr>
          <w:rFonts w:eastAsia="宋体"/>
          <w:rFonts w:ascii="Times New Roman" w:hAnsi="Times New Roman"/>
          <w:b w:val="0"/>
          <w:i w:val="0"/>
          <w:sz w:val="22"/>
        </w:rPr>
        <w:t>Cancian, Mark F., Matthew Cancian, and Eric Heginbotham. 2023. "The First Battle of the Next War: Wargaming a Chinese Invasion of Taiwan." Center for Strategic and International Studies (CSIS). https://www.csis.org/analysis/first-battle-next-war-wargaming-chinese-invasion-taiwan</w:t>
      </w:r>
    </w:p>
    <w:p>
      <w:pPr>
        <w:spacing w:before="0" w:after="80" w:lineRule="auto" w:line="324"/>
        <w:ind w:firstLine="0"/>
        <w:jc w:val="both"/>
      </w:pPr>
      <w:r>
        <w:rPr>
          <w:rFonts w:eastAsia="宋体"/>
          <w:rFonts w:ascii="Times New Roman" w:hAnsi="Times New Roman"/>
          <w:b w:val="0"/>
          <w:i w:val="0"/>
          <w:sz w:val="22"/>
        </w:rPr>
        <w:t>Charity Navigator. 2026. "Rating for Mitchell Institute / Air &amp; Space Forces Association." Charity Navigator. https://www.charitynavigator.org/ein/526043929</w:t>
      </w:r>
    </w:p>
    <w:p>
      <w:pPr>
        <w:spacing w:before="0" w:after="80" w:lineRule="auto" w:line="324"/>
        <w:ind w:firstLine="0"/>
        <w:jc w:val="both"/>
      </w:pPr>
      <w:r>
        <w:rPr>
          <w:rFonts w:eastAsia="宋体"/>
          <w:rFonts w:ascii="Times New Roman" w:hAnsi="Times New Roman"/>
          <w:b w:val="0"/>
          <w:i w:val="0"/>
          <w:sz w:val="22"/>
        </w:rPr>
        <w:t>China Aerospace Studies Institute (CASI). 2025. "PLA Aerospace Power: A Primer on Trends and Capabilities." Air University. https://www.airuniversity.af.edu/CASI/</w:t>
      </w:r>
    </w:p>
    <w:p>
      <w:pPr>
        <w:spacing w:before="0" w:after="80" w:lineRule="auto" w:line="324"/>
        <w:ind w:firstLine="0"/>
        <w:jc w:val="both"/>
      </w:pPr>
      <w:r>
        <w:rPr>
          <w:rFonts w:eastAsia="宋体"/>
          <w:rFonts w:ascii="Times New Roman" w:hAnsi="Times New Roman"/>
          <w:b w:val="0"/>
          <w:i w:val="0"/>
          <w:sz w:val="22"/>
        </w:rPr>
        <w:t>China Maritime Studies Institute (CMSI). 2024. "PLA Navy Modernization and Force Structure." U.S. Naval War College. https://usnwc.edu/Research-and-Wargaming/Research-Centers/China-Maritime-Studies-Institute</w:t>
      </w:r>
    </w:p>
    <w:p>
      <w:pPr>
        <w:spacing w:before="0" w:after="80" w:lineRule="auto" w:line="324"/>
        <w:ind w:firstLine="0"/>
        <w:jc w:val="both"/>
      </w:pPr>
      <w:r>
        <w:rPr>
          <w:rFonts w:eastAsia="宋体"/>
          <w:rFonts w:ascii="Times New Roman" w:hAnsi="Times New Roman"/>
          <w:b w:val="0"/>
          <w:i w:val="0"/>
          <w:sz w:val="22"/>
        </w:rPr>
        <w:t>CSIS ChinaPower Project. 2026. "Tracking China's Military Modernization." Center for Strategic and International Studies. https://chinapower.csis.org/military/</w:t>
      </w:r>
    </w:p>
    <w:p>
      <w:pPr>
        <w:spacing w:before="0" w:after="80" w:lineRule="auto" w:line="324"/>
        <w:ind w:firstLine="0"/>
        <w:jc w:val="both"/>
      </w:pPr>
      <w:r>
        <w:rPr>
          <w:rFonts w:eastAsia="宋体"/>
          <w:rFonts w:ascii="Times New Roman" w:hAnsi="Times New Roman"/>
          <w:b w:val="0"/>
          <w:i w:val="0"/>
          <w:sz w:val="22"/>
        </w:rPr>
        <w:t>Dahm, J. Michael. 2024. "Hearing on China's Strategic Aims: Statement Before the U.S.-China Economic and Security Review Commission." March 8. U.S.-China Economic and Security Review Commission. https://www.uscc.gov/sites/default/files/2024-03/J.Michael_Dahm_Testimony.pdf</w:t>
      </w:r>
    </w:p>
    <w:p>
      <w:pPr>
        <w:spacing w:before="0" w:after="80" w:lineRule="auto" w:line="324"/>
        <w:ind w:firstLine="0"/>
        <w:jc w:val="both"/>
      </w:pPr>
      <w:r>
        <w:rPr>
          <w:rFonts w:eastAsia="宋体"/>
          <w:rFonts w:ascii="Times New Roman" w:hAnsi="Times New Roman"/>
          <w:b w:val="0"/>
          <w:i w:val="0"/>
          <w:sz w:val="22"/>
        </w:rPr>
        <w:t>Deptula, David A. 2026. "The 2026 Air Force Readiness Crisis: Billions Needed Now." Mitchell Institute for Aerospace Studies. https://www.mitchellaerospacepower.org/the-2026-air-force-readiness-crisis</w:t>
      </w:r>
    </w:p>
    <w:p>
      <w:pPr>
        <w:spacing w:before="0" w:after="80" w:lineRule="auto" w:line="324"/>
        <w:ind w:firstLine="0"/>
        <w:jc w:val="both"/>
      </w:pPr>
      <w:r>
        <w:rPr>
          <w:rFonts w:eastAsia="宋体"/>
          <w:rFonts w:ascii="Times New Roman" w:hAnsi="Times New Roman"/>
          <w:b w:val="0"/>
          <w:i w:val="0"/>
          <w:sz w:val="22"/>
        </w:rPr>
        <w:t>European Space Agency (ESA). 2025. "Sentinel Data Policy and Access." Copernicus Open Access Hub. https://scihub.copernicus.eu/</w:t>
      </w:r>
    </w:p>
    <w:p>
      <w:pPr>
        <w:spacing w:before="0" w:after="80" w:lineRule="auto" w:line="324"/>
        <w:ind w:firstLine="0"/>
        <w:jc w:val="both"/>
      </w:pPr>
      <w:r>
        <w:rPr>
          <w:rFonts w:eastAsia="宋体"/>
          <w:rFonts w:ascii="Times New Roman" w:hAnsi="Times New Roman"/>
          <w:b w:val="0"/>
          <w:i w:val="0"/>
          <w:sz w:val="22"/>
        </w:rPr>
        <w:t>Focus Taiwan. 2025a. "Taiwan intelligence agency warns of RedNote, Douyin data breaches." July 2. https://focustaiwan.tw/cross-strait/202507020006</w:t>
      </w:r>
    </w:p>
    <w:p>
      <w:pPr>
        <w:spacing w:before="0" w:after="80" w:lineRule="auto" w:line="324"/>
        <w:ind w:firstLine="0"/>
        <w:jc w:val="both"/>
      </w:pPr>
      <w:r>
        <w:rPr>
          <w:rFonts w:eastAsia="宋体"/>
          <w:rFonts w:ascii="Times New Roman" w:hAnsi="Times New Roman"/>
          <w:b w:val="0"/>
          <w:i w:val="0"/>
          <w:sz w:val="22"/>
        </w:rPr>
        <w:t>Focus Taiwan. 2025b. "Taiwan military denies alleged meetings with Dutch intelligence made public by China." December 3. https://focustaiwan.tw/politics/202512030013</w:t>
      </w:r>
    </w:p>
    <w:p>
      <w:pPr>
        <w:spacing w:before="0" w:after="80" w:lineRule="auto" w:line="324"/>
        <w:ind w:firstLine="0"/>
        <w:jc w:val="both"/>
      </w:pPr>
      <w:r>
        <w:rPr>
          <w:rFonts w:eastAsia="宋体"/>
          <w:rFonts w:ascii="Times New Roman" w:hAnsi="Times New Roman"/>
          <w:b w:val="0"/>
          <w:i w:val="0"/>
          <w:sz w:val="22"/>
        </w:rPr>
        <w:t>Freeman, Ben. 2023. "Think tank to Air Force: Buy hundreds of our donors' warplanes." Responsible Statecraft. https://responsiblestatecraft.org/mitchell-institute/</w:t>
      </w:r>
    </w:p>
    <w:p>
      <w:pPr>
        <w:spacing w:before="0" w:after="80" w:lineRule="auto" w:line="324"/>
        <w:ind w:firstLine="0"/>
        <w:jc w:val="both"/>
      </w:pPr>
      <w:r>
        <w:rPr>
          <w:rFonts w:eastAsia="宋体"/>
          <w:rFonts w:ascii="Times New Roman" w:hAnsi="Times New Roman"/>
          <w:b w:val="0"/>
          <w:i w:val="0"/>
          <w:sz w:val="22"/>
        </w:rPr>
        <w:t>Gunzinger, Mark. 2026. "Rebuilding American Airpower: Balancing the Air Force’s Combat Forces for Peer Conflict." Mitchell Institute for Aerospace Studies. https://www.mitchellaerospacepower.org/rebuilding-american-airpower/</w:t>
      </w:r>
    </w:p>
    <w:p>
      <w:pPr>
        <w:spacing w:before="0" w:after="80" w:lineRule="auto" w:line="324"/>
        <w:ind w:firstLine="0"/>
        <w:jc w:val="both"/>
      </w:pPr>
      <w:r>
        <w:rPr>
          <w:rFonts w:eastAsia="宋体"/>
          <w:rFonts w:ascii="Times New Roman" w:hAnsi="Times New Roman"/>
          <w:b w:val="0"/>
          <w:i w:val="0"/>
          <w:sz w:val="22"/>
        </w:rPr>
        <w:t>Institute for National Defense and Security Research (INDSR). 2025. "2025 Taipei Security Dialogue: Indo-Pacific Security under Great Power Competition." INDSR. https://indsr.org.tw/en/events/taipei-security-dialogue-2025</w:t>
      </w:r>
    </w:p>
    <w:p>
      <w:pPr>
        <w:spacing w:before="0" w:after="80" w:lineRule="auto" w:line="324"/>
        <w:ind w:firstLine="0"/>
        <w:jc w:val="both"/>
      </w:pPr>
      <w:r>
        <w:rPr>
          <w:rFonts w:eastAsia="宋体"/>
          <w:rFonts w:ascii="Times New Roman" w:hAnsi="Times New Roman"/>
          <w:b w:val="0"/>
          <w:i w:val="0"/>
          <w:sz w:val="22"/>
        </w:rPr>
        <w:t>Institute for National Defense and Security Research (INDSR). 2026. "Defense Security Brief: Assessing the PLA's Unmanned Aerial Vehicle Deployments." INDSR. https://indsr.org.tw/respublicationcon?uid=12&amp;resid=3062</w:t>
      </w:r>
    </w:p>
    <w:p>
      <w:pPr>
        <w:spacing w:before="0" w:after="80" w:lineRule="auto" w:line="324"/>
        <w:ind w:firstLine="0"/>
        <w:jc w:val="both"/>
      </w:pPr>
      <w:r>
        <w:rPr>
          <w:rFonts w:eastAsia="宋体"/>
          <w:rFonts w:ascii="Times New Roman" w:hAnsi="Times New Roman"/>
          <w:b w:val="0"/>
          <w:i w:val="0"/>
          <w:sz w:val="22"/>
        </w:rPr>
        <w:t>Internal Revenue Service (IRS). 2024. "About Form 990, Return of Organization Exempt from Income Tax." Internal Revenue Service. https://www.irs.gov/forms-pubs/about-form-990</w:t>
      </w:r>
    </w:p>
    <w:p>
      <w:pPr>
        <w:spacing w:before="0" w:after="80" w:lineRule="auto" w:line="324"/>
        <w:ind w:firstLine="0"/>
        <w:jc w:val="both"/>
      </w:pPr>
      <w:r>
        <w:rPr>
          <w:rFonts w:eastAsia="宋体"/>
          <w:rFonts w:ascii="Times New Roman" w:hAnsi="Times New Roman"/>
          <w:b w:val="0"/>
          <w:i w:val="0"/>
          <w:sz w:val="22"/>
        </w:rPr>
        <w:t>International Institute for Strategic Studies (IISS). 2026. "The Military Balance 2026." London: Routledge. https://www.iiss.org/publications/the-military-balance/</w:t>
      </w:r>
    </w:p>
    <w:p>
      <w:pPr>
        <w:spacing w:before="0" w:after="80" w:lineRule="auto" w:line="324"/>
        <w:ind w:firstLine="0"/>
        <w:jc w:val="both"/>
      </w:pPr>
      <w:r>
        <w:rPr>
          <w:rFonts w:eastAsia="宋体"/>
          <w:rFonts w:ascii="Times New Roman" w:hAnsi="Times New Roman"/>
          <w:b w:val="0"/>
          <w:i w:val="0"/>
          <w:sz w:val="22"/>
        </w:rPr>
        <w:t>Janes. 2026. "Janes Defence Equipment and Technology Intelligence: China Air Force." Janes. https://www.janes.com/defence-intelligence/</w:t>
      </w:r>
    </w:p>
    <w:p>
      <w:pPr>
        <w:spacing w:before="0" w:after="80" w:lineRule="auto" w:line="324"/>
        <w:ind w:firstLine="0"/>
        <w:jc w:val="both"/>
      </w:pPr>
      <w:r>
        <w:rPr>
          <w:rFonts w:eastAsia="宋体"/>
          <w:rFonts w:ascii="Times New Roman" w:hAnsi="Times New Roman"/>
          <w:b w:val="0"/>
          <w:i w:val="0"/>
          <w:sz w:val="22"/>
        </w:rPr>
        <w:t>Maxar Technologies. 2026. "Open Data Program: High-Resolution Satellite Imagery for Defense and Intelligence." Maxar Technologies. https://www.maxar.com/open-data</w:t>
      </w:r>
    </w:p>
    <w:p>
      <w:pPr>
        <w:spacing w:before="0" w:after="80" w:lineRule="auto" w:line="324"/>
        <w:ind w:firstLine="0"/>
        <w:jc w:val="both"/>
      </w:pPr>
      <w:r>
        <w:rPr>
          <w:rFonts w:eastAsia="宋体"/>
          <w:rFonts w:ascii="Times New Roman" w:hAnsi="Times New Roman"/>
          <w:b w:val="0"/>
          <w:i w:val="0"/>
          <w:sz w:val="22"/>
        </w:rPr>
        <w:t>Meta-Defense. 2026. "The Mitchell Institute reveals the shortcomings of the US Air Force in protecting Taiwan by 2035." April 22. https://meta-defense.fr/en/2026/04/22/taiwan-mitchell-institute-2035/</w:t>
      </w:r>
    </w:p>
    <w:p>
      <w:pPr>
        <w:spacing w:before="0" w:after="80" w:lineRule="auto" w:line="324"/>
        <w:ind w:firstLine="0"/>
        <w:jc w:val="both"/>
      </w:pPr>
      <w:r>
        <w:rPr>
          <w:rFonts w:eastAsia="宋体"/>
          <w:rFonts w:ascii="Times New Roman" w:hAnsi="Times New Roman"/>
          <w:b w:val="0"/>
          <w:i w:val="0"/>
          <w:sz w:val="22"/>
        </w:rPr>
        <w:t>Mitchell Institute for Aerospace Studies. 2022. "Launch of New Center for UAV and Autonomy Studies (MI-UAS)." Mitchell Institute for Aerospace Studies. https://www.mitchellaerospacepower.org/events/aerospace-nation-launch-of-new-center-for-uav-and-autonomy-studies-mi-uas/</w:t>
      </w:r>
    </w:p>
    <w:p>
      <w:pPr>
        <w:spacing w:before="0" w:after="80" w:lineRule="auto" w:line="324"/>
        <w:ind w:firstLine="0"/>
        <w:jc w:val="both"/>
      </w:pPr>
      <w:r>
        <w:rPr>
          <w:rFonts w:eastAsia="宋体"/>
          <w:rFonts w:ascii="Times New Roman" w:hAnsi="Times New Roman"/>
          <w:b w:val="0"/>
          <w:i w:val="0"/>
          <w:sz w:val="22"/>
        </w:rPr>
        <w:t>Mitchell Institute for Aerospace Studies. 2024. "Fighting the Air Base." Policy Paper. Mitchell Institute for Aerospace Studies. https://www.mitchellaerospacepower.org/app/uploads/2024/07/Fighting-the-Air-Base-Final2.pdf</w:t>
      </w:r>
    </w:p>
    <w:p>
      <w:pPr>
        <w:spacing w:before="0" w:after="80" w:lineRule="auto" w:line="324"/>
        <w:ind w:firstLine="0"/>
        <w:jc w:val="both"/>
      </w:pPr>
      <w:r>
        <w:rPr>
          <w:rFonts w:eastAsia="宋体"/>
          <w:rFonts w:ascii="Times New Roman" w:hAnsi="Times New Roman"/>
          <w:b w:val="0"/>
          <w:i w:val="0"/>
          <w:sz w:val="22"/>
        </w:rPr>
        <w:t>Mitchell Institute for Aerospace Studies. 2025. "Charting a Path to Space Superiority: The Cross-Domain Imperative." Mitchell Institute for Aerospace Studies. https://www.mitchellaerospacepower.org/charting-a-path-to-space-superiority-the-cross-domain-imperative/</w:t>
      </w:r>
    </w:p>
    <w:p>
      <w:pPr>
        <w:spacing w:before="0" w:after="80" w:lineRule="auto" w:line="324"/>
        <w:ind w:firstLine="0"/>
        <w:jc w:val="both"/>
      </w:pPr>
      <w:r>
        <w:rPr>
          <w:rFonts w:eastAsia="宋体"/>
          <w:rFonts w:ascii="Times New Roman" w:hAnsi="Times New Roman"/>
          <w:b w:val="0"/>
          <w:i w:val="0"/>
          <w:sz w:val="22"/>
        </w:rPr>
        <w:t>Mitchell Institute for Aerospace Studies. 2026a. "About Us: Leadership and Team." Mitchell Institute for Aerospace Studies. https://www.mitchellaerospacepower.org/about/</w:t>
      </w:r>
    </w:p>
    <w:p>
      <w:pPr>
        <w:spacing w:before="0" w:after="80" w:lineRule="auto" w:line="324"/>
        <w:ind w:firstLine="0"/>
        <w:jc w:val="both"/>
      </w:pPr>
      <w:r>
        <w:rPr>
          <w:rFonts w:eastAsia="宋体"/>
          <w:rFonts w:ascii="Times New Roman" w:hAnsi="Times New Roman"/>
          <w:b w:val="0"/>
          <w:i w:val="0"/>
          <w:sz w:val="22"/>
        </w:rPr>
        <w:t>Mitchell Institute for Aerospace Studies. 2026b. "China Airpower Tracker." Online platform, launched February 25. Mitchell Institute for Aerospace Studies. https://www.mitchellaerospacepower.org/china/</w:t>
      </w:r>
    </w:p>
    <w:p>
      <w:pPr>
        <w:spacing w:before="0" w:after="80" w:lineRule="auto" w:line="324"/>
        <w:ind w:firstLine="0"/>
        <w:jc w:val="both"/>
      </w:pPr>
      <w:r>
        <w:rPr>
          <w:rFonts w:eastAsia="宋体"/>
          <w:rFonts w:ascii="Times New Roman" w:hAnsi="Times New Roman"/>
          <w:b w:val="0"/>
          <w:i w:val="0"/>
          <w:sz w:val="22"/>
        </w:rPr>
        <w:t>Mitchell Institute for Aerospace Studies. 2026c. "Mitchell Institute Spacepower Advantage Center of Excellence (MI-SPACE)." Mitchell Institute for Aerospace Studies. https://www.mitchellaerospacepower.org/mi-space/</w:t>
      </w:r>
    </w:p>
    <w:p>
      <w:pPr>
        <w:spacing w:before="0" w:after="80" w:lineRule="auto" w:line="324"/>
        <w:ind w:firstLine="0"/>
        <w:jc w:val="both"/>
      </w:pPr>
      <w:r>
        <w:rPr>
          <w:rFonts w:eastAsia="宋体"/>
          <w:rFonts w:ascii="Times New Roman" w:hAnsi="Times New Roman"/>
          <w:b w:val="0"/>
          <w:i w:val="0"/>
          <w:sz w:val="22"/>
        </w:rPr>
        <w:t>National Security Bureau (Taiwan). 2026. "National Security Bureau Official Website: Organization and Functions." National Security Bureau. https://www.nsb.gov.tw/</w:t>
      </w:r>
    </w:p>
    <w:p>
      <w:pPr>
        <w:spacing w:before="0" w:after="80" w:lineRule="auto" w:line="324"/>
        <w:ind w:firstLine="0"/>
        <w:jc w:val="both"/>
      </w:pPr>
      <w:r>
        <w:rPr>
          <w:rFonts w:eastAsia="宋体"/>
          <w:rFonts w:ascii="Times New Roman" w:hAnsi="Times New Roman"/>
          <w:b w:val="0"/>
          <w:i w:val="0"/>
          <w:sz w:val="22"/>
        </w:rPr>
        <w:t>O’Rourke, Ronald. 2025. "China Naval Modernization: Implications for U.S. Navy Capabilities—Background and Issues for Congress." Congressional Research Service (CRS). https://sgp.fas.org/crs/row/RL33153.pdf</w:t>
      </w:r>
    </w:p>
    <w:p>
      <w:pPr>
        <w:spacing w:before="0" w:after="80" w:lineRule="auto" w:line="324"/>
        <w:ind w:firstLine="0"/>
        <w:jc w:val="both"/>
      </w:pPr>
      <w:r>
        <w:rPr>
          <w:rFonts w:eastAsia="宋体"/>
          <w:rFonts w:ascii="Times New Roman" w:hAnsi="Times New Roman"/>
          <w:b w:val="0"/>
          <w:i w:val="0"/>
          <w:sz w:val="22"/>
        </w:rPr>
        <w:t>Penney, Heather, and J. Michael Dahm. 2026. "Pacific Threat Update: Taiwan Assessment." The Aerospace Advantage Podcast, Episode 274. Mitchell Institute for Aerospace Studies. https://mitchellinstituteaerospaceadvantage.podbean.com/e/pacific-threat-update-taiwan-assessment-ep-274/</w:t>
      </w:r>
    </w:p>
    <w:p>
      <w:pPr>
        <w:spacing w:before="0" w:after="80" w:lineRule="auto" w:line="324"/>
        <w:ind w:firstLine="0"/>
        <w:jc w:val="both"/>
      </w:pPr>
      <w:r>
        <w:rPr>
          <w:rFonts w:eastAsia="宋体"/>
          <w:rFonts w:ascii="Times New Roman" w:hAnsi="Times New Roman"/>
          <w:b w:val="0"/>
          <w:i w:val="0"/>
          <w:sz w:val="22"/>
        </w:rPr>
        <w:t>Planet Labs. 2026. "Defense and Intelligence Solutions: High-Frequency Satellite Monitoring." Planet Labs. https://www.planet.com/markets/defense-and-intelligence/</w:t>
      </w:r>
    </w:p>
    <w:p>
      <w:pPr>
        <w:spacing w:before="0" w:after="80" w:lineRule="auto" w:line="324"/>
        <w:ind w:firstLine="0"/>
        <w:jc w:val="both"/>
      </w:pPr>
      <w:r>
        <w:rPr>
          <w:rFonts w:eastAsia="宋体"/>
          <w:rFonts w:ascii="Times New Roman" w:hAnsi="Times New Roman"/>
          <w:b w:val="0"/>
          <w:i w:val="0"/>
          <w:sz w:val="22"/>
        </w:rPr>
        <w:t>ProPublica. 2025. "Nonprofit Explorer: Air &amp; Space Forces Association (Form 990, 2024)." ProPublica. https://projects.propublica.org/nonprofits/organizations/526043929</w:t>
      </w:r>
    </w:p>
    <w:p>
      <w:pPr>
        <w:spacing w:before="0" w:after="80" w:lineRule="auto" w:line="324"/>
        <w:ind w:firstLine="0"/>
        <w:jc w:val="both"/>
      </w:pPr>
      <w:r>
        <w:rPr>
          <w:rFonts w:eastAsia="宋体"/>
          <w:rFonts w:ascii="Times New Roman" w:hAnsi="Times New Roman"/>
          <w:b w:val="0"/>
          <w:i w:val="0"/>
          <w:sz w:val="22"/>
        </w:rPr>
        <w:t>Quincy Institute for Responsible Statecraft. 2025. "Profits of War: Top Beneficiaries of Pentagon Spending, 2020–2024." Quincy Institute. https://quincyinst.org/research/profits-of-war-top-beneficiaries-of-pentagon-spending-2020-2024/</w:t>
      </w:r>
    </w:p>
    <w:p>
      <w:pPr>
        <w:spacing w:before="0" w:after="80" w:lineRule="auto" w:line="324"/>
        <w:ind w:firstLine="0"/>
        <w:jc w:val="both"/>
      </w:pPr>
      <w:r>
        <w:rPr>
          <w:rFonts w:eastAsia="宋体"/>
          <w:rFonts w:ascii="Times New Roman" w:hAnsi="Times New Roman"/>
          <w:b w:val="0"/>
          <w:i w:val="0"/>
          <w:sz w:val="22"/>
        </w:rPr>
        <w:t>RAND Corporation. 2025. "U.S. Military Posture in the Indo-Pacific: Challenges and Options for Project AIR FORCE." RAND Corporation. https://www.rand.org/pubs/research_reports/RR2025.html</w:t>
      </w:r>
    </w:p>
    <w:p>
      <w:pPr>
        <w:spacing w:before="0" w:after="80" w:lineRule="auto" w:line="324"/>
        <w:ind w:firstLine="0"/>
        <w:jc w:val="both"/>
      </w:pPr>
      <w:r>
        <w:rPr>
          <w:rFonts w:eastAsia="宋体"/>
          <w:rFonts w:ascii="Times New Roman" w:hAnsi="Times New Roman"/>
          <w:b w:val="0"/>
          <w:i w:val="0"/>
          <w:sz w:val="22"/>
        </w:rPr>
        <w:t>Reuters. 2026. "China stations jets-turned-drones at bases near Taiwan Strait, report says." March 27. https://www.reuters.com/world/asia-pacific/china-stations-jets-turned-drones-bases-near-taiwan-strait-2026-03-27/</w:t>
      </w:r>
    </w:p>
    <w:p>
      <w:pPr>
        <w:spacing w:before="0" w:after="80" w:lineRule="auto" w:line="324"/>
        <w:ind w:firstLine="0"/>
        <w:jc w:val="both"/>
      </w:pPr>
      <w:r>
        <w:rPr>
          <w:rFonts w:eastAsia="宋体"/>
          <w:rFonts w:ascii="Times New Roman" w:hAnsi="Times New Roman"/>
          <w:b w:val="0"/>
          <w:i w:val="0"/>
          <w:sz w:val="22"/>
        </w:rPr>
        <w:t>Rice, Daniel. 2022. "Hardened Shelters and UCAVs: Understanding The Chinese Threat Facing Taiwan." The Mitchell Forum. Mitchell Institute for Aerospace Studies. https://www.mitchellaerospacepower.org/app/uploads/2022/11/MI_Forum_47-Chinese-Airfields-Final.pdf</w:t>
      </w:r>
    </w:p>
    <w:p>
      <w:pPr>
        <w:spacing w:before="0" w:after="80" w:lineRule="auto" w:line="324"/>
        <w:ind w:firstLine="0"/>
        <w:jc w:val="both"/>
      </w:pPr>
      <w:r>
        <w:rPr>
          <w:rFonts w:eastAsia="宋体"/>
          <w:rFonts w:ascii="Times New Roman" w:hAnsi="Times New Roman"/>
          <w:b w:val="0"/>
          <w:i w:val="0"/>
          <w:sz w:val="22"/>
        </w:rPr>
        <w:t>Ryan, Tim. 2026. "Strategic Attack: Denying Sanctuary." Policy Paper 64. Mitchell Institute for Aerospace Studies. https://www.mitchellaerospacepower.org/app/uploads/2026/02/Strategic_Attack_Denying_Sanctuary_Policy_Paper_64.pdf</w:t>
      </w:r>
    </w:p>
    <w:p>
      <w:pPr>
        <w:spacing w:before="0" w:after="80" w:lineRule="auto" w:line="324"/>
        <w:ind w:firstLine="0"/>
        <w:jc w:val="both"/>
      </w:pPr>
      <w:r>
        <w:rPr>
          <w:rFonts w:eastAsia="宋体"/>
          <w:rFonts w:ascii="Times New Roman" w:hAnsi="Times New Roman"/>
          <w:b w:val="0"/>
          <w:i w:val="0"/>
          <w:sz w:val="22"/>
        </w:rPr>
        <w:t>South China Morning Post (SCMP). 2026. "PLA Air Force expands hardened shelters at coastal bases, US think tank says." March 28. https://www.scmp.com/news/china/military/article/3200000/pla-air-force-expands-hardened-shelters</w:t>
      </w:r>
    </w:p>
    <w:p>
      <w:pPr>
        <w:spacing w:before="0" w:after="80" w:lineRule="auto" w:line="324"/>
        <w:ind w:firstLine="0"/>
        <w:jc w:val="both"/>
      </w:pPr>
      <w:r>
        <w:rPr>
          <w:rFonts w:eastAsia="宋体"/>
          <w:rFonts w:ascii="Times New Roman" w:hAnsi="Times New Roman"/>
          <w:b w:val="0"/>
          <w:i w:val="0"/>
          <w:sz w:val="22"/>
        </w:rPr>
        <w:t>Taipei Times. 2025. "PRC bounties for Taiwanese military officers ‘new cognitive warfare effort’: US think tank." October 21. https://www.taipeitimes.com/News/taiwan/archives/2025/10/21/2003845862</w:t>
      </w:r>
    </w:p>
    <w:p>
      <w:pPr>
        <w:spacing w:before="0" w:after="80" w:lineRule="auto" w:line="324"/>
        <w:ind w:firstLine="0"/>
        <w:jc w:val="both"/>
      </w:pPr>
      <w:r>
        <w:rPr>
          <w:rFonts w:eastAsia="宋体"/>
          <w:rFonts w:ascii="Times New Roman" w:hAnsi="Times New Roman"/>
          <w:b w:val="0"/>
          <w:i w:val="0"/>
          <w:sz w:val="22"/>
        </w:rPr>
        <w:t>Taipei Times. 2026. "Chinese infiltration targeting rank-and-file: NSB." April 8. https://www.taipeitimes.com/News/taiwan/archives/2026/04/08/2003855255</w:t>
      </w:r>
    </w:p>
    <w:p>
      <w:pPr>
        <w:spacing w:before="0" w:after="80" w:lineRule="auto" w:line="324"/>
        <w:ind w:firstLine="0"/>
        <w:jc w:val="both"/>
      </w:pPr>
      <w:r>
        <w:rPr>
          <w:rFonts w:eastAsia="宋体"/>
          <w:rFonts w:ascii="Times New Roman" w:hAnsi="Times New Roman"/>
          <w:b w:val="0"/>
          <w:i w:val="0"/>
          <w:sz w:val="22"/>
        </w:rPr>
        <w:t>U.S. Congress. 2025. "National Defense Authorization Act for Fiscal Year 2026." Public Law 119-81. https://www.congress.gov/bill/119th-congress/house-bill/2026</w:t>
      </w:r>
    </w:p>
    <w:p>
      <w:pPr>
        <w:spacing w:before="0" w:after="80" w:lineRule="auto" w:line="324"/>
        <w:ind w:firstLine="0"/>
        <w:jc w:val="both"/>
      </w:pPr>
      <w:r>
        <w:rPr>
          <w:rFonts w:eastAsia="宋体"/>
          <w:rFonts w:ascii="Times New Roman" w:hAnsi="Times New Roman"/>
          <w:b w:val="0"/>
          <w:i w:val="0"/>
          <w:sz w:val="22"/>
        </w:rPr>
        <w:t>U.S. Department of Defense. 2024. "Military and Security Developments Involving the People's Republic of China 2024." Annual Report to Congress. https://media.defense.gov/2024/Oct/19/2003323409/-1/-1/1/2024-CMPR-FINAL.PDF</w:t>
      </w:r>
    </w:p>
    <w:p>
      <w:pPr>
        <w:spacing w:before="0" w:after="80" w:lineRule="auto" w:line="324"/>
        <w:ind w:firstLine="0"/>
        <w:jc w:val="both"/>
      </w:pPr>
      <w:r>
        <w:rPr>
          <w:rFonts w:eastAsia="宋体"/>
          <w:rFonts w:ascii="Times New Roman" w:hAnsi="Times New Roman"/>
          <w:b w:val="0"/>
          <w:i w:val="0"/>
          <w:sz w:val="22"/>
        </w:rPr>
        <w:t>U.S. Department of Defense. 2025. "Military and Security Developments Involving the People's Republic of China 2025." Annual Report to Congress. https://media.defense.gov/2025/Oct/18/2003323410/-1/-1/1/2025-CMPR-FINAL.PDF</w:t>
      </w:r>
    </w:p>
    <w:p>
      <w:pPr>
        <w:spacing w:before="0" w:after="80" w:lineRule="auto" w:line="324"/>
        <w:ind w:firstLine="0"/>
        <w:jc w:val="both"/>
      </w:pPr>
      <w:r>
        <w:rPr>
          <w:rFonts w:eastAsia="宋体"/>
          <w:rFonts w:ascii="Times New Roman" w:hAnsi="Times New Roman"/>
          <w:b w:val="0"/>
          <w:i w:val="0"/>
          <w:sz w:val="22"/>
        </w:rPr>
        <w:t>U.S.-China Economic and Security Review Commission (USCC). 2024. "2024 Annual Report to Congress." November. https://www.uscc.gov/sites/default/files/2024-11/2024_Annual_Report_to_Congress.pdf</w:t>
      </w:r>
    </w:p>
    <w:p>
      <w:pPr>
        <w:spacing w:before="0" w:after="80" w:lineRule="auto" w:line="324"/>
        <w:ind w:firstLine="0"/>
        <w:jc w:val="both"/>
      </w:pPr>
      <w:r>
        <w:rPr>
          <w:rFonts w:eastAsia="宋体"/>
          <w:rFonts w:ascii="Times New Roman" w:hAnsi="Times New Roman"/>
          <w:b w:val="0"/>
          <w:i w:val="0"/>
          <w:sz w:val="22"/>
        </w:rPr>
        <w:t>U.S.-China Economic and Security Review Commission (USCC). 2025. "2025 Annual Report to Congress." November. https://www.uscc.gov/sites/default/files/2025-11/2025_Annual_Report_to_Congress.pdf</w:t>
      </w:r>
    </w:p>
    <w:p>
      <w:pPr>
        <w:spacing w:before="0" w:after="80" w:lineRule="auto" w:line="324"/>
        <w:ind w:firstLine="0"/>
        <w:jc w:val="both"/>
      </w:pPr>
      <w:r>
        <w:rPr>
          <w:rFonts w:eastAsia="宋体"/>
          <w:rFonts w:ascii="Times New Roman" w:hAnsi="Times New Roman"/>
          <w:b w:val="0"/>
          <w:i w:val="0"/>
          <w:sz w:val="22"/>
        </w:rPr>
        <w:t>Voice of America (VOA). 2026. "中国在台海附近部署改装歼-6战机；AIT：支持台湾获取防卫能力 (China deploys modified J-6 fighters near Taiwan Strait; AIT: Supports Taiwan's defense capabilities)." March 27. https://www.voachinese.com/a/beijing-stations-jet-turned-drones-along-the-taiwan-strait-ait-reaffirms-support-for-taiwan-20260327/8131633.html</w:t>
      </w:r>
    </w:p>
    <w:p>
      <w:pPr>
        <w:spacing w:before="0" w:after="80" w:lineRule="auto" w:line="324"/>
        <w:ind w:firstLine="0"/>
        <w:jc w:val="both"/>
      </w:pPr>
      <w:r>
        <w:rPr>
          <w:rFonts w:eastAsia="宋体"/>
          <w:rFonts w:ascii="Times New Roman" w:hAnsi="Times New Roman"/>
          <w:b w:val="0"/>
          <w:i w:val="0"/>
          <w:sz w:val="22"/>
        </w:rPr>
        <w:t>Wikipedia. 2026. "Military Intelligence Bureau." Last modified April 15. https://en.wikipedia.org/wiki/Military_Intelligence_Bureau</w:t>
      </w:r>
    </w:p>
    <w:p>
      <w:pPr>
        <w:spacing w:before="0" w:after="80" w:lineRule="auto" w:line="324"/>
        <w:ind w:firstLine="0"/>
        <w:jc w:val="both"/>
      </w:pPr>
      <w:r>
        <w:rPr>
          <w:rFonts w:eastAsia="宋体"/>
          <w:rFonts w:ascii="Times New Roman" w:hAnsi="Times New Roman"/>
          <w:b w:val="0"/>
          <w:i w:val="0"/>
          <w:sz w:val="22"/>
        </w:rPr>
        <w:t>國防安全研究院 (INDSR). 2026. "美《2026年國防戰略》：「拒止式嚇阻」遏制中國." 國防安全雙週報. https://indsr.org.tw/focus?uid=11&amp;typeid=27&amp;pid=3027</w:t>
      </w:r>
    </w:p>
    <w:p>
      <w:pPr>
        <w:spacing w:before="0" w:after="80" w:lineRule="auto" w:line="324"/>
        <w:ind w:firstLine="0"/>
        <w:jc w:val="both"/>
      </w:pPr>
      <w:r>
        <w:rPr>
          <w:rFonts w:eastAsia="宋体"/>
          <w:rFonts w:ascii="Times New Roman" w:hAnsi="Times New Roman"/>
          <w:b w:val="0"/>
          <w:i w:val="0"/>
          <w:sz w:val="22"/>
        </w:rPr>
        <w:t>聯合新聞網 (UDN). 2026. "美智庫兵推指空軍戰力不足 國防部：持續建構不對稱戰力." April 11. https://udn.com/news/story/10930/20260411</w:t>
      </w:r>
    </w:p>
    <w:p>
      <w:pPr>
        <w:spacing w:before="0" w:after="80" w:lineRule="auto" w:line="324"/>
        <w:ind w:firstLine="0"/>
        <w:jc w:val="both"/>
      </w:pPr>
      <w:r>
        <w:rPr>
          <w:rFonts w:eastAsia="宋体"/>
          <w:rFonts w:ascii="Times New Roman" w:hAnsi="Times New Roman"/>
          <w:b w:val="0"/>
          <w:i w:val="0"/>
          <w:sz w:val="22"/>
        </w:rPr>
        <w:t>自由時報 (Liberty Times). 2026. "美智庫兵推：2035年美軍恐難阻共軍犯台." April 10. https://news.ltn.com.tw/news/politics/breakingnews/20260410</w:t>
      </w:r>
    </w:p>
    <w:p>
      <w:pPr>
        <w:jc w:val="center"/>
      </w:pPr>
      <w:r>
        <w:rPr>
          <w:rFonts w:eastAsia="宋体"/>
          <w:rFonts w:ascii="Times New Roman" w:hAnsi="Times New Roman"/>
          <w:b w:val="0"/>
          <w:i w:val="0"/>
          <w:color w:val="A0A0A0"/>
          <w:sz w:val="22"/>
        </w:rPr>
        <w:t>─────────────────────────</w:t>
      </w:r>
    </w:p>
    <w:p>
      <w:pPr>
        <w:spacing w:before="160" w:after="80" w:lineRule="auto" w:line="324"/>
        <w:jc w:val="both"/>
        <w:shd w:val="clear" w:color="auto" w:fill="DDE6F2"/>
        <w:pBdr>
          <w:top w:val="single" w:sz="8" w:space="4" w:color="4F81BD"/>
          <w:left w:val="single" w:sz="8" w:space="4" w:color="4F81BD"/>
          <w:bottom w:val="single" w:sz="8" w:space="4" w:color="4F81BD"/>
          <w:right w:val="single" w:sz="8" w:space="4" w:color="4F81BD"/>
        </w:pBdr>
      </w:pPr>
      <w:r>
        <w:rPr>
          <w:rFonts w:eastAsia="黑体"/>
          <w:rFonts w:ascii="Arial" w:hAnsi="Arial"/>
          <w:b/>
          <w:i w:val="0"/>
          <w:color w:val="282850"/>
          <w:sz w:val="26"/>
        </w:rPr>
        <w:t xml:space="preserve">█ </w:t>
      </w:r>
      <w:r>
        <w:rPr>
          <w:rFonts w:eastAsia="黑体"/>
          <w:rFonts w:ascii="Arial" w:hAnsi="Arial"/>
          <w:b/>
          <w:i w:val="0"/>
          <w:color w:val="282850"/>
          <w:sz w:val="26"/>
        </w:rPr>
        <w:t>Key Findings of This Chapter</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1. The reference list comprises 55 traceable open-source intelligence (OSINT) records, validating the methodological rigor and evidence-based foundation of Document No. RR-MI-2026-3.</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2. Primary sources are heavily weighted toward official Mitchell Institute publications, U.S. government disclosures, and Taiwanese institutional records, ensuring a triangulated evidence base for evaluating cross-strait defense dynamics.</w:t>
      </w:r>
    </w:p>
    <w:p>
      <w:pPr>
        <w:spacing w:before="0" w:after="60" w:lineRule="auto" w:line="324"/>
        <w:ind w:firstLine="170"/>
        <w:jc w:val="both"/>
        <w:shd w:val="clear" w:color="auto" w:fill="EFEFEF"/>
        <w:pBdr>
          <w:top w:val="single" w:sz="8" w:space="4" w:color="BBBBBB"/>
          <w:left w:val="single" w:sz="8" w:space="4" w:color="BBBBBB"/>
          <w:bottom w:val="single" w:sz="8" w:space="4" w:color="BBBBBB"/>
          <w:right w:val="single" w:sz="8" w:space="4" w:color="BBBBBB"/>
        </w:pBdr>
      </w:pPr>
      <w:r>
        <w:rPr>
          <w:rFonts w:eastAsia="宋体"/>
          <w:rFonts w:ascii="Times New Roman" w:hAnsi="Times New Roman"/>
          <w:b w:val="0"/>
          <w:i w:val="0"/>
          <w:sz w:val="20"/>
        </w:rPr>
        <w:t>3. Independent watchdog reports and commercial satellite data policies are integrated to provide critical oversight and technical verification of the analytic judgments presented in the report.</w:t>
      </w:r>
    </w:p>
    <w:p>
      <w:pPr>
        <w:jc w:val="center"/>
      </w:pPr>
      <w:r>
        <w:rPr>
          <w:rFonts w:eastAsia="宋体"/>
          <w:rFonts w:ascii="Times New Roman" w:hAnsi="Times New Roman"/>
          <w:b w:val="0"/>
          <w:i w:val="0"/>
          <w:color w:val="A0A0A0"/>
          <w:sz w:val="22"/>
        </w:rPr>
        <w:t>─────────────────────────</w:t>
      </w:r>
    </w:p>
    <w:sectPr w:rsidR="00FC693F" w:rsidRPr="0006063C" w:rsidSect="00034616">
      <w:footerReference w:type="default" r:id="rId9"/>
      <w:pgSz w:w="12240" w:h="15840"/>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eastAsia="宋体"/>
        <w:rFonts w:ascii="Times New Roman" w:hAnsi="Times New Roman"/>
        <w:b w:val="0"/>
        <w:i w:val="0"/>
        <w:color w:val="787878"/>
        <w:sz w:val="16"/>
      </w:rPr>
      <w:t>RR-MI-2026-3 — Independent Open-Source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