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五国中文教育态势横向对比</w:t>
      </w:r>
    </w:p>
    <w:p>
      <w:r>
        <w:t>新加坡：最适合作为标准样例。</w:t>
      </w:r>
    </w:p>
    <w:p>
      <w:r>
        <w:t>马来西亚：社会组织化强，但政策争议长期存在。</w:t>
      </w:r>
    </w:p>
    <w:p>
      <w:r>
        <w:t>泰国：需求旺盛、扩张快，但中文仍属外语赛道。</w:t>
      </w:r>
    </w:p>
    <w:p>
      <w:r>
        <w:t>印尼：国家课程已承认，但整体制度深度仍在上升。</w:t>
      </w:r>
    </w:p>
    <w:p>
      <w:r>
        <w:t>越南：课程承认明显，大学与教师培训支撑较突出。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