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印度尼西亚中文教育发展态势评估</w:t>
      </w:r>
    </w:p>
    <w:p>
      <w:pPr>
        <w:jc w:val="center"/>
      </w:pPr>
      <w:r>
        <w:t>生成时间：2026-04-10 13:17</w:t>
      </w:r>
    </w:p>
    <w:p>
      <w:pPr>
        <w:pStyle w:val="Heading1"/>
      </w:pPr>
      <w:r>
        <w:t>摘要</w:t>
      </w:r>
    </w:p>
    <w:p>
      <w:r>
        <w:t>印尼中文教育处于恢复后扩张、政策逐步正规化的成长阶段。</w:t>
      </w:r>
    </w:p>
    <w:p>
      <w:r>
        <w:t>国家课程体系已明确设置 Bahasa Mandarin 学习内容与评测标准。</w:t>
      </w:r>
    </w:p>
    <w:p>
      <w:r>
        <w:t>整体模式更像“国家允许+市场拉动+高校和孔院支撑”的混合型。</w:t>
      </w:r>
    </w:p>
    <w:p>
      <w:pPr>
        <w:pStyle w:val="Heading1"/>
      </w:pPr>
      <w:r>
        <w:t>核心汇总数据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指标ID</w:t>
            </w:r>
          </w:p>
        </w:tc>
        <w:tc>
          <w:tcPr>
            <w:tcW w:type="dxa" w:w="1881"/>
          </w:tcPr>
          <w:p>
            <w:r>
              <w:t>字段</w:t>
            </w:r>
          </w:p>
        </w:tc>
        <w:tc>
          <w:tcPr>
            <w:tcW w:type="dxa" w:w="1881"/>
          </w:tcPr>
          <w:p>
            <w:r>
              <w:t>状态</w:t>
            </w:r>
          </w:p>
        </w:tc>
        <w:tc>
          <w:tcPr>
            <w:tcW w:type="dxa" w:w="1881"/>
          </w:tcPr>
          <w:p>
            <w:r>
              <w:t>当前值</w:t>
            </w:r>
          </w:p>
        </w:tc>
        <w:tc>
          <w:tcPr>
            <w:tcW w:type="dxa" w:w="1881"/>
          </w:tcPr>
          <w:p>
            <w:r>
              <w:t>来源</w:t>
            </w:r>
          </w:p>
        </w:tc>
      </w:tr>
      <w:tr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外交伙伴关系等级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全面战略伙伴关系</w:t>
            </w:r>
          </w:p>
        </w:tc>
        <w:tc>
          <w:tcPr>
            <w:tcW w:type="dxa" w:w="1881"/>
          </w:tcPr>
          <w:p>
            <w:r>
              <w:t>https://www.mfa.gov.cn/eng/zy/jj/2022/cxesgjtytjhtg/202211/t20221117_10976784.html</w:t>
            </w:r>
          </w:p>
        </w:tc>
      </w:tr>
      <w:tr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纳入教育体系层级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中学课程标准与评测体系已进入；高校体系存在</w:t>
            </w:r>
          </w:p>
        </w:tc>
        <w:tc>
          <w:tcPr>
            <w:tcW w:type="dxa" w:w="1881"/>
          </w:tcPr>
          <w:p>
            <w:r>
              <w:t>https://guru.kemdikbud.go.id/kurikulum/referensi-penerapan/capaian-pembelajaran/sd-sma/bahasa-mandarin/</w:t>
            </w:r>
          </w:p>
        </w:tc>
      </w:tr>
      <w:tr>
        <w:tc>
          <w:tcPr>
            <w:tcW w:type="dxa" w:w="1881"/>
          </w:tcPr>
          <w:p>
            <w:r>
              <w:t>3</w:t>
            </w:r>
          </w:p>
        </w:tc>
        <w:tc>
          <w:tcPr>
            <w:tcW w:type="dxa" w:w="1881"/>
          </w:tcPr>
          <w:p>
            <w:r>
              <w:t>中文教育地位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外语科目；非官方语言</w:t>
            </w:r>
          </w:p>
        </w:tc>
        <w:tc>
          <w:tcPr>
            <w:tcW w:type="dxa" w:w="1881"/>
          </w:tcPr>
          <w:p>
            <w:r>
              <w:t>https://indonesia.go.id//kategori/sosial-budaya/10256/bahasa-indonesia-resmi-digunakan-sebagai-bahasa-kerja-di-sidang-umum-unesco?lang=1%3Flang%3D1</w:t>
            </w:r>
          </w:p>
        </w:tc>
      </w:tr>
      <w:tr>
        <w:tc>
          <w:tcPr>
            <w:tcW w:type="dxa" w:w="1881"/>
          </w:tcPr>
          <w:p>
            <w:r>
              <w:t>10</w:t>
            </w:r>
          </w:p>
        </w:tc>
        <w:tc>
          <w:tcPr>
            <w:tcW w:type="dxa" w:w="1881"/>
          </w:tcPr>
          <w:p>
            <w:r>
              <w:t>教育政策环境风险</w:t>
            </w:r>
          </w:p>
        </w:tc>
        <w:tc>
          <w:tcPr>
            <w:tcW w:type="dxa" w:w="1881"/>
          </w:tcPr>
          <w:p>
            <w:r>
              <w:t>部分确认</w:t>
            </w:r>
          </w:p>
        </w:tc>
        <w:tc>
          <w:tcPr>
            <w:tcW w:type="dxa" w:w="1881"/>
          </w:tcPr>
          <w:p>
            <w:r>
              <w:t>中等</w:t>
            </w:r>
          </w:p>
        </w:tc>
        <w:tc>
          <w:tcPr>
            <w:tcW w:type="dxa" w:w="1881"/>
          </w:tcPr>
          <w:p>
            <w:r>
              <w:t>https://guru.kemdikbud.go.id/kurikulum/referensi-penerapan/capaian-pembelajaran/sd-sma/bahasa-mandarin/</w:t>
            </w:r>
          </w:p>
        </w:tc>
      </w:tr>
      <w:tr>
        <w:tc>
          <w:tcPr>
            <w:tcW w:type="dxa" w:w="1881"/>
          </w:tcPr>
          <w:p>
            <w:r>
              <w:t>17</w:t>
            </w:r>
          </w:p>
        </w:tc>
        <w:tc>
          <w:tcPr>
            <w:tcW w:type="dxa" w:w="1881"/>
          </w:tcPr>
          <w:p>
            <w:r>
              <w:t>研究机构/智库</w:t>
            </w:r>
          </w:p>
        </w:tc>
        <w:tc>
          <w:tcPr>
            <w:tcW w:type="dxa" w:w="1881"/>
          </w:tcPr>
          <w:p>
            <w:r>
              <w:t>部分确认</w:t>
            </w:r>
          </w:p>
        </w:tc>
        <w:tc>
          <w:tcPr>
            <w:tcW w:type="dxa" w:w="1881"/>
          </w:tcPr>
          <w:p>
            <w:r>
              <w:t>有高校与孔院支撑</w:t>
            </w:r>
          </w:p>
        </w:tc>
        <w:tc>
          <w:tcPr>
            <w:tcW w:type="dxa" w:w="1881"/>
          </w:tcPr>
          <w:p>
            <w:r>
              <w:t>https://international.ui.ac.id/humanities-bachelors/</w:t>
            </w:r>
          </w:p>
        </w:tc>
      </w:tr>
      <w:tr>
        <w:tc>
          <w:tcPr>
            <w:tcW w:type="dxa" w:w="1881"/>
          </w:tcPr>
          <w:p>
            <w:r>
              <w:t>39</w:t>
            </w:r>
          </w:p>
        </w:tc>
        <w:tc>
          <w:tcPr>
            <w:tcW w:type="dxa" w:w="1881"/>
          </w:tcPr>
          <w:p>
            <w:r>
              <w:t>本土教师培养项目</w:t>
            </w:r>
          </w:p>
        </w:tc>
        <w:tc>
          <w:tcPr>
            <w:tcW w:type="dxa" w:w="1881"/>
          </w:tcPr>
          <w:p>
            <w:r>
              <w:t>部分确认</w:t>
            </w:r>
          </w:p>
        </w:tc>
        <w:tc>
          <w:tcPr>
            <w:tcW w:type="dxa" w:w="1881"/>
          </w:tcPr>
          <w:p>
            <w:r>
              <w:t>存在教师认证/专业化路径</w:t>
            </w:r>
          </w:p>
        </w:tc>
        <w:tc>
          <w:tcPr>
            <w:tcW w:type="dxa" w:w="1881"/>
          </w:tcPr>
          <w:p>
            <w:r>
              <w:t>https://pusatinformasi.guru.kemdikbud.go.id/hc/en-us/articles/35466120859161-Informasi-Tentang-Rumpun-Bidang-Studi-Pada-Sertifikasi-Pendidik</w:t>
            </w:r>
          </w:p>
        </w:tc>
      </w:tr>
      <w:tr>
        <w:tc>
          <w:tcPr>
            <w:tcW w:type="dxa" w:w="1881"/>
          </w:tcPr>
          <w:p>
            <w:r>
              <w:t>42</w:t>
            </w:r>
          </w:p>
        </w:tc>
        <w:tc>
          <w:tcPr>
            <w:tcW w:type="dxa" w:w="1881"/>
          </w:tcPr>
          <w:p>
            <w:r>
              <w:t>开设中文专业高校数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至少2所</w:t>
            </w:r>
          </w:p>
        </w:tc>
        <w:tc>
          <w:tcPr>
            <w:tcW w:type="dxa" w:w="1881"/>
          </w:tcPr>
          <w:p>
            <w:r>
              <w:t>https://chinese.binus.ac.id/</w:t>
            </w:r>
          </w:p>
        </w:tc>
      </w:tr>
      <w:tr>
        <w:tc>
          <w:tcPr>
            <w:tcW w:type="dxa" w:w="1881"/>
          </w:tcPr>
          <w:p>
            <w:r>
              <w:t>45</w:t>
            </w:r>
          </w:p>
        </w:tc>
        <w:tc>
          <w:tcPr>
            <w:tcW w:type="dxa" w:w="1881"/>
          </w:tcPr>
          <w:p>
            <w:r>
              <w:t>孔子学院/中文工坊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至少1个</w:t>
            </w:r>
          </w:p>
        </w:tc>
        <w:tc>
          <w:tcPr>
            <w:tcW w:type="dxa" w:w="1881"/>
          </w:tcPr>
          <w:p>
            <w:r>
              <w:t>https://jurnal.uns.ac.id/maobi/about/contact</w:t>
            </w:r>
          </w:p>
        </w:tc>
      </w:tr>
      <w:tr>
        <w:tc>
          <w:tcPr>
            <w:tcW w:type="dxa" w:w="1881"/>
          </w:tcPr>
          <w:p>
            <w:r>
              <w:t>64</w:t>
            </w:r>
          </w:p>
        </w:tc>
        <w:tc>
          <w:tcPr>
            <w:tcW w:type="dxa" w:w="1881"/>
          </w:tcPr>
          <w:p>
            <w:r>
              <w:t>教师资格认证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有</w:t>
            </w:r>
          </w:p>
        </w:tc>
        <w:tc>
          <w:tcPr>
            <w:tcW w:type="dxa" w:w="1881"/>
          </w:tcPr>
          <w:p>
            <w:r>
              <w:t>https://pusatinformasi.guru.kemdikbud.go.id/hc/en-us/articles/35466120859161-Informasi-Tentang-Rumpun-Bidang-Studi-Pada-Sertifikasi-Pendidik</w:t>
            </w:r>
          </w:p>
        </w:tc>
      </w:tr>
    </w:tbl>
    <w:p>
      <w:pPr>
        <w:pStyle w:val="Heading1"/>
      </w:pPr>
      <w:r>
        <w:t>结论</w:t>
      </w:r>
    </w:p>
    <w:p>
      <w:r>
        <w:t>国家课程已承认，但整体制度深度仍在上升。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