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马来西亚中文教育发展态势评估</w:t>
      </w:r>
    </w:p>
    <w:p>
      <w:pPr>
        <w:jc w:val="center"/>
      </w:pPr>
      <w:r>
        <w:t>生成时间：2026-04-10 13:17</w:t>
      </w:r>
    </w:p>
    <w:p>
      <w:pPr>
        <w:pStyle w:val="Heading1"/>
      </w:pPr>
      <w:r>
        <w:t>摘要</w:t>
      </w:r>
    </w:p>
    <w:p>
      <w:r>
        <w:t>马来西亚中文教育呈现国家学校体系、社群办学体系和高校/研究体系并行的多轨格局。</w:t>
      </w:r>
    </w:p>
    <w:p>
      <w:r>
        <w:t>中文不具官方语言地位，但在华小（SJKC）层面拥有明确教学媒介地位。</w:t>
      </w:r>
    </w:p>
    <w:p>
      <w:r>
        <w:t>社会基础极强，但多源流教育长期伴随政策争议。</w:t>
      </w:r>
    </w:p>
    <w:p>
      <w:pPr>
        <w:pStyle w:val="Heading1"/>
      </w:pPr>
      <w:r>
        <w:t>核心汇总数据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指标ID</w:t>
            </w:r>
          </w:p>
        </w:tc>
        <w:tc>
          <w:tcPr>
            <w:tcW w:type="dxa" w:w="1881"/>
          </w:tcPr>
          <w:p>
            <w:r>
              <w:t>字段</w:t>
            </w:r>
          </w:p>
        </w:tc>
        <w:tc>
          <w:tcPr>
            <w:tcW w:type="dxa" w:w="1881"/>
          </w:tcPr>
          <w:p>
            <w:r>
              <w:t>状态</w:t>
            </w:r>
          </w:p>
        </w:tc>
        <w:tc>
          <w:tcPr>
            <w:tcW w:type="dxa" w:w="1881"/>
          </w:tcPr>
          <w:p>
            <w:r>
              <w:t>当前值</w:t>
            </w:r>
          </w:p>
        </w:tc>
        <w:tc>
          <w:tcPr>
            <w:tcW w:type="dxa" w:w="1881"/>
          </w:tcPr>
          <w:p>
            <w:r>
              <w:t>来源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外交伙伴关系等级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全面战略伙伴关系并持续深化</w:t>
            </w:r>
          </w:p>
        </w:tc>
        <w:tc>
          <w:tcPr>
            <w:tcW w:type="dxa" w:w="1881"/>
          </w:tcPr>
          <w:p>
            <w:r>
              <w:t>https://www.kln.gov.my/web/guest/home?_101_assetEntryId=9861626&amp;_101_struts_action=%2Fasset_publisher%2Fview_content&amp;_101_type=content&amp;_101_urlTitle=joint-statement-between-the-people-s-republic-of-china-and-malaysia-on-deepening-the-comprehensive-strategic-partnership-towards-china-malaysia-commun&amp;inheritRedirect=false&amp;p_p_id=101&amp;p_p_lifecycle=0&amp;p_p_mode=view&amp;p_p_state=maximized</w:t>
            </w:r>
          </w:p>
        </w:tc>
      </w:tr>
      <w:tr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纳入教育体系层级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基础教育明确纳入；中学、高教、社区教育持续存在</w:t>
            </w:r>
          </w:p>
        </w:tc>
        <w:tc>
          <w:tcPr>
            <w:tcW w:type="dxa" w:w="1881"/>
          </w:tcPr>
          <w:p>
            <w:r>
              <w:t>https://www.moe.gov.my/storage/files/shares/Dasar/Dasar%20Pendidikan%20Kebangsaan/Dasar%20Pendidikan%20Kebangsaan%20Edisi%20Keempat.pdf</w:t>
            </w:r>
          </w:p>
        </w:tc>
      </w:tr>
      <w:tr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中文教育地位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非官方语言；在华小中为主要教学媒介</w:t>
            </w:r>
          </w:p>
        </w:tc>
        <w:tc>
          <w:tcPr>
            <w:tcW w:type="dxa" w:w="1881"/>
          </w:tcPr>
          <w:p>
            <w:r>
              <w:t>https://www.malaysia.gov.my/en/government/kenali-malaysia/bahasa-rasmi</w:t>
            </w:r>
          </w:p>
        </w:tc>
      </w:tr>
      <w:tr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教育政策环境风险</w:t>
            </w:r>
          </w:p>
        </w:tc>
        <w:tc>
          <w:tcPr>
            <w:tcW w:type="dxa" w:w="1881"/>
          </w:tcPr>
          <w:p>
            <w:r>
              <w:t>部分确认</w:t>
            </w:r>
          </w:p>
        </w:tc>
        <w:tc>
          <w:tcPr>
            <w:tcW w:type="dxa" w:w="1881"/>
          </w:tcPr>
          <w:p>
            <w:r>
              <w:t>中等</w:t>
            </w:r>
          </w:p>
        </w:tc>
        <w:tc>
          <w:tcPr>
            <w:tcW w:type="dxa" w:w="1881"/>
          </w:tcPr>
          <w:p>
            <w:r>
              <w:t>https://www.moe.gov.my/sistem-pendidikan</w:t>
            </w:r>
          </w:p>
        </w:tc>
      </w:tr>
      <w:tr>
        <w:tc>
          <w:tcPr>
            <w:tcW w:type="dxa" w:w="1881"/>
          </w:tcPr>
          <w:p>
            <w:r>
              <w:t>17</w:t>
            </w:r>
          </w:p>
        </w:tc>
        <w:tc>
          <w:tcPr>
            <w:tcW w:type="dxa" w:w="1881"/>
          </w:tcPr>
          <w:p>
            <w:r>
              <w:t>研究机构/智库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有</w:t>
            </w:r>
          </w:p>
        </w:tc>
        <w:tc>
          <w:tcPr>
            <w:tcW w:type="dxa" w:w="1881"/>
          </w:tcPr>
          <w:p>
            <w:r>
              <w:t>https://fcs.utar.edu.my/</w:t>
            </w:r>
          </w:p>
        </w:tc>
      </w:tr>
      <w:tr>
        <w:tc>
          <w:tcPr>
            <w:tcW w:type="dxa" w:w="1881"/>
          </w:tcPr>
          <w:p>
            <w:r>
              <w:t>37</w:t>
            </w:r>
          </w:p>
        </w:tc>
        <w:tc>
          <w:tcPr>
            <w:tcW w:type="dxa" w:w="1881"/>
          </w:tcPr>
          <w:p>
            <w:r>
              <w:t>硕博培养点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有</w:t>
            </w:r>
          </w:p>
        </w:tc>
        <w:tc>
          <w:tcPr>
            <w:tcW w:type="dxa" w:w="1881"/>
          </w:tcPr>
          <w:p>
            <w:r>
              <w:t>https://study.um.edu.my/master-of-chinese-studies-coursework</w:t>
            </w:r>
          </w:p>
        </w:tc>
      </w:tr>
      <w:tr>
        <w:tc>
          <w:tcPr>
            <w:tcW w:type="dxa" w:w="1881"/>
          </w:tcPr>
          <w:p>
            <w:r>
              <w:t>42</w:t>
            </w:r>
          </w:p>
        </w:tc>
        <w:tc>
          <w:tcPr>
            <w:tcW w:type="dxa" w:w="1881"/>
          </w:tcPr>
          <w:p>
            <w:r>
              <w:t>开设中文专业高校数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至少2所</w:t>
            </w:r>
          </w:p>
        </w:tc>
        <w:tc>
          <w:tcPr>
            <w:tcW w:type="dxa" w:w="1881"/>
          </w:tcPr>
          <w:p>
            <w:r>
              <w:t>https://study.utar.edu.my/chinese-studies.php</w:t>
            </w:r>
          </w:p>
        </w:tc>
      </w:tr>
      <w:tr>
        <w:tc>
          <w:tcPr>
            <w:tcW w:type="dxa" w:w="1881"/>
          </w:tcPr>
          <w:p>
            <w:r>
              <w:t>45</w:t>
            </w:r>
          </w:p>
        </w:tc>
        <w:tc>
          <w:tcPr>
            <w:tcW w:type="dxa" w:w="1881"/>
          </w:tcPr>
          <w:p>
            <w:r>
              <w:t>孔子学院/中文工坊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至少1个</w:t>
            </w:r>
          </w:p>
        </w:tc>
        <w:tc>
          <w:tcPr>
            <w:tcW w:type="dxa" w:w="1881"/>
          </w:tcPr>
          <w:p>
            <w:r>
              <w:t>https://www.um.edu.my/global-engagement</w:t>
            </w:r>
          </w:p>
        </w:tc>
      </w:tr>
      <w:tr>
        <w:tc>
          <w:tcPr>
            <w:tcW w:type="dxa" w:w="1881"/>
          </w:tcPr>
          <w:p>
            <w:r>
              <w:t>48</w:t>
            </w:r>
          </w:p>
        </w:tc>
        <w:tc>
          <w:tcPr>
            <w:tcW w:type="dxa" w:w="1881"/>
          </w:tcPr>
          <w:p>
            <w:r>
              <w:t>教师/教育协会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有且网络化程度高</w:t>
            </w:r>
          </w:p>
        </w:tc>
        <w:tc>
          <w:tcPr>
            <w:tcW w:type="dxa" w:w="1881"/>
          </w:tcPr>
          <w:p>
            <w:r>
              <w:t>https://www.dongzong.my/en/about-us/</w:t>
            </w:r>
          </w:p>
        </w:tc>
      </w:tr>
    </w:tbl>
    <w:p>
      <w:pPr>
        <w:pStyle w:val="Heading1"/>
      </w:pPr>
      <w:r>
        <w:t>结论</w:t>
      </w:r>
    </w:p>
    <w:p>
      <w:r>
        <w:t>社会基础最强，但政策争议长期存在。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