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泰国中文教育发展态势评估</w:t>
      </w:r>
    </w:p>
    <w:p>
      <w:pPr>
        <w:jc w:val="center"/>
      </w:pPr>
      <w:r>
        <w:t>生成时间：2026-04-10 13:17</w:t>
      </w:r>
    </w:p>
    <w:p>
      <w:pPr>
        <w:pStyle w:val="Heading1"/>
      </w:pPr>
      <w:r>
        <w:t>摘要</w:t>
      </w:r>
    </w:p>
    <w:p>
      <w:r>
        <w:t>泰国中文教育属于需求驱动强、政策开放度较高的外语教育扩张型样本。</w:t>
      </w:r>
    </w:p>
    <w:p>
      <w:r>
        <w:t>中文整体上仍是高热度外语，而非制度性母语或官方语言。</w:t>
      </w:r>
    </w:p>
    <w:p>
      <w:r>
        <w:t>大学体系和华社机构支撑明显，是其增长的重要基础。</w:t>
      </w:r>
    </w:p>
    <w:p>
      <w:pPr>
        <w:pStyle w:val="Heading1"/>
      </w:pPr>
      <w:r>
        <w:t>核心汇总数据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t>指标ID</w:t>
            </w:r>
          </w:p>
        </w:tc>
        <w:tc>
          <w:tcPr>
            <w:tcW w:type="dxa" w:w="1881"/>
          </w:tcPr>
          <w:p>
            <w:r>
              <w:t>字段</w:t>
            </w:r>
          </w:p>
        </w:tc>
        <w:tc>
          <w:tcPr>
            <w:tcW w:type="dxa" w:w="1881"/>
          </w:tcPr>
          <w:p>
            <w:r>
              <w:t>状态</w:t>
            </w:r>
          </w:p>
        </w:tc>
        <w:tc>
          <w:tcPr>
            <w:tcW w:type="dxa" w:w="1881"/>
          </w:tcPr>
          <w:p>
            <w:r>
              <w:t>当前值</w:t>
            </w:r>
          </w:p>
        </w:tc>
        <w:tc>
          <w:tcPr>
            <w:tcW w:type="dxa" w:w="1881"/>
          </w:tcPr>
          <w:p>
            <w:r>
              <w:t>来源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外交伙伴关系等级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全面战略合作伙伴关系</w:t>
            </w:r>
          </w:p>
        </w:tc>
        <w:tc>
          <w:tcPr>
            <w:tcW w:type="dxa" w:w="1881"/>
          </w:tcPr>
          <w:p>
            <w:r>
              <w:t>https://mfa.go.th/en/content/cscp-2024-en?cate=5d5bcb4e15e39c306000683e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纳入教育体系层级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学校项目与高校体系已存在</w:t>
            </w:r>
          </w:p>
        </w:tc>
        <w:tc>
          <w:tcPr>
            <w:tcW w:type="dxa" w:w="1881"/>
          </w:tcPr>
          <w:p>
            <w:r>
              <w:t>https://www.moe.go.th/%E0%B8%AB%E0%B9%89%E0%B8%AD%E0%B8%87%E0%B9%80%E0%B8%A3%E0%B8%B5%E0%B8%A2%E0%B8%99%E0%B8%A0%E0%B8%B2%E0%B8%A9%E0%B8%B2%E0%B8%88%E0%B8%B5%E0%B8%99/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中文教育地位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高热度外语；非官方语言</w:t>
            </w:r>
          </w:p>
        </w:tc>
        <w:tc>
          <w:tcPr>
            <w:tcW w:type="dxa" w:w="1881"/>
          </w:tcPr>
          <w:p>
            <w:r>
              <w:t>https://thailand.go.th/page/thai-language</w:t>
            </w:r>
          </w:p>
        </w:tc>
      </w:tr>
      <w:tr>
        <w:tc>
          <w:tcPr>
            <w:tcW w:type="dxa" w:w="1881"/>
          </w:tcPr>
          <w:p>
            <w:r>
              <w:t>10</w:t>
            </w:r>
          </w:p>
        </w:tc>
        <w:tc>
          <w:tcPr>
            <w:tcW w:type="dxa" w:w="1881"/>
          </w:tcPr>
          <w:p>
            <w:r>
              <w:t>教育政策环境风险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低到中</w:t>
            </w:r>
          </w:p>
        </w:tc>
        <w:tc>
          <w:tcPr>
            <w:tcW w:type="dxa" w:w="1881"/>
          </w:tcPr>
          <w:p>
            <w:r>
              <w:t>https://www.moe.go.th/%E0%B8%AB%E0%B9%89%E0%B8%AD%E0%B8%87%E0%B9%80%E0%B8%A3%E0%B8%B5%E0%B8%A2%E0%B8%99%E0%B8%A0%E0%B8%B2%E0%B8%A9%E0%B8%B2%E0%B8%88%E0%B8%B5%E0%B8%99/</w:t>
            </w:r>
          </w:p>
        </w:tc>
      </w:tr>
      <w:tr>
        <w:tc>
          <w:tcPr>
            <w:tcW w:type="dxa" w:w="1881"/>
          </w:tcPr>
          <w:p>
            <w:r>
              <w:t>17</w:t>
            </w:r>
          </w:p>
        </w:tc>
        <w:tc>
          <w:tcPr>
            <w:tcW w:type="dxa" w:w="1881"/>
          </w:tcPr>
          <w:p>
            <w:r>
              <w:t>研究机构/智库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https://hcuchinamonitor.hcu.ac.th/en/home-en</w:t>
            </w:r>
          </w:p>
        </w:tc>
      </w:tr>
      <w:tr>
        <w:tc>
          <w:tcPr>
            <w:tcW w:type="dxa" w:w="1881"/>
          </w:tcPr>
          <w:p>
            <w:r>
              <w:t>37</w:t>
            </w:r>
          </w:p>
        </w:tc>
        <w:tc>
          <w:tcPr>
            <w:tcW w:type="dxa" w:w="1881"/>
          </w:tcPr>
          <w:p>
            <w:r>
              <w:t>硕博培养点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有</w:t>
            </w:r>
          </w:p>
        </w:tc>
        <w:tc>
          <w:tcPr>
            <w:tcW w:type="dxa" w:w="1881"/>
          </w:tcPr>
          <w:p>
            <w:r>
              <w:t>https://www.arts.chula.ac.th/east/chinese/Curriculum.html</w:t>
            </w:r>
          </w:p>
        </w:tc>
      </w:tr>
      <w:tr>
        <w:tc>
          <w:tcPr>
            <w:tcW w:type="dxa" w:w="1881"/>
          </w:tcPr>
          <w:p>
            <w:r>
              <w:t>39</w:t>
            </w:r>
          </w:p>
        </w:tc>
        <w:tc>
          <w:tcPr>
            <w:tcW w:type="dxa" w:w="1881"/>
          </w:tcPr>
          <w:p>
            <w:r>
              <w:t>本土教师培养项目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存在</w:t>
            </w:r>
          </w:p>
        </w:tc>
        <w:tc>
          <w:tcPr>
            <w:tcW w:type="dxa" w:w="1881"/>
          </w:tcPr>
          <w:p>
            <w:r>
              <w:t>https://www.arts.chula.ac.th/east/chinese/history_en.html</w:t>
            </w:r>
          </w:p>
        </w:tc>
      </w:tr>
      <w:tr>
        <w:tc>
          <w:tcPr>
            <w:tcW w:type="dxa" w:w="1881"/>
          </w:tcPr>
          <w:p>
            <w:r>
              <w:t>42</w:t>
            </w:r>
          </w:p>
        </w:tc>
        <w:tc>
          <w:tcPr>
            <w:tcW w:type="dxa" w:w="1881"/>
          </w:tcPr>
          <w:p>
            <w:r>
              <w:t>开设中文专业高校数</w:t>
            </w:r>
          </w:p>
        </w:tc>
        <w:tc>
          <w:tcPr>
            <w:tcW w:type="dxa" w:w="1881"/>
          </w:tcPr>
          <w:p>
            <w:r>
              <w:t>已确认</w:t>
            </w:r>
          </w:p>
        </w:tc>
        <w:tc>
          <w:tcPr>
            <w:tcW w:type="dxa" w:w="1881"/>
          </w:tcPr>
          <w:p>
            <w:r>
              <w:t>至少1所成熟样本</w:t>
            </w:r>
          </w:p>
        </w:tc>
        <w:tc>
          <w:tcPr>
            <w:tcW w:type="dxa" w:w="1881"/>
          </w:tcPr>
          <w:p>
            <w:r>
              <w:t>https://www.arts.chula.ac.th/east/chinese/index_en.html</w:t>
            </w:r>
          </w:p>
        </w:tc>
      </w:tr>
      <w:tr>
        <w:tc>
          <w:tcPr>
            <w:tcW w:type="dxa" w:w="1881"/>
          </w:tcPr>
          <w:p>
            <w:r>
              <w:t>63</w:t>
            </w:r>
          </w:p>
        </w:tc>
        <w:tc>
          <w:tcPr>
            <w:tcW w:type="dxa" w:w="1881"/>
          </w:tcPr>
          <w:p>
            <w:r>
              <w:t>中文+职业技能</w:t>
            </w:r>
          </w:p>
        </w:tc>
        <w:tc>
          <w:tcPr>
            <w:tcW w:type="dxa" w:w="1881"/>
          </w:tcPr>
          <w:p>
            <w:r>
              <w:t>部分确认</w:t>
            </w:r>
          </w:p>
        </w:tc>
        <w:tc>
          <w:tcPr>
            <w:tcW w:type="dxa" w:w="1881"/>
          </w:tcPr>
          <w:p>
            <w:r>
              <w:t>存在明显商务导向</w:t>
            </w:r>
          </w:p>
        </w:tc>
        <w:tc>
          <w:tcPr>
            <w:tcW w:type="dxa" w:w="1881"/>
          </w:tcPr>
          <w:p>
            <w:r>
              <w:t>https://hcuchinamonitor.hcu.ac.th/en/home-en</w:t>
            </w:r>
          </w:p>
        </w:tc>
      </w:tr>
    </w:tbl>
    <w:p>
      <w:pPr>
        <w:pStyle w:val="Heading1"/>
      </w:pPr>
      <w:r>
        <w:t>结论</w:t>
      </w:r>
    </w:p>
    <w:p>
      <w:r>
        <w:t>需求旺盛、扩张快，但中文仍属外语赛道。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