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越南中文教育发展态势评估</w:t>
      </w:r>
    </w:p>
    <w:p>
      <w:pPr>
        <w:jc w:val="center"/>
      </w:pPr>
      <w:r>
        <w:t>生成时间：2026-04-10 13:17</w:t>
      </w:r>
    </w:p>
    <w:p>
      <w:pPr>
        <w:pStyle w:val="Heading1"/>
      </w:pPr>
      <w:r>
        <w:t>摘要</w:t>
      </w:r>
    </w:p>
    <w:p>
      <w:r>
        <w:t>越南中文教育的突出特点是课程承认较明确、高校与研究机构较强、教师培训活跃。</w:t>
      </w:r>
    </w:p>
    <w:p>
      <w:r>
        <w:t>中文已进入普通教育外语1课程框架，高校和研究机构支撑明显。</w:t>
      </w:r>
    </w:p>
    <w:p>
      <w:r>
        <w:t>挑战主要来自英语、日语、韩语等竞争语种，而非行政层面的直接打压。</w:t>
      </w:r>
    </w:p>
    <w:p>
      <w:pPr>
        <w:pStyle w:val="Heading1"/>
      </w:pPr>
      <w:r>
        <w:t>核心汇总数据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指标ID</w:t>
            </w:r>
          </w:p>
        </w:tc>
        <w:tc>
          <w:tcPr>
            <w:tcW w:type="dxa" w:w="1881"/>
          </w:tcPr>
          <w:p>
            <w:r>
              <w:t>字段</w:t>
            </w:r>
          </w:p>
        </w:tc>
        <w:tc>
          <w:tcPr>
            <w:tcW w:type="dxa" w:w="1881"/>
          </w:tcPr>
          <w:p>
            <w:r>
              <w:t>状态</w:t>
            </w:r>
          </w:p>
        </w:tc>
        <w:tc>
          <w:tcPr>
            <w:tcW w:type="dxa" w:w="1881"/>
          </w:tcPr>
          <w:p>
            <w:r>
              <w:t>当前值</w:t>
            </w:r>
          </w:p>
        </w:tc>
        <w:tc>
          <w:tcPr>
            <w:tcW w:type="dxa" w:w="1881"/>
          </w:tcPr>
          <w:p>
            <w:r>
              <w:t>来源</w:t>
            </w:r>
          </w:p>
        </w:tc>
      </w:tr>
      <w:tr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外交伙伴关系等级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全面战略合作伙伴关系并推进命运共同体建设</w:t>
            </w:r>
          </w:p>
        </w:tc>
        <w:tc>
          <w:tcPr>
            <w:tcW w:type="dxa" w:w="1881"/>
          </w:tcPr>
          <w:p>
            <w:r>
              <w:t>https://mofa.gov.vn/web/ministry-of-foreign-affairs/detail/chi-tiet/developing-ties-with-china-a-strategic-priority-in-vietnam-s-foreign-policy-deputy-pm-58405-591.html</w:t>
            </w:r>
          </w:p>
        </w:tc>
      </w:tr>
      <w:tr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纳入教育体系层级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中学阶段已进入外语1课程框架；高校体系成熟</w:t>
            </w:r>
          </w:p>
        </w:tc>
        <w:tc>
          <w:tcPr>
            <w:tcW w:type="dxa" w:w="1881"/>
          </w:tcPr>
          <w:p>
            <w:r>
              <w:t>https://moet.gov.vn/giaoducquocdan/day-va-hoc-ngoai-ngu/Pages/Default.aspx?ItemID=7461</w:t>
            </w:r>
          </w:p>
        </w:tc>
      </w:tr>
      <w:tr>
        <w:tc>
          <w:tcPr>
            <w:tcW w:type="dxa" w:w="1881"/>
          </w:tcPr>
          <w:p>
            <w:r>
              <w:t>3</w:t>
            </w:r>
          </w:p>
        </w:tc>
        <w:tc>
          <w:tcPr>
            <w:tcW w:type="dxa" w:w="1881"/>
          </w:tcPr>
          <w:p>
            <w:r>
              <w:t>中文教育地位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正式外语课程选项；非国家共同语言</w:t>
            </w:r>
          </w:p>
        </w:tc>
        <w:tc>
          <w:tcPr>
            <w:tcW w:type="dxa" w:w="1881"/>
          </w:tcPr>
          <w:p>
            <w:r>
              <w:t>https://mofa.gov.vn/web/guest/dan-toc-ngon-ngu</w:t>
            </w:r>
          </w:p>
        </w:tc>
      </w:tr>
      <w:tr>
        <w:tc>
          <w:tcPr>
            <w:tcW w:type="dxa" w:w="1881"/>
          </w:tcPr>
          <w:p>
            <w:r>
              <w:t>10</w:t>
            </w:r>
          </w:p>
        </w:tc>
        <w:tc>
          <w:tcPr>
            <w:tcW w:type="dxa" w:w="1881"/>
          </w:tcPr>
          <w:p>
            <w:r>
              <w:t>教育政策环境风险</w:t>
            </w:r>
          </w:p>
        </w:tc>
        <w:tc>
          <w:tcPr>
            <w:tcW w:type="dxa" w:w="1881"/>
          </w:tcPr>
          <w:p>
            <w:r>
              <w:t>部分确认</w:t>
            </w:r>
          </w:p>
        </w:tc>
        <w:tc>
          <w:tcPr>
            <w:tcW w:type="dxa" w:w="1881"/>
          </w:tcPr>
          <w:p>
            <w:r>
              <w:t>中低</w:t>
            </w:r>
          </w:p>
        </w:tc>
        <w:tc>
          <w:tcPr>
            <w:tcW w:type="dxa" w:w="1881"/>
          </w:tcPr>
          <w:p>
            <w:r>
              <w:t>https://moet.gov.vn/giaoducquocdan/day-va-hoc-ngoai-ngu/Pages/Default.aspx?ItemID=7461</w:t>
            </w:r>
          </w:p>
        </w:tc>
      </w:tr>
      <w:tr>
        <w:tc>
          <w:tcPr>
            <w:tcW w:type="dxa" w:w="1881"/>
          </w:tcPr>
          <w:p>
            <w:r>
              <w:t>17</w:t>
            </w:r>
          </w:p>
        </w:tc>
        <w:tc>
          <w:tcPr>
            <w:tcW w:type="dxa" w:w="1881"/>
          </w:tcPr>
          <w:p>
            <w:r>
              <w:t>研究机构/智库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有</w:t>
            </w:r>
          </w:p>
        </w:tc>
        <w:tc>
          <w:tcPr>
            <w:tcW w:type="dxa" w:w="1881"/>
          </w:tcPr>
          <w:p>
            <w:r>
              <w:t>https://ussh.vnu.edu.vn/en/organizational-structure/centers-institutes-companies/center-for-chinese-studies-13067.html</w:t>
            </w:r>
          </w:p>
        </w:tc>
      </w:tr>
      <w:tr>
        <w:tc>
          <w:tcPr>
            <w:tcW w:type="dxa" w:w="1881"/>
          </w:tcPr>
          <w:p>
            <w:r>
              <w:t>37</w:t>
            </w:r>
          </w:p>
        </w:tc>
        <w:tc>
          <w:tcPr>
            <w:tcW w:type="dxa" w:w="1881"/>
          </w:tcPr>
          <w:p>
            <w:r>
              <w:t>硕博培养点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有</w:t>
            </w:r>
          </w:p>
        </w:tc>
        <w:tc>
          <w:tcPr>
            <w:tcW w:type="dxa" w:w="1881"/>
          </w:tcPr>
          <w:p>
            <w:r>
              <w:t>https://ulis.vnu.edu.vn/co-cau-to-chuc/khoa-nnvh-trung/</w:t>
            </w:r>
          </w:p>
        </w:tc>
      </w:tr>
      <w:tr>
        <w:tc>
          <w:tcPr>
            <w:tcW w:type="dxa" w:w="1881"/>
          </w:tcPr>
          <w:p>
            <w:r>
              <w:t>39</w:t>
            </w:r>
          </w:p>
        </w:tc>
        <w:tc>
          <w:tcPr>
            <w:tcW w:type="dxa" w:w="1881"/>
          </w:tcPr>
          <w:p>
            <w:r>
              <w:t>本土教师培养项目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有</w:t>
            </w:r>
          </w:p>
        </w:tc>
        <w:tc>
          <w:tcPr>
            <w:tcW w:type="dxa" w:w="1881"/>
          </w:tcPr>
          <w:p>
            <w:r>
              <w:t>https://ulis.vnu.edu.vn/khai-mac-khoa-boi-duong-giao-vien-tieng-trung-tai-viet-nam/</w:t>
            </w:r>
          </w:p>
        </w:tc>
      </w:tr>
      <w:tr>
        <w:tc>
          <w:tcPr>
            <w:tcW w:type="dxa" w:w="1881"/>
          </w:tcPr>
          <w:p>
            <w:r>
              <w:t>42</w:t>
            </w:r>
          </w:p>
        </w:tc>
        <w:tc>
          <w:tcPr>
            <w:tcW w:type="dxa" w:w="1881"/>
          </w:tcPr>
          <w:p>
            <w:r>
              <w:t>开设中文专业高校数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至少2所</w:t>
            </w:r>
          </w:p>
        </w:tc>
        <w:tc>
          <w:tcPr>
            <w:tcW w:type="dxa" w:w="1881"/>
          </w:tcPr>
          <w:p>
            <w:r>
              <w:t>https://chinese.ftu.edu.vn/index.php/gi%E1%BB%9Bi-thi%E1%BB%87u/l%E1%BB%8Bch-s%E1%BB%AD-h%C3%ACnh-th%C3%A0nh</w:t>
            </w:r>
          </w:p>
        </w:tc>
      </w:tr>
      <w:tr>
        <w:tc>
          <w:tcPr>
            <w:tcW w:type="dxa" w:w="1881"/>
          </w:tcPr>
          <w:p>
            <w:r>
              <w:t>45</w:t>
            </w:r>
          </w:p>
        </w:tc>
        <w:tc>
          <w:tcPr>
            <w:tcW w:type="dxa" w:w="1881"/>
          </w:tcPr>
          <w:p>
            <w:r>
              <w:t>孔子学院/中文工坊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至少1个</w:t>
            </w:r>
          </w:p>
        </w:tc>
        <w:tc>
          <w:tcPr>
            <w:tcW w:type="dxa" w:w="1881"/>
          </w:tcPr>
          <w:p>
            <w:r>
              <w:t>https://en.ulis.vnu.edu.vn/blog/archives/ulis-students-won-prizes-at-20th-chinese-bridge-competition/</w:t>
            </w:r>
          </w:p>
        </w:tc>
      </w:tr>
      <w:tr>
        <w:tc>
          <w:tcPr>
            <w:tcW w:type="dxa" w:w="1881"/>
          </w:tcPr>
          <w:p>
            <w:r>
              <w:t>64</w:t>
            </w:r>
          </w:p>
        </w:tc>
        <w:tc>
          <w:tcPr>
            <w:tcW w:type="dxa" w:w="1881"/>
          </w:tcPr>
          <w:p>
            <w:r>
              <w:t>教师资格认证</w:t>
            </w:r>
          </w:p>
        </w:tc>
        <w:tc>
          <w:tcPr>
            <w:tcW w:type="dxa" w:w="1881"/>
          </w:tcPr>
          <w:p>
            <w:r>
              <w:t>部分确认</w:t>
            </w:r>
          </w:p>
        </w:tc>
        <w:tc>
          <w:tcPr>
            <w:tcW w:type="dxa" w:w="1881"/>
          </w:tcPr>
          <w:p>
            <w:r>
              <w:t>存在较清晰培养与认证路径</w:t>
            </w:r>
          </w:p>
        </w:tc>
        <w:tc>
          <w:tcPr>
            <w:tcW w:type="dxa" w:w="1881"/>
          </w:tcPr>
          <w:p>
            <w:r>
              <w:t>https://en.ulis.vnu.edu.vn/aboutulis-organizational-structure/faculty-of-chinese-language-and-culture/ulis-sunwah-chinese-teaching-and-research-centre-ulis-sunwah/</w:t>
            </w:r>
          </w:p>
        </w:tc>
      </w:tr>
    </w:tbl>
    <w:p>
      <w:pPr>
        <w:pStyle w:val="Heading1"/>
      </w:pPr>
      <w:r>
        <w:t>结论</w:t>
      </w:r>
    </w:p>
    <w:p>
      <w:r>
        <w:t>课程承认明显，大学与教师培训支撑较突出。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