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rPr>
          <w:rFonts w:ascii="Calibri" w:hAnsi="Calibri" w:eastAsia="Microsoft YaHei"/>
        </w:rPr>
        <w:t>CMC 两篇论文：LLM API 申请、标注裁决与实验授权执行方案</w:t>
      </w:r>
    </w:p>
    <w:p>
      <w:pPr>
        <w:pStyle w:val="Normal"/>
      </w:pPr>
      <w:r>
        <w:rPr>
          <w:rFonts w:ascii="Calibri" w:hAnsi="Calibri" w:eastAsia="Microsoft YaHei"/>
        </w:rPr>
        <w:t>适用论文： C2GES 与 MA-SQLGrid（作者及单位信息沿用原 CMC 稿件） 目标期刊： MDPI *Applied Sciences* 版本： v1.0，2026-08-07 文档性质： 作者决策与执行手册；不构成伦理审批、法律意见或真人专家签字</w:t>
      </w:r>
    </w:p>
    <w:p>
      <w:pPr>
        <w:pStyle w:val="Heading1"/>
      </w:pPr>
      <w:r>
        <w:rPr>
          <w:rFonts w:ascii="Calibri" w:hAnsi="Calibri" w:eastAsia="Microsoft YaHei"/>
        </w:rPr>
        <w:t>一、结论先行</w:t>
      </w:r>
    </w:p>
    <w:p>
      <w:pPr>
        <w:pStyle w:val="Normal"/>
      </w:pPr>
      <w:r>
        <w:rPr>
          <w:rFonts w:ascii="Calibri" w:hAnsi="Calibri" w:eastAsia="Microsoft YaHei"/>
        </w:rPr>
        <w:t>本项目涉及两种完全不同的“授权”，不能混为一谈。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>厂商 API 访问授权：在 OpenAI、Google、DeepSeek、阿里云百炼、火山方舟、智谱或 Perplexity 等官方控制台注册账户、开通计费并创建 API Key。API Key 只证明账户有权调用模型。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>论文项目运行授权：由作者对具体冻结协议、数据范围、模型、调用量、预算、硬件占用和停止条件作出书面批准。它不是向外部机构申请的 API，也不能由 LLM、代码代理或 API Key 自动代替。</w:t>
      </w:r>
    </w:p>
    <w:p>
      <w:pPr>
        <w:pStyle w:val="Normal"/>
      </w:pPr>
      <w:r>
        <w:rPr>
          <w:rFonts w:ascii="Calibri" w:hAnsi="Calibri" w:eastAsia="Microsoft YaHei"/>
        </w:rPr>
        <w:t>因此，您问的“授权 API 去哪里申请”如果指模型调用权限，应去相应厂商官方控制台申请 API Key；如果指 MA-SQLGrid 的 BIRD 正式实验启动，则无需向外部申请任何授权 API，只需作者对当前冻结协议作出明确、可追溯的书面批准。</w:t>
      </w:r>
    </w:p>
    <w:p>
      <w:pPr>
        <w:pStyle w:val="Normal"/>
      </w:pPr>
      <w:r>
        <w:rPr>
          <w:rFonts w:ascii="Calibri" w:hAnsi="Calibri" w:eastAsia="Microsoft YaHei"/>
        </w:rPr>
        <w:t>LLM 可以承担预标注、双盲机器标注、冲突解释和候选裁决，但它产生的是 LLM-assisted / machine-adjudicated silver labels，不是“真人专家金标”。若论文要声称“由领域专家标注并裁决”，仍必须有真实、具备相应资质的人员完成或复核。没有真人参与时，应修改证据等级和论文表述，而不能把大模型冒充专家。</w:t>
      </w:r>
    </w:p>
    <w:p>
      <w:pPr>
        <w:pStyle w:val="Heading1"/>
      </w:pPr>
      <w:r>
        <w:rPr>
          <w:rFonts w:ascii="Calibri" w:hAnsi="Calibri" w:eastAsia="Microsoft YaHei"/>
        </w:rPr>
        <w:t>二、API Key 去哪里申请</w:t>
      </w:r>
    </w:p>
    <w:p>
      <w:pPr>
        <w:pStyle w:val="Heading2"/>
      </w:pPr>
      <w:r>
        <w:rPr>
          <w:rFonts w:ascii="Calibri" w:hAnsi="Calibri" w:eastAsia="Microsoft YaHei"/>
        </w:rPr>
        <w:t>2.1 推荐的直接申请入口</w:t>
      </w:r>
    </w:p>
    <w:p>
      <w:pPr>
        <w:pStyle w:val="Normal"/>
      </w:pPr>
      <w:r>
        <w:rPr>
          <w:rFonts w:ascii="Calibri" w:hAnsi="Calibri" w:eastAsia="Microsoft YaHei"/>
        </w:rPr>
        <w:t>以下均为厂商官方入口。申请流程通常是：注册/登录 → 必要时完成实名认证或组织验证 → 开通模型服务/计费 → 创建项目或工作空间 → 创建 API Key → 设置额度与权限 → 进行最小测试。</w:t>
      </w:r>
    </w:p>
    <w:tbl>
      <w:tblPr>
        <w:tblW w:w="9360" w:type="dxa"/>
        <w:tblInd w:w="120" w:type="dxa"/>
        <w:tblLayout w:type="fixed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8EEF5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  <w:b/>
              </w:rPr>
              <w:t>提供方</w:t>
            </w:r>
          </w:p>
        </w:tc>
        <w:tc>
          <w:tcPr>
            <w:tcW w:w="2340" w:type="dxa"/>
            <w:shd w:val="clear" w:color="auto" w:fill="E8EEF5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  <w:b/>
              </w:rPr>
              <w:t>官方申请或管理入口</w:t>
            </w:r>
          </w:p>
        </w:tc>
        <w:tc>
          <w:tcPr>
            <w:tcW w:w="2340" w:type="dxa"/>
            <w:shd w:val="clear" w:color="auto" w:fill="E8EEF5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  <w:b/>
              </w:rPr>
              <w:t>本项目建议用途</w:t>
            </w:r>
          </w:p>
        </w:tc>
        <w:tc>
          <w:tcPr>
            <w:tcW w:w="2340" w:type="dxa"/>
            <w:shd w:val="clear" w:color="auto" w:fill="E8EEF5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  <w:b/>
              </w:rPr>
              <w:t>备注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OpenAI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https://platform.openai.com/api-keys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独立标注或第三模型裁决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API 与 ChatGPT 订阅分开计费；密钥创建后应立即安全保存。官方说明：https://help.openai.com/en/articles/4936850-where-do-i-find-my-openai-api-key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Google Gemini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https://aistudio.google.com/app/apikey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异构第二标注器或裁决器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新 Key 优先使用当前的授权型 Key；限制到 Gemini API。官方说明：https://ai.google.dev/gemini-api/docs/api-key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DeepSeek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https://platform.deepseek.com/api_keys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中文/代码任务标注器、SQL 候选复核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需有余额；401 表示鉴权失败。官方文档：https://api-docs.deepseek.com/api/deepseek-api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阿里云百炼 / Qwen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https://bailian.console.aliyun.com/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中文标注器或结构化输出模型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在目标地域创建 API Key，并记录对应 API Host。官方说明：https://help.aliyun.com/zh/model-studio/get-api-key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火山方舟 / Doubao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https://console.volcengine.com/ark/region:ark+cn-beijing/apikey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异构复核或成本敏感批处理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创建 Key 后调用方舟端点；官方示例：https://www.volcengine.com/docs/82379/1795150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智谱开放平台 / GLM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https://open.bigmodel.cn/usercenter/apikeys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中文裁决或独立复核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通用 API 与 Coding 套餐 Key/端点不可混用。官方说明：https://docs.bigmodel.cn/cn/guide/develop/http/introduction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Perplexity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https://console.perplexity.ai/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需要联网检索的辅助核查，不宜作为唯一标注器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先创建 API Group，再创建 Key。官方说明：https://docs.perplexity.ai/docs/getting-started/api-groups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Moonshot / Kimi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https://platform.moonshot.cn/console/api-keys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可选中文异构标注器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应使用官方开放平台账户；不要把网页会员当作 API 额度。若本地仍走代理，必须先确认代理身份、上游模型和日志政策。</w:t>
            </w:r>
          </w:p>
        </w:tc>
      </w:tr>
      <w:tr>
        <w:trPr/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xAI / Grok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https://console.x.ai/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可选异构标注器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60" w:lineRule="auto"/>
            </w:pPr>
            <w:r>
              <w:rPr>
                <w:rFonts w:ascii="Calibri" w:hAnsi="Calibri" w:eastAsia="Microsoft YaHei"/>
              </w:rPr>
              <w:t>使用官方控制台创建并管理 Key；运行前锁定确切模型版本。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2.2 当前本地配置状态</w:t>
      </w:r>
    </w:p>
    <w:p>
      <w:pPr>
        <w:pStyle w:val="Normal"/>
      </w:pPr>
      <w:r>
        <w:rPr>
          <w:rFonts w:ascii="Calibri" w:hAnsi="Calibri" w:eastAsia="Microsoft YaHei"/>
        </w:rPr>
        <w:t>根据 2026-08-07 对项目 .env 的脱敏连通性检查：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已可访问：DeepSeek、Qwen、Grok、Gemini、Perplexity、Cloubic。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当前未通过：Doubao 与 GLM 返回 401，应在各自官方控制台重新创建或核对 Key、套餐类型、地域和 Base URL。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Kimi 当前配置指向 http://127.0.0.1:18182，但本地代理端口未监听；应启动并审计该代理，或改为 Moonshot 官方端点。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GROK_API_KEY 在 .env 中存在重复定义；应保留一个有效值，避免加载顺序不确定。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.env 已被忽略，但 .env.cloubic 目前存在被误提交风险；应加入忽略规则或迁移到受控的本地密钥文件，并轮换任何可能暴露过的 Key。</w:t>
      </w:r>
    </w:p>
    <w:p>
      <w:pPr>
        <w:pStyle w:val="Normal"/>
      </w:pPr>
      <w:r>
        <w:rPr>
          <w:rFonts w:ascii="Calibri" w:hAnsi="Calibri" w:eastAsia="Microsoft YaHei"/>
        </w:rPr>
        <w:t>这些状态只表示“能否调用”，不表示模型适合充当金标专家，也不等于作者已经批准正式实验。</w:t>
      </w:r>
    </w:p>
    <w:p>
      <w:pPr>
        <w:pStyle w:val="Heading1"/>
      </w:pPr>
      <w:r>
        <w:rPr>
          <w:rFonts w:ascii="Calibri" w:hAnsi="Calibri" w:eastAsia="Microsoft YaHei"/>
        </w:rPr>
        <w:t>三、为什么 API 不能替代真人专家责任</w:t>
      </w:r>
    </w:p>
    <w:p>
      <w:pPr>
        <w:pStyle w:val="Heading2"/>
      </w:pPr>
      <w:r>
        <w:rPr>
          <w:rFonts w:ascii="Calibri" w:hAnsi="Calibri" w:eastAsia="Microsoft YaHei"/>
        </w:rPr>
        <w:t>3.1 可以由 LLM 完成的工作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按冻结标注手册生成第一轮结构化标签。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两个不同模型家族独立、互盲标注同一批样本。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对冲突样本列出证据、冲突类型与建议结论。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运行确定性检查：JSON Schema、引用句 ID、SQL 语法、只读安全、可执行性、结果形状和单位一致性。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对高置信一致样本形成机器银标，并保留完整调用账本。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为真人复核人员排序高风险案例，显著减少人工工作量。</w:t>
      </w:r>
    </w:p>
    <w:p>
      <w:pPr>
        <w:pStyle w:val="Heading2"/>
      </w:pPr>
      <w:r>
        <w:rPr>
          <w:rFonts w:ascii="Calibri" w:hAnsi="Calibri" w:eastAsia="Microsoft YaHei"/>
        </w:rPr>
        <w:t>3.2 不能由 LLM 冒充完成的工作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不能签署作者的实验启动授权。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不能被写成“电力领域专家”“两名独立人工标注者”或“人工裁决者”。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不能提供作者贡献、利益冲突、资金声明、许可审查或最终投稿同意。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不能把模型生成的标签自动升级为 human gold。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不能因为模型一致率高就证明标签正确；共同训练数据、提示偏差和同源模型会产生相关错误。</w:t>
      </w:r>
    </w:p>
    <w:p>
      <w:pPr>
        <w:pStyle w:val="Heading2"/>
      </w:pPr>
      <w:r>
        <w:rPr>
          <w:rFonts w:ascii="Calibri" w:hAnsi="Calibri" w:eastAsia="Microsoft YaHei"/>
        </w:rPr>
        <w:t>3.3 对“数据是否不完整”的正确解释</w:t>
      </w:r>
    </w:p>
    <w:p>
      <w:pPr>
        <w:pStyle w:val="Normal"/>
      </w:pPr>
      <w:r>
        <w:rPr>
          <w:rFonts w:ascii="Calibri" w:hAnsi="Calibri" w:eastAsia="Microsoft YaHei"/>
        </w:rPr>
        <w:t>“等待真人专家标注/裁决”并不等于已有实验数据造假或文件缺失，而是表明某些更强的外部有效性主张缺少相应证据层级。当前两篇稿件已有可审计的机器实验，但以下主张仍有边界：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C2GES 的 NERC 派生标签属于机器银标，若无真人复核，不能写成人工金标性能。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MA-SQLGrid 的 91 个外部 grid question–SQL 候选尚无双专家审查和争议裁决，不能把自动候选匹配称为外部准确率。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BIRD 是公开基准，不需要专家逐条造金标；它缺的是作者对已冻结 5000-call 正式运行的启动批准，而不是数据本身缺失。</w:t>
      </w:r>
    </w:p>
    <w:p>
      <w:pPr>
        <w:pStyle w:val="Normal"/>
      </w:pPr>
      <w:r>
        <w:rPr>
          <w:rFonts w:ascii="Calibri" w:hAnsi="Calibri" w:eastAsia="Microsoft YaHei"/>
        </w:rPr>
        <w:t>在没有真人专家资源时，合法的策略是降低表述强度、明确 silver-label provenance、报告机器一致性和误差边界，并把真人验证列为后续工作。不能用术语替换来伪装证据等级。</w:t>
      </w:r>
    </w:p>
    <w:p>
      <w:pPr>
        <w:pStyle w:val="Heading1"/>
      </w:pPr>
      <w:r>
        <w:rPr>
          <w:rFonts w:ascii="Calibri" w:hAnsi="Calibri" w:eastAsia="Microsoft YaHei"/>
        </w:rPr>
        <w:t>四、适用于两篇论文的标注—裁决方案</w:t>
      </w:r>
    </w:p>
    <w:p>
      <w:pPr>
        <w:pStyle w:val="Heading2"/>
      </w:pPr>
      <w:r>
        <w:rPr>
          <w:rFonts w:ascii="Calibri" w:hAnsi="Calibri" w:eastAsia="Microsoft YaHei"/>
        </w:rPr>
        <w:t>4.1 总体架构</w:t>
      </w:r>
    </w:p>
    <w:p>
      <w:pPr>
        <w:pStyle w:val="Normal"/>
      </w:pPr>
      <w:r>
        <w:rPr>
          <w:rFonts w:ascii="Calibri" w:hAnsi="Calibri" w:eastAsia="Microsoft YaHei"/>
        </w:rPr>
        <w:t>采用“三模型、两验证器、一真人门禁”的分层流程：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Microsoft YaHei"/>
        </w:rPr>
        <w:t>冻结任务：先冻结标注手册、标签模式、纳入排除标准、样本清单、提示词、模型快照、随机种子和统计计划。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Microsoft YaHei"/>
        </w:rPr>
        <w:t>标注器 A：模型家族 A 独立输出结构化 JSON，不得看到 B 的结论。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Microsoft YaHei"/>
        </w:rPr>
        <w:t>标注器 B：不同供应商、不同模型家族独立输出相同 Schema，不得看到 A 的结论。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Microsoft YaHei"/>
        </w:rPr>
        <w:t>确定性验证：代码检查格式、证据可追溯性、SQL 安全/执行、引用范围、重复项和越权标签。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Microsoft YaHei"/>
        </w:rPr>
        <w:t>裁决器 C：第三个不同模型仅查看原始材料、A/B 标签及确定性检查结果；模型名称匿名化；允许 ABSTAIN。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Microsoft YaHei"/>
        </w:rPr>
        <w:t>真人复核门禁：复核全部分歧、全部 ABSTAIN、全部高风险样本，以及一致样本中预先随机抽取的 15%–25%。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Microsoft YaHei"/>
        </w:rPr>
        <w:t>冻结最终账本：记录原始响应、解析响应、最终标签、裁决原因、人工修改、时间戳、模型版本、token、成本和错误。</w:t>
      </w:r>
    </w:p>
    <w:p>
      <w:pPr>
        <w:pStyle w:val="Normal"/>
      </w:pPr>
      <w:r>
        <w:rPr>
          <w:rFonts w:ascii="Calibri" w:hAnsi="Calibri" w:eastAsia="Microsoft YaHei"/>
        </w:rPr>
        <w:t>若完全不安排真人复核，则第 6 步改为“作者审阅证据等级与表述”，最终数据必须命名为 machine-adjudicated silver set，不得命名为 expert-adjudicated gold set。</w:t>
      </w:r>
    </w:p>
    <w:p>
      <w:pPr>
        <w:pStyle w:val="Heading2"/>
      </w:pPr>
      <w:r>
        <w:rPr>
          <w:rFonts w:ascii="Calibri" w:hAnsi="Calibri" w:eastAsia="Microsoft YaHei"/>
        </w:rPr>
        <w:t>4.2 模型选择规则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A、B、C 尽量来自三个不同提供方，避免同一基础模型经不同聚合商重复出现。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若使用 Cloubic 或其他聚合路由，必须记录实际 upstream provider、模型 ID 和版本；无法确认上游时，不计作“独立模型家族”。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被评测模型原则上不担任裁决器，避免自我偏好。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SQL 任务优先选择代码/结构化输出稳定的模型；证据句选择优先选择长文本定位稳定的模型。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固定温度或最低随机性，固定 max_tokens，记录系统指令与 JSON Schema 的 SHA-256。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允许模型拒答和裁决器弃权；不得强迫每个样本都给确定结论。</w:t>
      </w:r>
    </w:p>
    <w:p>
      <w:pPr>
        <w:pStyle w:val="Normal"/>
      </w:pPr>
      <w:r>
        <w:rPr>
          <w:rFonts w:ascii="Calibri" w:hAnsi="Calibri" w:eastAsia="Microsoft YaHei"/>
        </w:rPr>
        <w:t>推荐起始组合可为：Qwen 或 DeepSeek 作为 A，Gemini 或 Grok 作为 B，OpenAI/GLM/Doubao 中与 A、B 均不同的一家作为 C。最终组合应以 20–30 条盲测 pilot 的格式通过率、冲突质量、成本和稳定性决定，而不是只看排行榜。</w:t>
      </w:r>
    </w:p>
    <w:p>
      <w:pPr>
        <w:pStyle w:val="Heading2"/>
      </w:pPr>
      <w:r>
        <w:rPr>
          <w:rFonts w:ascii="Calibri" w:hAnsi="Calibri" w:eastAsia="Microsoft YaHei"/>
        </w:rPr>
        <w:t>4.3 C2GES 专项标注设计</w:t>
      </w:r>
    </w:p>
    <w:p>
      <w:pPr>
        <w:pStyle w:val="Normal"/>
      </w:pPr>
      <w:r>
        <w:rPr>
          <w:rFonts w:ascii="Calibri" w:hAnsi="Calibri" w:eastAsia="Microsoft YaHei"/>
        </w:rPr>
        <w:t>对象： NERC 报告或其许可允许使用的派生文本与 evidence candidates。 核心单位： 文档—声明—证据句集合，而不是单独句子。</w:t>
      </w:r>
    </w:p>
    <w:p>
      <w:pPr>
        <w:pStyle w:val="Normal"/>
      </w:pPr>
      <w:r>
        <w:rPr>
          <w:rFonts w:ascii="Calibri" w:hAnsi="Calibri" w:eastAsia="Microsoft YaHei"/>
        </w:rPr>
        <w:t>每条标签至少包含：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document_id、claim_id、原文句 ID。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证据角色：支持、反驳、背景、方法、结果、无关或信息不足。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证据句集合；必须引用原始句 ID，不允许只生成摘要。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是否存在跨句依赖、否定、条件、时间限定和实体歧义。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置信档位与可验证理由；置信度仅用于排序，不作为正确性概率。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ABSTAIN 与原因。</w:t>
      </w:r>
    </w:p>
    <w:p>
      <w:pPr>
        <w:pStyle w:val="Normal"/>
      </w:pPr>
      <w:r>
        <w:rPr>
          <w:rFonts w:ascii="Calibri" w:hAnsi="Calibri" w:eastAsia="Microsoft YaHei"/>
        </w:rPr>
        <w:t>确定性检查包括：句 ID 必须存在；引用不得超出原文；证据集合不得为空却标为支持/反驳；重复句规范化；数据许可与来源映射完整。统计至少报告原始一致率、Cohen’s kappa 或 Krippendorff’s alpha、证据集合 F1、分歧率、裁决率、弃权率，以及真人抽检后的错误率和置信区间。</w:t>
      </w:r>
    </w:p>
    <w:p>
      <w:pPr>
        <w:pStyle w:val="Normal"/>
      </w:pPr>
      <w:r>
        <w:rPr>
          <w:rFonts w:ascii="Calibri" w:hAnsi="Calibri" w:eastAsia="Microsoft YaHei"/>
        </w:rPr>
        <w:t>当前开发可见的约 200 条 NERC 候选可以用于完善手册和 pilot，但不能事后宣称为真正 sealed set。若要形成新 sealed set，建议先做功效/精度目标计算，再在模型输出不可见的条件下抽取新样本；工程起始范围可设为 50–100 条，最终数量由预先设定的置信区间宽度决定。</w:t>
      </w:r>
    </w:p>
    <w:p>
      <w:pPr>
        <w:pStyle w:val="Heading2"/>
      </w:pPr>
      <w:r>
        <w:rPr>
          <w:rFonts w:ascii="Calibri" w:hAnsi="Calibri" w:eastAsia="Microsoft YaHei"/>
        </w:rPr>
        <w:t>4.4 MA-SQLGrid 专项标注设计</w:t>
      </w:r>
    </w:p>
    <w:p>
      <w:pPr>
        <w:pStyle w:val="Normal"/>
      </w:pPr>
      <w:r>
        <w:rPr>
          <w:rFonts w:ascii="Calibri" w:hAnsi="Calibri" w:eastAsia="Microsoft YaHei"/>
        </w:rPr>
        <w:t>对象一： 91 个现有外部 grid question–SQL 候选。 对象二： 新建的 sealed grid-domain follow-up set。 对象三： BIRD Mini-Dev 公开比较（无需人工造 gold SQL，但需正式运行授权和独立复算）。</w:t>
      </w:r>
    </w:p>
    <w:p>
      <w:pPr>
        <w:pStyle w:val="Normal"/>
      </w:pPr>
      <w:r>
        <w:rPr>
          <w:rFonts w:ascii="Calibri" w:hAnsi="Calibri" w:eastAsia="Microsoft YaHei"/>
        </w:rPr>
        <w:t>对 question–SQL 候选，每条标签至少包含：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问题是否可由给定数据库回答。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所需表、列、连接路径、过滤条件、聚合、分组、排序、单位和时间范围。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SQL 是否只读、安全、语法有效、可执行。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执行结果是否满足问题语义，而非只判断“能执行”。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结果列、顺序、重复值、空值和 tie handling 是否正确。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错误分类与最小修正建议。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ABSTAIN 与需要的额外领域信息。</w:t>
      </w:r>
    </w:p>
    <w:p>
      <w:pPr>
        <w:pStyle w:val="Normal"/>
      </w:pPr>
      <w:r>
        <w:rPr>
          <w:rFonts w:ascii="Calibri" w:hAnsi="Calibri" w:eastAsia="Microsoft YaHei"/>
        </w:rPr>
        <w:t>确定性验证必须在 SQLite 只读沙箱执行：URI mode=ro、PRAGMA query_only、authorizer 拒绝写操作、进度超时和输出上限。LLM 不得直接执行 shell 命令，也不得通过生成 SQL 修改数据库。</w:t>
      </w:r>
    </w:p>
    <w:p>
      <w:pPr>
        <w:pStyle w:val="Normal"/>
      </w:pPr>
      <w:r>
        <w:rPr>
          <w:rFonts w:ascii="Calibri" w:hAnsi="Calibri" w:eastAsia="Microsoft YaHei"/>
        </w:rPr>
        <w:t>现有 91 条是开发可见样本，适合双模型复标和真人高风险复核，但不能追溯升级为 sealed。新的 sealed set 可从许可明确、尚未被提示开发使用的 RTS-GMLC/SimBench 派生问题中建立；工程起始范围可设为 80–120 条，并在任何被测模型看到样本前冻结任务与答案。样本量最终由预期错误率和目标区间宽度决定。</w:t>
      </w:r>
    </w:p>
    <w:p>
      <w:pPr>
        <w:pStyle w:val="Heading1"/>
      </w:pPr>
      <w:r>
        <w:rPr>
          <w:rFonts w:ascii="Calibri" w:hAnsi="Calibri" w:eastAsia="Microsoft YaHei"/>
        </w:rPr>
        <w:t>五、BIRD 5000-call 正式运行授权</w:t>
      </w:r>
    </w:p>
    <w:p>
      <w:pPr>
        <w:pStyle w:val="Heading2"/>
      </w:pPr>
      <w:r>
        <w:rPr>
          <w:rFonts w:ascii="Calibri" w:hAnsi="Calibri" w:eastAsia="Microsoft YaHei"/>
        </w:rPr>
        <w:t>5.1 当前冻结状态</w:t>
      </w:r>
    </w:p>
    <w:p>
      <w:pPr>
        <w:pStyle w:val="Normal"/>
      </w:pPr>
      <w:r>
        <w:rPr>
          <w:rFonts w:ascii="Calibri" w:hAnsi="Calibri" w:eastAsia="Microsoft YaHei"/>
        </w:rPr>
        <w:t>本地权威冻结文件为：</w:t>
      </w:r>
    </w:p>
    <w:p>
      <w:pPr>
        <w:pStyle w:val="Normal"/>
      </w:pPr>
      <w:r>
        <w:rPr>
          <w:rFonts w:ascii="Calibri" w:hAnsi="Calibri" w:eastAsia="Microsoft YaHei"/>
        </w:rPr>
        <w:t>paper_projects/applied_sciences_dual_rebuild/MA_SQLGrid/public_baseline_protocol/BASELINE_PROTOCOL_FREEZE.json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协议 ID：MA-PUBLIC-BIRD-MINIDEV-v1.0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冻结文件 SHA-256：29C780C63A2DC2BAAE221CFCE52252C716D8720DBEECDC2F7A2FDD5756B42AF5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状态：FROZEN_NOT_RUN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数据：BIRD Mini-Dev，500 题、11 个 SQLite 数据库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模型：冻结的本地 Qwen2.5-Coder-7B 与 Granite-3.3-8B 快照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方法：Direct、Decomposition、deterministic Schema Selection、mandatory two-call Execution Repair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调用量：每模型 2500 次，共 5000 次；最终 SQL 输出 4000 个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前置验证：500/500 gold SQL 在 SQLite 3.40.1 下完成；独立技术审计 39/39 PASS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正式结果：0 次正式调用、0 个正式输出；不得在授权和执行前写入任何 BIRD 分数</w:t>
      </w:r>
    </w:p>
    <w:p>
      <w:pPr>
        <w:pStyle w:val="Normal"/>
      </w:pPr>
      <w:r>
        <w:rPr>
          <w:rFonts w:ascii="Calibri" w:hAnsi="Calibri" w:eastAsia="Microsoft YaHei"/>
        </w:rPr>
        <w:t>该运行使用本地 RTX 3090，不需要任何外部 LLM API Key。所谓“人工启动授权”是防止未经作者同意消耗数小时 GPU、产生正式研究结果和改变投稿证据边界的本地治理门禁。</w:t>
      </w:r>
    </w:p>
    <w:p>
      <w:pPr>
        <w:pStyle w:val="Heading2"/>
      </w:pPr>
      <w:r>
        <w:rPr>
          <w:rFonts w:ascii="Calibri" w:hAnsi="Calibri" w:eastAsia="Microsoft YaHei"/>
        </w:rPr>
        <w:t>5.2 可复制的作者授权文本</w:t>
      </w:r>
    </w:p>
    <w:p>
      <w:pPr>
        <w:pStyle w:val="Normal"/>
        <w:ind w:left="360"/>
        <w:shd w:val="clear" w:color="auto" w:fill="F2F4F7"/>
      </w:pPr>
      <w:r>
        <w:rPr>
          <w:rFonts w:ascii="Calibri" w:hAnsi="Calibri" w:eastAsia="Microsoft YaHei"/>
        </w:rPr>
        <w:t>我授权执行冻结协议 MA-PUBLIC-BIRD-MINIDEV-v1.0，并确认冻结文件 SHA-256 为 29C780C63A2DC2BAAE221CFCE52252C716D8720DBEECDC2F7A2FDD5756B42AF5。我知悉本次运行包含 500 个 BIRD Mini-Dev 项目、11 个数据库、2 个本地模型、4 种方法、共 5000 次生成调用和约 4000 个最终 SQL 输出，将占用本地 RTX 3090 数小时。授权仅限该冻结协议，不授权修改协议、删除失败记录、对外上传数据、宣称 DKA-SQL 复现或自动投稿。批准人：[姓名或稳定身份]；批准时间：[YYYY-MM-DD HH:MM，Asia/Shanghai]。</w:t>
      </w:r>
    </w:p>
    <w:p>
      <w:pPr>
        <w:pStyle w:val="Normal"/>
      </w:pPr>
      <w:r>
        <w:rPr>
          <w:rFonts w:ascii="Calibri" w:hAnsi="Calibri" w:eastAsia="Microsoft YaHei"/>
        </w:rPr>
        <w:t>作者可直接在对话中发送完整文本，也可填写本项目的 HUMAN_ACTION_PACKET.md。执行代理必须核对协议 ID、SHA-256、批准人、时间和明确的 5000-call/GPU 确认；任何字段缺失均应 fail closed。</w:t>
      </w:r>
    </w:p>
    <w:p>
      <w:pPr>
        <w:pStyle w:val="Heading2"/>
      </w:pPr>
      <w:r>
        <w:rPr>
          <w:rFonts w:ascii="Calibri" w:hAnsi="Calibri" w:eastAsia="Microsoft YaHei"/>
        </w:rPr>
        <w:t>5.3 通用 API 批处理授权模板</w:t>
      </w:r>
    </w:p>
    <w:p>
      <w:pPr>
        <w:pStyle w:val="Normal"/>
      </w:pPr>
      <w:r>
        <w:rPr>
          <w:rFonts w:ascii="Calibri" w:hAnsi="Calibri" w:eastAsia="Microsoft YaHei"/>
        </w:rPr>
        <w:t>对于云端 LLM 标注，应新建不含密钥的授权记录，例如：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>{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"approval_id": "DUAL-LLM-ANNOTATION-YYYYMMDD-01",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"approved_by": "作者姓名或稳定身份",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"approved_at": "2026-08-07T20:00:00+08:00",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"scope": ["C2GES_NERC_PILOT", "MA_GRIDSQL_PILOT"],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"protocol_sha256": "待冻结后填写",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"providers_and_models": [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{"role": "annotator_a", "provider": "...", "model": "精确版本"},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{"role": "annotator_b", "provider": "...", "model": "精确版本"},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{"role": "adjudicator_c", "provider": "...", "model": "精确版本"}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],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"max_calls": 1000,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"max_cost_cny": 500,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"data_scope": ["允许上传的具体文件或脱敏字段"],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"prohibited_actions": [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"不得上传未授权或保密材料",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"不得把 LLM 标签称为真人专家金标",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"不得覆盖原始数据",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"不得删除失败或分歧记录",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"不得自动投稿或公开发布"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],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"stop_conditions": [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"预算达到 80% 时暂停",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"连续 5 次鉴权或格式错误时暂停",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"检测到敏感信息或许可冲突时立即暂停",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  "实际模型版本与冻结记录不一致时立即暂停"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 xml:space="preserve">  ]</w:t>
      </w:r>
    </w:p>
    <w:p>
      <w:pPr>
        <w:pStyle w:val="Code"/>
        <w:shd w:val="clear" w:color="auto" w:fill="F7F7F7"/>
        <w:ind w:left="240" w:right="240"/>
      </w:pPr>
      <w:r>
        <w:rPr>
          <w:rFonts w:ascii="Consolas" w:hAnsi="Consolas" w:eastAsia="Microsoft YaHei"/>
          <w:sz w:val="18"/>
          <w:szCs w:val="18"/>
        </w:rPr>
        <w:t>}</w:t>
      </w:r>
    </w:p>
    <w:p>
      <w:pPr>
        <w:pStyle w:val="Normal"/>
      </w:pPr>
      <w:r>
        <w:rPr>
          <w:rFonts w:ascii="Calibri" w:hAnsi="Calibri" w:eastAsia="Microsoft YaHei"/>
        </w:rPr>
        <w:t>API Key 永远不能写入该授权 JSON、论文、日志或聊天内容；程序只从本地环境变量或秘密管理器读取。</w:t>
      </w:r>
    </w:p>
    <w:p>
      <w:pPr>
        <w:pStyle w:val="Heading1"/>
      </w:pPr>
      <w:r>
        <w:rPr>
          <w:rFonts w:ascii="Calibri" w:hAnsi="Calibri" w:eastAsia="Microsoft YaHei"/>
        </w:rPr>
        <w:t>六、分阶段执行与验收门禁</w:t>
      </w:r>
    </w:p>
    <w:p>
      <w:pPr>
        <w:pStyle w:val="Heading2"/>
      </w:pPr>
      <w:r>
        <w:rPr>
          <w:rFonts w:ascii="Calibri" w:hAnsi="Calibri" w:eastAsia="Microsoft YaHei"/>
        </w:rPr>
        <w:t>阶段 0：许可、数据和声明确认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逐数据集确认下载、派生、上传第三方 API、再发布和论文展示权限。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对不能上传云端的数据，只使用本地模型或脱敏、最小化字段。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冻结 C2GES 和 MA-SQLGrid 各自的 label schema、手册和排除规则。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作者确认 LLM 使用披露方案。</w:t>
      </w:r>
    </w:p>
    <w:p>
      <w:pPr>
        <w:pStyle w:val="Normal"/>
      </w:pPr>
      <w:r>
        <w:rPr>
          <w:rFonts w:ascii="Calibri" w:hAnsi="Calibri" w:eastAsia="Microsoft YaHei"/>
        </w:rPr>
        <w:t>验收： 无未知许可；无 API Key 入库；数据范围有明确授权。</w:t>
      </w:r>
    </w:p>
    <w:p>
      <w:pPr>
        <w:pStyle w:val="Heading2"/>
      </w:pPr>
      <w:r>
        <w:rPr>
          <w:rFonts w:ascii="Calibri" w:hAnsi="Calibri" w:eastAsia="Microsoft YaHei"/>
        </w:rPr>
        <w:t>阶段 1：20–30 条双模型 pilot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每篇论文抽取 20–30 条，A/B 独立标注，C 只裁决分歧。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统计 JSON 通过率、平均 token、成本、延迟、分歧率、弃权率。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人工检查全部分歧和至少 20% 一致样本。</w:t>
      </w:r>
    </w:p>
    <w:p>
      <w:pPr>
        <w:pStyle w:val="Normal"/>
      </w:pPr>
      <w:r>
        <w:rPr>
          <w:rFonts w:ascii="Calibri" w:hAnsi="Calibri" w:eastAsia="Microsoft YaHei"/>
        </w:rPr>
        <w:t>验收： 结构化输出通过率建议不低于 98%；无法解析记录不丢弃；分歧类型可解释；成本外推在预算内。</w:t>
      </w:r>
    </w:p>
    <w:p>
      <w:pPr>
        <w:pStyle w:val="Heading2"/>
      </w:pPr>
      <w:r>
        <w:rPr>
          <w:rFonts w:ascii="Calibri" w:hAnsi="Calibri" w:eastAsia="Microsoft YaHei"/>
        </w:rPr>
        <w:t>阶段 2：开发可见集完整处理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C2GES：处理现有 NERC 候选；最终名称保持 machine-adjudicated silver。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MA-SQLGrid：处理现有 91 条外部候选；真人未完成前不报告 external gold accuracy。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生成按样本的 provenance ledger 和聚合一致性报告。</w:t>
      </w:r>
    </w:p>
    <w:p>
      <w:pPr>
        <w:pStyle w:val="Normal"/>
      </w:pPr>
      <w:r>
        <w:rPr>
          <w:rFonts w:ascii="Calibri" w:hAnsi="Calibri" w:eastAsia="Microsoft YaHei"/>
        </w:rPr>
        <w:t>验收： 全样本分母保留；调用失败、解析失败、裁决和人工修改均计数。</w:t>
      </w:r>
    </w:p>
    <w:p>
      <w:pPr>
        <w:pStyle w:val="Heading2"/>
      </w:pPr>
      <w:r>
        <w:rPr>
          <w:rFonts w:ascii="Calibri" w:hAnsi="Calibri" w:eastAsia="Microsoft YaHei"/>
        </w:rPr>
        <w:t>阶段 3：新 sealed set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由数据保管人生成/封存；被测模型和提示开发人员在冻结前不得看到答案。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样本量由统计精度目标确定，不以“凑够论文数量”为原则。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先冻结方法和统计计划，再一次性解封运行；不得看结果删样本。</w:t>
      </w:r>
    </w:p>
    <w:p>
      <w:pPr>
        <w:pStyle w:val="Normal"/>
      </w:pPr>
      <w:r>
        <w:rPr>
          <w:rFonts w:ascii="Calibri" w:hAnsi="Calibri" w:eastAsia="Microsoft YaHei"/>
        </w:rPr>
        <w:t>验收： freeze hash、custodian、时间戳、无泄漏声明和完整运行账本齐全。</w:t>
      </w:r>
    </w:p>
    <w:p>
      <w:pPr>
        <w:pStyle w:val="Heading2"/>
      </w:pPr>
      <w:r>
        <w:rPr>
          <w:rFonts w:ascii="Calibri" w:hAnsi="Calibri" w:eastAsia="Microsoft YaHei"/>
        </w:rPr>
        <w:t>阶段 4：BIRD 或其他正式实验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BIRD 仅在作者签署第 5 节授权后运行精确冻结协议。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云 API 批处理仅在通用授权 JSON 完成后运行。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所有失败保留；无结果导向重试；重试策略必须预先冻结。</w:t>
      </w:r>
    </w:p>
    <w:p>
      <w:pPr>
        <w:pStyle w:val="Normal"/>
      </w:pPr>
      <w:r>
        <w:rPr>
          <w:rFonts w:ascii="Calibri" w:hAnsi="Calibri" w:eastAsia="Microsoft YaHei"/>
        </w:rPr>
        <w:t>验收： 调用数、唯一记录数、最终输出数、数据库复执行和协议 hash 全部匹配。</w:t>
      </w:r>
    </w:p>
    <w:p>
      <w:pPr>
        <w:pStyle w:val="Heading2"/>
      </w:pPr>
      <w:r>
        <w:rPr>
          <w:rFonts w:ascii="Calibri" w:hAnsi="Calibri" w:eastAsia="Microsoft YaHei"/>
        </w:rPr>
        <w:t>阶段 5：论文集成与三轮评审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第一轮：方法、数据许可、泄漏与证据等级。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第二轮：统计、复算、失败分母、图表和主张边界。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第三轮：Applied Sciences 合规、GenAI 披露、作者声明、可复现性和最终 PDF。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每轮形成 issue matrix、逐项回复、修改后独立复核；未关闭项不得标记 submission-ready。</w:t>
      </w:r>
    </w:p>
    <w:p>
      <w:pPr>
        <w:pStyle w:val="Heading1"/>
      </w:pPr>
      <w:r>
        <w:rPr>
          <w:rFonts w:ascii="Calibri" w:hAnsi="Calibri" w:eastAsia="Microsoft YaHei"/>
        </w:rPr>
        <w:t>七、统计与报告最低要求</w:t>
      </w:r>
    </w:p>
    <w:p>
      <w:pPr>
        <w:pStyle w:val="Heading2"/>
      </w:pPr>
      <w:r>
        <w:rPr>
          <w:rFonts w:ascii="Calibri" w:hAnsi="Calibri" w:eastAsia="Microsoft YaHei"/>
        </w:rPr>
        <w:t>7.1 标注质量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原始一致率与分歧率。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Cohen’s kappa（两标注器、类别标签）或 Krippendorff’s alpha（更一般情形）。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集合标签报告 micro/macro F1 或 Jaccard，并按文档聚类 bootstrap。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裁决率、弃权率、格式失败率、API 失败率和人工推翻率。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对真人抽检错误率给出二项置信区间；不要把 LLM 自报置信度当作校准概率。</w:t>
      </w:r>
    </w:p>
    <w:p>
      <w:pPr>
        <w:pStyle w:val="Heading2"/>
      </w:pPr>
      <w:r>
        <w:rPr>
          <w:rFonts w:ascii="Calibri" w:hAnsi="Calibri" w:eastAsia="Microsoft YaHei"/>
        </w:rPr>
        <w:t>7.2 实验结果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保留 all-attempt denominator，失败不能从分母剔除。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对重复样本、模板或数据库使用适当聚类单位。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多重比较预先定义检验家族并校正。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同时报效应量、置信区间和原始计数，不只报 p 值。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模型、端点、版本、日期、温度、token、成本、延迟、重试和错误必须可追溯。</w:t>
      </w:r>
    </w:p>
    <w:p>
      <w:pPr>
        <w:pStyle w:val="Heading2"/>
      </w:pPr>
      <w:r>
        <w:rPr>
          <w:rFonts w:ascii="Calibri" w:hAnsi="Calibri" w:eastAsia="Microsoft YaHei"/>
        </w:rPr>
        <w:t>7.3 建议图表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一张标注—裁决—真人门禁流程框图。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每篇一张样本流转图：总样本、一致、分歧、弃权、人工复核、最终保留。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一张 A/B/C 与真人抽检的一致性热图或混淆矩阵。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一张成本—延迟—质量 Pareto 图。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MA-SQLGrid 增加 BIRD 四方法 × 两模型结果图和数据库级误差图；仅在正式运行后生成。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C2GES 增加 evidence-role 分层结果和文档级 bootstrap 区间图。</w:t>
      </w:r>
    </w:p>
    <w:p>
      <w:pPr>
        <w:pStyle w:val="Heading1"/>
      </w:pPr>
      <w:r>
        <w:rPr>
          <w:rFonts w:ascii="Calibri" w:hAnsi="Calibri" w:eastAsia="Microsoft YaHei"/>
        </w:rPr>
        <w:t>八、安全、隐私与复现要求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.env、.env.local 和供应商密钥文件全部加入忽略规则；提交前运行 secret scan。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对已暴露、重复或来源不明的 Key 立即轮换；不要在论文补充材料中发布。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为每个项目创建独立 Key，设置最低模型权限、IP 白名单、调用限额和账单告警。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原始文档视为不可信输入，提示中使用明确的数据分隔符，防止文档内 prompt injection 改写标注规则。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原始响应 append-only 保存；解析结果和最终标签另存，不覆盖原文。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日志中屏蔽 Authorization header、Key、个人信息和不允许再发布的原文。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云端上传前确认服务条款、数据保留和训练使用选项；敏感数据优先本地模型。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固定模型完整 ID；若供应商使用滚动别名，应记录请求日期与响应返回的模型标识，并做版本漂移检查。</w:t>
      </w:r>
    </w:p>
    <w:p>
      <w:pPr>
        <w:pStyle w:val="Heading1"/>
      </w:pPr>
      <w:r>
        <w:rPr>
          <w:rFonts w:ascii="Calibri" w:hAnsi="Calibri" w:eastAsia="Microsoft YaHei"/>
        </w:rPr>
        <w:t>九、Applied Sciences 披露边界</w:t>
      </w:r>
    </w:p>
    <w:p>
      <w:pPr>
        <w:pStyle w:val="Normal"/>
      </w:pPr>
      <w:r>
        <w:rPr>
          <w:rFonts w:ascii="Calibri" w:hAnsi="Calibri" w:eastAsia="Microsoft YaHei"/>
        </w:rPr>
        <w:t>MDPI 当前政策要求：如果 GenAI 被用于研究设计、数据收集、生成数据/图形、分析或解释，应在投稿过程中声明，并在 Materials and Methods 中说明使用方式，在 Acknowledgments 中给出工具产品信息；作者对有效性、原创性和完整性负全部责任。单纯语法、结构、拼写和格式编辑通常不在该披露要求内。政策原文：https://www.mdpi.com/ethics</w:t>
      </w:r>
    </w:p>
    <w:p>
      <w:pPr>
        <w:pStyle w:val="Normal"/>
      </w:pPr>
      <w:r>
        <w:rPr>
          <w:rFonts w:ascii="Calibri" w:hAnsi="Calibri" w:eastAsia="Microsoft YaHei"/>
        </w:rPr>
        <w:t>若执行本方案，建议在两篇论文 Methods 中披露：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使用的模型、版本、提供方、访问日期、温度和结构化输出模式。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A/B 独立标注、C 裁决、确定性验证和真人抽检比例。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哪些标签是 human-reviewed，哪些只是 machine-adjudicated silver。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提示词、标签 Schema、protocol hash、失败处理和数据上传边界。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LLM 未被列为作者，最终责任由署名作者承担。</w:t>
      </w:r>
    </w:p>
    <w:p>
      <w:pPr>
        <w:pStyle w:val="Normal"/>
      </w:pPr>
      <w:r>
        <w:rPr>
          <w:rFonts w:ascii="Calibri" w:hAnsi="Calibri" w:eastAsia="Microsoft YaHei"/>
        </w:rPr>
        <w:t>建议致谢模板：</w:t>
      </w:r>
    </w:p>
    <w:p>
      <w:pPr>
        <w:pStyle w:val="Normal"/>
        <w:ind w:left="360"/>
        <w:shd w:val="clear" w:color="auto" w:fill="F2F4F7"/>
      </w:pPr>
      <w:r>
        <w:rPr>
          <w:rFonts w:ascii="Calibri" w:hAnsi="Calibri" w:eastAsia="Microsoft YaHei"/>
        </w:rPr>
        <w:t>During the preparation of this study, the authors used [tool, provider, model/version, access date] for [machine-assisted annotation/adjudication and/or analysis support]. All outputs were subjected to the validation and human-review procedures described in the Materials and Methods. The authors reviewed and edited the outputs and take full responsibility for the content of this publication.</w:t>
      </w:r>
    </w:p>
    <w:p>
      <w:pPr>
        <w:pStyle w:val="Normal"/>
      </w:pPr>
      <w:r>
        <w:rPr>
          <w:rFonts w:ascii="Calibri" w:hAnsi="Calibri" w:eastAsia="Microsoft YaHei"/>
        </w:rPr>
        <w:t>若没有真人抽检，应把其中的 human-review procedures 删除，并明确写为 deterministic validation and author verification；不得暗示专家金标。</w:t>
      </w:r>
    </w:p>
    <w:p>
      <w:pPr>
        <w:pStyle w:val="Heading1"/>
      </w:pPr>
      <w:r>
        <w:rPr>
          <w:rFonts w:ascii="Calibri" w:hAnsi="Calibri" w:eastAsia="Microsoft YaHei"/>
        </w:rPr>
        <w:t>十、预算和停止策略</w:t>
      </w:r>
    </w:p>
    <w:p>
      <w:pPr>
        <w:pStyle w:val="Normal"/>
      </w:pPr>
      <w:r>
        <w:rPr>
          <w:rFonts w:ascii="Calibri" w:hAnsi="Calibri" w:eastAsia="Microsoft YaHei"/>
        </w:rPr>
        <w:t>先做 pilot 再定总预算。预算计算使用每家 API 实际返回的 input/output token 与账单，不使用网页估计代替。建议：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Pilot：每篇 20–30 条 × 2 标注器 + 分歧裁决。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正式预算上限：根据 pilot 的 P90 单条成本乘以计划调用数，再留 20% 异常余量。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当费用达到批准上限 80% 时自动暂停并汇报。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相同输入不得因“不喜欢结果”而反复调用；仅允许冻结规则定义的技术失败重试。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聚合商与直连供应商不要重复计费；先确定一条权威路由。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BIRD 本地 5000-call 与云端标注预算分开审批、分开记账。</w:t>
      </w:r>
    </w:p>
    <w:p>
      <w:pPr>
        <w:pStyle w:val="Heading1"/>
      </w:pPr>
      <w:r>
        <w:rPr>
          <w:rFonts w:ascii="Calibri" w:hAnsi="Calibri" w:eastAsia="Microsoft YaHei"/>
        </w:rPr>
        <w:t>十一、作者现在需要做的最小决策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Microsoft YaHei"/>
        </w:rPr>
        <w:t>决定是否授权精确的 BIRD 本地 5000-call 冻结运行；如授权，发送第 5.2 节完整文本。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Microsoft YaHei"/>
        </w:rPr>
        <w:t>选择云端标注的 A/B/C 提供方，并给出最大调用数和人民币预算。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Microsoft YaHei"/>
        </w:rPr>
        <w:t>确认哪些 NERC、RTS-GMLC、SimBench 或内部材料允许上传第三方 API；不允许的部分改用本地模型。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Microsoft YaHei"/>
        </w:rPr>
        <w:t>决定证据路线：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推荐路线： LLM 双标 + 第三模型裁决 + 真人复核全部分歧和 15%–25% 一致样本。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>无真人资源路线： 全程机器标注/裁决，但论文只声称 silver-label validation，不声称专家金标。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Microsoft YaHei"/>
        </w:rPr>
        <w:t>批准最终 MDPI GenAI disclosure 与作者责任声明。</w:t>
      </w:r>
    </w:p>
    <w:p>
      <w:pPr>
        <w:pStyle w:val="Heading1"/>
      </w:pPr>
      <w:r>
        <w:rPr>
          <w:rFonts w:ascii="Calibri" w:hAnsi="Calibri" w:eastAsia="Microsoft YaHei"/>
        </w:rPr>
        <w:t>十二、推荐的立即执行顺序</w:t>
      </w:r>
    </w:p>
    <w:p>
      <w:pPr>
        <w:pStyle w:val="ListParagraph"/>
        <w:numPr>
          <w:ilvl w:val="0"/>
          <w:numId w:val="5"/>
        </w:numPr>
      </w:pPr>
      <w:r>
        <w:rPr>
          <w:rFonts w:ascii="Calibri" w:hAnsi="Calibri" w:eastAsia="Microsoft YaHei"/>
        </w:rPr>
        <w:t>修复或弃用 Doubao、GLM 和 Kimi 的失效/代理配置；清理重复 Grok 变量和 .env.cloubic 风险。</w:t>
      </w:r>
    </w:p>
    <w:p>
      <w:pPr>
        <w:pStyle w:val="ListParagraph"/>
        <w:numPr>
          <w:ilvl w:val="0"/>
          <w:numId w:val="5"/>
        </w:numPr>
      </w:pPr>
      <w:r>
        <w:rPr>
          <w:rFonts w:ascii="Calibri" w:hAnsi="Calibri" w:eastAsia="Microsoft YaHei"/>
        </w:rPr>
        <w:t>为 C2GES 与 MA-SQLGrid 分别冻结 annotation protocol v1，并生成 hash。</w:t>
      </w:r>
    </w:p>
    <w:p>
      <w:pPr>
        <w:pStyle w:val="ListParagraph"/>
        <w:numPr>
          <w:ilvl w:val="0"/>
          <w:numId w:val="5"/>
        </w:numPr>
      </w:pPr>
      <w:r>
        <w:rPr>
          <w:rFonts w:ascii="Calibri" w:hAnsi="Calibri" w:eastAsia="Microsoft YaHei"/>
        </w:rPr>
        <w:t>使用三家不同模型完成每篇 20–30 条 pilot，生成成本与一致性报告。</w:t>
      </w:r>
    </w:p>
    <w:p>
      <w:pPr>
        <w:pStyle w:val="ListParagraph"/>
        <w:numPr>
          <w:ilvl w:val="0"/>
          <w:numId w:val="5"/>
        </w:numPr>
      </w:pPr>
      <w:r>
        <w:rPr>
          <w:rFonts w:ascii="Calibri" w:hAnsi="Calibri" w:eastAsia="Microsoft YaHei"/>
        </w:rPr>
        <w:t>作者根据 pilot 决定模型组合、真人抽检比例和正式预算。</w:t>
      </w:r>
    </w:p>
    <w:p>
      <w:pPr>
        <w:pStyle w:val="ListParagraph"/>
        <w:numPr>
          <w:ilvl w:val="0"/>
          <w:numId w:val="5"/>
        </w:numPr>
      </w:pPr>
      <w:r>
        <w:rPr>
          <w:rFonts w:ascii="Calibri" w:hAnsi="Calibri" w:eastAsia="Microsoft YaHei"/>
        </w:rPr>
        <w:t>完成开发可见集处理，再决定是否投入新 sealed set。</w:t>
      </w:r>
    </w:p>
    <w:p>
      <w:pPr>
        <w:pStyle w:val="ListParagraph"/>
        <w:numPr>
          <w:ilvl w:val="0"/>
          <w:numId w:val="5"/>
        </w:numPr>
      </w:pPr>
      <w:r>
        <w:rPr>
          <w:rFonts w:ascii="Calibri" w:hAnsi="Calibri" w:eastAsia="Microsoft YaHei"/>
        </w:rPr>
        <w:t>独立处理 BIRD 本地授权；运行后先审计，后看统计结果，再写入 MA-SQLGrid。</w:t>
      </w:r>
    </w:p>
    <w:p>
      <w:pPr>
        <w:pStyle w:val="ListParagraph"/>
        <w:numPr>
          <w:ilvl w:val="0"/>
          <w:numId w:val="5"/>
        </w:numPr>
      </w:pPr>
      <w:r>
        <w:rPr>
          <w:rFonts w:ascii="Calibri" w:hAnsi="Calibri" w:eastAsia="Microsoft YaHei"/>
        </w:rPr>
        <w:t>集成论文并完成三轮评审和三轮修改。</w:t>
      </w:r>
    </w:p>
    <w:p>
      <w:pPr>
        <w:pBdr>
          <w:bottom w:val="single" w:sz="4" w:space="6" w:color="B8C2CC"/>
        </w:pBdr>
      </w:pPr>
    </w:p>
    <w:p>
      <w:pPr>
        <w:pStyle w:val="Normal"/>
      </w:pPr>
      <w:r>
        <w:rPr>
          <w:rFonts w:ascii="Calibri" w:hAnsi="Calibri" w:eastAsia="Microsoft YaHei"/>
        </w:rPr>
        <w:t>最终治理原则： API Key 解决“能否调用模型”；作者授权解决“是否允许开展这项正式研究”；真人专家复核解决“能否声称专家金标”。三者缺一时，应降低相应主张，不得用另一个环节代替。</w:t>
      </w:r>
    </w:p>
    <w:sectPr>
      <w:headerReference w:type="default" r:id="rId4"/>
      <w:footerReference w:type="default" r:id="rId5"/>
      <w:pgSz w:w="12240" w:h="15840"/>
      <w:pgMar w:top="1440" w:right="1440" w:bottom="1440" w:left="1440" w:header="708" w:footer="708" w:gutter="0"/>
      <w:cols w:space="708"/>
      <w:docGrid w:linePitch="312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B7280"/>
        <w:sz w:val="18"/>
      </w:rPr>
      <w:t>第 </w:t>
    </w:r>
    <w:fldSimple w:instr=" PAGE ">
      <w:r>
        <w:rPr>
          <w:color w:val="6B7280"/>
          <w:sz w:val="18"/>
        </w:rPr>
        <w:t>1</w:t>
      </w:r>
    </w:fldSimple>
    <w:r>
      <w:rPr>
        <w:color w:val="6B7280"/>
        <w:sz w:val="18"/>
      </w:rPr>
      <w:t> 页</w:t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EE5"/>
      </w:pBdr>
    </w:pPr>
    <w:r>
      <w:rPr>
        <w:color w:val="6B7280"/>
        <w:sz w:val="18"/>
      </w:rPr>
      <w:t>CMC 双论文 · LLM API、标注裁决与实验授权方案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  <w:rPr>
        <w:rFonts w:ascii="Arial" w:hAnsi="Arial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en-US" w:eastAsia="zh-CN"/>
      </w:rPr>
    </w:rPrDefault>
  </w:docDefaults>
  <w:style w:type="paragraph" w:default="1" w:styleId="Normal">
    <w:name w:val="Normal"/>
    <w:pPr>
      <w:spacing w:before="0" w:after="120" w:line="264" w:lineRule="auto"/>
      <w:widowControl/>
    </w:pPr>
    <w:rPr>
      <w:color w:val="222222"/>
    </w:rPr>
  </w:style>
  <w:style w:type="paragraph" w:styleId="DocTitle">
    <w:name w:val="Document Title"/>
    <w:basedOn w:val="Normal"/>
    <w:next w:val="Normal"/>
    <w:pPr>
      <w:spacing w:before="240" w:after="160"/>
      <w:keepNext/>
      <w:outlineLvl w:val="0"/>
    </w:pPr>
    <w:rPr>
      <w:b/>
      <w:color w:val="0B2545"/>
      <w:sz w:val="48"/>
      <w:szCs w:val="48"/>
    </w:rPr>
  </w:style>
  <w:style w:type="paragraph" w:styleId="Heading1">
    <w:name w:val="heading 1"/>
    <w:basedOn w:val="Normal"/>
    <w:next w:val="Normal"/>
    <w:pPr>
      <w:spacing w:before="320" w:after="160"/>
      <w:keepNext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keepNext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pPr>
      <w:spacing w:before="160" w:after="80"/>
      <w:keepNext/>
      <w:outlineLvl w:val="2"/>
    </w:pPr>
    <w:rPr>
      <w:b/>
      <w:color w:val="1F4D78"/>
      <w:sz w:val="24"/>
      <w:szCs w:val="24"/>
    </w:rPr>
  </w:style>
  <w:style w:type="paragraph" w:styleId="ListParagraph">
    <w:name w:val="List Paragraph"/>
    <w:basedOn w:val="Normal"/>
    <w:pPr>
      <w:spacing w:after="80"/>
      <w:contextualSpacing/>
    </w:pPr>
  </w:style>
  <w:style w:type="paragraph" w:styleId="Code">
    <w:name w:val="Code"/>
    <w:basedOn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CMC 两篇论文：LLM API 申请、标注裁决与实验授权执行方案</dc:title>
  <dc:creator>CMC authors</dc:creator>
  <cp:lastModifiedBy>CMC authors</cp:lastModifiedBy>
  <dcterms:created xsi:type="dcterms:W3CDTF">2026-08-06T17:02:33Z</dcterms:created>
  <dcterms:modified xsi:type="dcterms:W3CDTF">2026-08-06T17:02:33Z</dcterms:modified>
</cp:coreProperties>
</file>