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95E8B">
      <w:pPr>
        <w:jc w:val="center"/>
      </w:pPr>
      <w:r>
        <w:rPr>
          <w:rFonts w:ascii="Times New Roman" w:hAnsi="Times New Roman" w:eastAsia="方正小标宋简体"/>
          <w:b/>
          <w:i w:val="0"/>
          <w:sz w:val="44"/>
        </w:rPr>
        <w:t>冀北智能配网中心电力人工智能项目策划书</w:t>
      </w:r>
    </w:p>
    <w:p w14:paraId="0E5FCAE6">
      <w:pPr>
        <w:jc w:val="center"/>
      </w:pPr>
      <w:r>
        <w:rPr>
          <w:rFonts w:ascii="Times New Roman" w:hAnsi="Times New Roman" w:eastAsia="楷体_GB2312"/>
          <w:b w:val="0"/>
          <w:i w:val="0"/>
          <w:sz w:val="28"/>
        </w:rPr>
        <w:t>(J1–J8)</w:t>
      </w:r>
    </w:p>
    <w:p w14:paraId="495D4FDB">
      <w:pPr>
        <w:jc w:val="center"/>
      </w:pPr>
      <w:r>
        <w:rPr>
          <w:rFonts w:ascii="Times New Roman" w:hAnsi="Times New Roman" w:eastAsia="仿宋_GB2312"/>
          <w:b w:val="0"/>
          <w:i w:val="0"/>
          <w:sz w:val="28"/>
        </w:rPr>
        <w:t>2026年8月</w:t>
      </w:r>
    </w:p>
    <w:p w14:paraId="40414941"/>
    <w:p w14:paraId="3ED11FE1">
      <w:pPr>
        <w:spacing w:before="280" w:after="120"/>
      </w:pPr>
      <w:r>
        <w:rPr>
          <w:rFonts w:ascii="Times New Roman" w:hAnsi="Times New Roman" w:eastAsia="黑体"/>
          <w:b/>
          <w:i w:val="0"/>
          <w:sz w:val="28"/>
        </w:rPr>
        <w:t>J1 面向保电场景的配电系统数字孪生反事实推演与智能体辅助决策关键技术研究</w:t>
      </w:r>
    </w:p>
    <w:p w14:paraId="7AF16985">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构建北戴河保电区域配电系统高精度数字孪生体与配电智能体族,稳态推演准确度≥95%,重要负荷N-1/N-2转供预案推演覆盖率100%,智能体辅助决策方案采纳率≥80%,支撑保电由"人工预案"升级为"推演验证型预案"。</w:t>
      </w:r>
    </w:p>
    <w:p w14:paraId="0B53A754">
      <w:pPr>
        <w:spacing w:after="80" w:line="480" w:lineRule="exact"/>
        <w:ind w:firstLine="482"/>
      </w:pPr>
      <w:r>
        <w:rPr>
          <w:rFonts w:ascii="Times New Roman" w:hAnsi="Times New Roman" w:eastAsia="黑体"/>
          <w:b/>
          <w:i w:val="0"/>
          <w:sz w:val="24"/>
        </w:rPr>
        <w:t>【基本建设内容】</w:t>
      </w:r>
    </w:p>
    <w:p w14:paraId="72254DE3">
      <w:pPr>
        <w:spacing w:after="40" w:line="480" w:lineRule="exact"/>
        <w:ind w:left="680" w:firstLine="0"/>
      </w:pPr>
      <w:r>
        <w:rPr>
          <w:rFonts w:ascii="Times New Roman" w:hAnsi="Times New Roman" w:eastAsia="仿宋_GB2312"/>
          <w:b w:val="0"/>
          <w:i w:val="0"/>
          <w:sz w:val="24"/>
        </w:rPr>
        <w:t>(一) 保电区域配电数字孪生体构建,融合PMU、配变终端多源量测,实现拓扑参数自校核与毫秒级响应更新。</w:t>
      </w:r>
    </w:p>
    <w:p w14:paraId="65E0C91E">
      <w:pPr>
        <w:spacing w:after="40" w:line="480" w:lineRule="exact"/>
        <w:ind w:left="680" w:firstLine="0"/>
      </w:pPr>
      <w:r>
        <w:rPr>
          <w:rFonts w:ascii="Times New Roman" w:hAnsi="Times New Roman" w:eastAsia="仿宋_GB2312"/>
          <w:b w:val="0"/>
          <w:i w:val="0"/>
          <w:sz w:val="24"/>
        </w:rPr>
        <w:t>(二) 知识嵌入与思维链推理增强的配电智能体族构建,覆盖运行监测、源荷预测、安全边界感知、故障反演、转供决策功能。</w:t>
      </w:r>
    </w:p>
    <w:p w14:paraId="7FEA7514">
      <w:pPr>
        <w:spacing w:after="40" w:line="480" w:lineRule="exact"/>
        <w:ind w:left="680" w:firstLine="0"/>
      </w:pPr>
      <w:r>
        <w:rPr>
          <w:rFonts w:ascii="Times New Roman" w:hAnsi="Times New Roman" w:eastAsia="仿宋_GB2312"/>
          <w:b w:val="0"/>
          <w:i w:val="0"/>
          <w:sz w:val="24"/>
        </w:rPr>
        <w:t>(三) 保电反事实推演技术研究,批量预演重要负荷转供、设备故障、外力破坏情景并生成保电风险图谱。</w:t>
      </w:r>
    </w:p>
    <w:p w14:paraId="0FAC0DC2">
      <w:pPr>
        <w:spacing w:after="40" w:line="480" w:lineRule="exact"/>
        <w:ind w:left="680" w:firstLine="0"/>
      </w:pPr>
      <w:r>
        <w:rPr>
          <w:rFonts w:ascii="Times New Roman" w:hAnsi="Times New Roman" w:eastAsia="仿宋_GB2312"/>
          <w:b w:val="0"/>
          <w:i w:val="0"/>
          <w:sz w:val="24"/>
        </w:rPr>
        <w:t>(四) 原型系统在北戴河保电区域试点,保电期连续运行≥3个月,依托全国重点实验室联合机制开展理论攻关。</w:t>
      </w:r>
    </w:p>
    <w:p w14:paraId="42026126">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技术重心在智能体决策而非孪生建模(建模复用成熟混合状态估计方案,依托保电区域高密度PMU与配变终端量测,不是本题攻关点):智能体层以大模型为任务理解与推理核心,决策生成采用"候选操作生成→孪生体前向推演→蒙特卡洛树搜索评估→风险排序输出"四步机制,每个建议方案必附推演验证结果与量化风险值;保电场景预置重要负荷N-1/N-2转供剧本,批量推演生成风险图谱并随方式变化动态更新;决策实行人机分级授权:常规操作智能体自主执行、保电操作一律辅助决策人工确认;试点期以决策方案采纳率与事后复盘偏差持续校准智能体。</w:t>
      </w:r>
    </w:p>
    <w:p w14:paraId="08DFE245">
      <w:pPr>
        <w:spacing w:after="80" w:line="480" w:lineRule="exact"/>
        <w:ind w:firstLine="482"/>
      </w:pPr>
      <w:r>
        <w:rPr>
          <w:rFonts w:ascii="Times New Roman" w:hAnsi="Times New Roman" w:eastAsia="黑体"/>
          <w:b/>
          <w:i w:val="0"/>
          <w:sz w:val="24"/>
        </w:rPr>
        <w:t>【关键技术问题】</w:t>
      </w:r>
    </w:p>
    <w:p w14:paraId="66046B89">
      <w:pPr>
        <w:spacing w:after="40" w:line="480" w:lineRule="exact"/>
        <w:ind w:left="680" w:firstLine="0"/>
      </w:pPr>
      <w:r>
        <w:rPr>
          <w:rFonts w:ascii="Times New Roman" w:hAnsi="Times New Roman" w:eastAsia="仿宋_GB2312"/>
          <w:b w:val="0"/>
          <w:i w:val="0"/>
          <w:sz w:val="24"/>
        </w:rPr>
        <w:t>(一) 保电场景极低容错率下决策可信度量化——自主执行与人工确认的授权边界如何以量化风险指标划定。</w:t>
      </w:r>
    </w:p>
    <w:p w14:paraId="33FF3FE4">
      <w:pPr>
        <w:spacing w:after="40" w:line="480" w:lineRule="exact"/>
        <w:ind w:left="680" w:firstLine="0"/>
      </w:pPr>
      <w:r>
        <w:rPr>
          <w:rFonts w:ascii="Times New Roman" w:hAnsi="Times New Roman" w:eastAsia="仿宋_GB2312"/>
          <w:b w:val="0"/>
          <w:i w:val="0"/>
          <w:sz w:val="24"/>
        </w:rPr>
        <w:t>(二) 智能体在孪生环境习得决策向真实电网迁移的可靠性(仿真-现实差距)。</w:t>
      </w:r>
    </w:p>
    <w:p w14:paraId="21F8F372">
      <w:pPr>
        <w:spacing w:after="40" w:line="480" w:lineRule="exact"/>
        <w:ind w:left="680" w:firstLine="0"/>
      </w:pPr>
      <w:r>
        <w:rPr>
          <w:rFonts w:ascii="Times New Roman" w:hAnsi="Times New Roman" w:eastAsia="仿宋_GB2312"/>
          <w:b w:val="0"/>
          <w:i w:val="0"/>
          <w:sz w:val="24"/>
        </w:rPr>
        <w:t>(三) 外力破坏等非电气量事件在孪生体中的表征与推演方法。</w:t>
      </w:r>
    </w:p>
    <w:p w14:paraId="2A589342">
      <w:pPr>
        <w:spacing w:after="40" w:line="480" w:lineRule="exact"/>
        <w:ind w:left="680" w:firstLine="0"/>
      </w:pPr>
      <w:r>
        <w:rPr>
          <w:rFonts w:ascii="Times New Roman" w:hAnsi="Times New Roman" w:eastAsia="仿宋_GB2312"/>
          <w:b w:val="0"/>
          <w:i w:val="0"/>
          <w:sz w:val="24"/>
        </w:rPr>
        <w:t>(四) 多智能体协同决策的冲突消解与全局最优性保证。</w:t>
      </w:r>
    </w:p>
    <w:p w14:paraId="65D95D7B">
      <w:pPr>
        <w:spacing w:after="200" w:line="480" w:lineRule="exact"/>
        <w:ind w:firstLine="482"/>
      </w:pPr>
      <w:r>
        <w:rPr>
          <w:rFonts w:ascii="Times New Roman" w:hAnsi="Times New Roman" w:eastAsia="楷体_GB2312"/>
          <w:b w:val="0"/>
          <w:i/>
          <w:sz w:val="24"/>
        </w:rPr>
        <w:t>对应指南条款:国重专项2.6"新型配电系统数字孪生与智能运行优化关键技术及应用";国网总部指南084"面向多业务场景的中压配电网边缘智能决策技术研究及设备研制"(1457万)。</w:t>
      </w:r>
    </w:p>
    <w:p w14:paraId="087C7C06">
      <w:pPr>
        <w:spacing w:before="280" w:after="120"/>
      </w:pPr>
      <w:r>
        <w:rPr>
          <w:rFonts w:ascii="Times New Roman" w:hAnsi="Times New Roman" w:eastAsia="黑体"/>
          <w:b/>
          <w:i w:val="0"/>
          <w:sz w:val="28"/>
        </w:rPr>
        <w:t>J2 保电窗口强约束下配网检修-抢修一体化生成式智能体关键技术研究及应用</w:t>
      </w:r>
    </w:p>
    <w:p w14:paraId="095A60CE">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研究保电窗口强约束下的检修-抢修一体化生成式智能体,计划自动生成覆盖率≥80%、规程条款引用忠实率≥95%、计划临时变更重排时间≤10分钟(现行人工重排基线约4小时),形成北戴河保电检修样板。</w:t>
      </w:r>
    </w:p>
    <w:p w14:paraId="2D0BBD96">
      <w:pPr>
        <w:spacing w:after="80" w:line="480" w:lineRule="exact"/>
        <w:ind w:firstLine="482"/>
      </w:pPr>
      <w:r>
        <w:rPr>
          <w:rFonts w:ascii="Times New Roman" w:hAnsi="Times New Roman" w:eastAsia="黑体"/>
          <w:b/>
          <w:i w:val="0"/>
          <w:sz w:val="24"/>
        </w:rPr>
        <w:t>【基本建设内容】</w:t>
      </w:r>
    </w:p>
    <w:p w14:paraId="3DC5F00D">
      <w:pPr>
        <w:spacing w:after="40" w:line="480" w:lineRule="exact"/>
        <w:ind w:left="680" w:firstLine="0"/>
      </w:pPr>
      <w:r>
        <w:rPr>
          <w:rFonts w:ascii="Times New Roman" w:hAnsi="Times New Roman" w:eastAsia="仿宋_GB2312"/>
          <w:b w:val="0"/>
          <w:i w:val="0"/>
          <w:sz w:val="24"/>
        </w:rPr>
        <w:t>(一) 检修计划编制智能体构建,建设检修规程、安规、典型案例知识库与检索增强生成能力,保电窗口约束以规则引擎硬编码。</w:t>
      </w:r>
    </w:p>
    <w:p w14:paraId="33564E10">
      <w:pPr>
        <w:spacing w:after="40" w:line="480" w:lineRule="exact"/>
        <w:ind w:left="680" w:firstLine="0"/>
      </w:pPr>
      <w:r>
        <w:rPr>
          <w:rFonts w:ascii="Times New Roman" w:hAnsi="Times New Roman" w:eastAsia="仿宋_GB2312"/>
          <w:b w:val="0"/>
          <w:i w:val="0"/>
          <w:sz w:val="24"/>
        </w:rPr>
        <w:t>(二) 基于思维链推理与逻辑校验的计划可解释技术研究,输出含规程条款引用的决策依据并自动验证引用忠实性。</w:t>
      </w:r>
    </w:p>
    <w:p w14:paraId="2D8BF105">
      <w:pPr>
        <w:spacing w:after="40" w:line="480" w:lineRule="exact"/>
        <w:ind w:left="680" w:firstLine="0"/>
      </w:pPr>
      <w:r>
        <w:rPr>
          <w:rFonts w:ascii="Times New Roman" w:hAnsi="Times New Roman" w:eastAsia="仿宋_GB2312"/>
          <w:b w:val="0"/>
          <w:i w:val="0"/>
          <w:sz w:val="24"/>
        </w:rPr>
        <w:t>(三) 检修态-抢修态切换的快速重排技术研究,攻关极寒天气抢修资源智能调配。</w:t>
      </w:r>
    </w:p>
    <w:p w14:paraId="53DD7E39">
      <w:pPr>
        <w:spacing w:after="40" w:line="480" w:lineRule="exact"/>
        <w:ind w:left="680" w:firstLine="0"/>
      </w:pPr>
      <w:r>
        <w:rPr>
          <w:rFonts w:ascii="Times New Roman" w:hAnsi="Times New Roman" w:eastAsia="仿宋_GB2312"/>
          <w:b w:val="0"/>
          <w:i w:val="0"/>
          <w:sz w:val="24"/>
        </w:rPr>
        <w:t>(四) 智能体系统研发与地市示范,生成方案经终端检测实验室测试环境验证后上线,北戴河保电期实战检验。</w:t>
      </w:r>
    </w:p>
    <w:p w14:paraId="1A1F41F8">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以国网光明电力大模型与检修领域后训练为基础;计划生成采用"大模型语义理解+约束求解器排程"混合架构,保电窗口、极寒工况约束硬编码保证不可突破;可解释层输出思维链依据,并以规程原文比对自动校验引用忠实性,防范幻觉引用;抢修态引入资源图谱,以最短恢复路径为目标调度队伍、物资与发电车,检修计划受扰时增量重排而非全局重算;人在回路修正反馈用于偏好优化,实现在线趋优。</w:t>
      </w:r>
    </w:p>
    <w:p w14:paraId="5B76BCE5">
      <w:pPr>
        <w:spacing w:after="80" w:line="480" w:lineRule="exact"/>
        <w:ind w:firstLine="482"/>
      </w:pPr>
      <w:r>
        <w:rPr>
          <w:rFonts w:ascii="Times New Roman" w:hAnsi="Times New Roman" w:eastAsia="黑体"/>
          <w:b/>
          <w:i w:val="0"/>
          <w:sz w:val="24"/>
        </w:rPr>
        <w:t>【关键技术问题】</w:t>
      </w:r>
    </w:p>
    <w:p w14:paraId="0E155FE5">
      <w:pPr>
        <w:spacing w:after="40" w:line="480" w:lineRule="exact"/>
        <w:ind w:left="680" w:firstLine="0"/>
      </w:pPr>
      <w:r>
        <w:rPr>
          <w:rFonts w:ascii="Times New Roman" w:hAnsi="Times New Roman" w:eastAsia="仿宋_GB2312"/>
          <w:b w:val="0"/>
          <w:i w:val="0"/>
          <w:sz w:val="24"/>
        </w:rPr>
        <w:t>(一) 保电窗口强约束下计划可行域急剧收窄时的求解效率与解质量——约束冲突时的最小代价松弛策略及其有界性。</w:t>
      </w:r>
    </w:p>
    <w:p w14:paraId="4E17AD69">
      <w:pPr>
        <w:spacing w:after="40" w:line="480" w:lineRule="exact"/>
        <w:ind w:left="680" w:firstLine="0"/>
      </w:pPr>
      <w:r>
        <w:rPr>
          <w:rFonts w:ascii="Times New Roman" w:hAnsi="Times New Roman" w:eastAsia="仿宋_GB2312"/>
          <w:b w:val="0"/>
          <w:i w:val="0"/>
          <w:sz w:val="24"/>
        </w:rPr>
        <w:t>(二) 生成方案中规程条款引用的忠实性验证方法——语义相似但条款错配的检测。</w:t>
      </w:r>
    </w:p>
    <w:p w14:paraId="6FFABA06">
      <w:pPr>
        <w:spacing w:after="40" w:line="480" w:lineRule="exact"/>
        <w:ind w:left="680" w:firstLine="0"/>
      </w:pPr>
      <w:r>
        <w:rPr>
          <w:rFonts w:ascii="Times New Roman" w:hAnsi="Times New Roman" w:eastAsia="仿宋_GB2312"/>
          <w:b w:val="0"/>
          <w:i w:val="0"/>
          <w:sz w:val="24"/>
        </w:rPr>
        <w:t>(三) 检修态与抢修态切换时增量重排的一致性保证——已下达计划的变更代价建模。</w:t>
      </w:r>
    </w:p>
    <w:p w14:paraId="7FC3CC3F">
      <w:pPr>
        <w:spacing w:after="40" w:line="480" w:lineRule="exact"/>
        <w:ind w:left="680" w:firstLine="0"/>
      </w:pPr>
      <w:r>
        <w:rPr>
          <w:rFonts w:ascii="Times New Roman" w:hAnsi="Times New Roman" w:eastAsia="仿宋_GB2312"/>
          <w:b w:val="0"/>
          <w:i w:val="0"/>
          <w:sz w:val="24"/>
        </w:rPr>
        <w:t>(四) 保电期计划刚性与突发缺陷处置时效的冲突量化决策——延迟消缺风险与打破保电窗口代价的统一度量模型。</w:t>
      </w:r>
    </w:p>
    <w:p w14:paraId="3486F12D">
      <w:pPr>
        <w:spacing w:after="200" w:line="480" w:lineRule="exact"/>
        <w:ind w:firstLine="482"/>
      </w:pPr>
      <w:r>
        <w:rPr>
          <w:rFonts w:ascii="Times New Roman" w:hAnsi="Times New Roman" w:eastAsia="楷体_GB2312"/>
          <w:b w:val="0"/>
          <w:i/>
          <w:sz w:val="24"/>
        </w:rPr>
        <w:t>对应指南条款:国网总部指南237"配网检修计划全链条决策的人机增强生成式智能体关键技术研究与应用"。</w:t>
      </w:r>
    </w:p>
    <w:p w14:paraId="5178DB98">
      <w:pPr>
        <w:spacing w:before="280" w:after="120"/>
      </w:pPr>
      <w:r>
        <w:rPr>
          <w:rFonts w:ascii="Times New Roman" w:hAnsi="Times New Roman" w:eastAsia="黑体"/>
          <w:b/>
          <w:i w:val="0"/>
          <w:sz w:val="28"/>
        </w:rPr>
        <w:t>J3 大小模型协同的配电网边缘智能决策终端关键技术与应用</w:t>
      </w:r>
    </w:p>
    <w:p w14:paraId="6B8C125C">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研制大小模型协同的配电网边缘智能决策终端并建立入网检测标准,边缘模型参数≤10亿、NPU算力≥4TOPS、推理时延≤1秒、台区故障研判准确率≥90%,示范部署≥50套,核心成果为AI终端入网检测标准草案(行业空白)。</w:t>
      </w:r>
    </w:p>
    <w:p w14:paraId="0542E992">
      <w:pPr>
        <w:spacing w:after="80" w:line="480" w:lineRule="exact"/>
        <w:ind w:firstLine="482"/>
      </w:pPr>
      <w:r>
        <w:rPr>
          <w:rFonts w:ascii="Times New Roman" w:hAnsi="Times New Roman" w:eastAsia="黑体"/>
          <w:b/>
          <w:i w:val="0"/>
          <w:sz w:val="24"/>
        </w:rPr>
        <w:t>【基本建设内容】</w:t>
      </w:r>
    </w:p>
    <w:p w14:paraId="3E57C5A4">
      <w:pPr>
        <w:spacing w:after="40" w:line="480" w:lineRule="exact"/>
        <w:ind w:left="680" w:firstLine="0"/>
      </w:pPr>
      <w:r>
        <w:rPr>
          <w:rFonts w:ascii="Times New Roman" w:hAnsi="Times New Roman" w:eastAsia="仿宋_GB2312"/>
          <w:b w:val="0"/>
          <w:i w:val="0"/>
          <w:sz w:val="24"/>
        </w:rPr>
        <w:t>(一) 配网多业务云端AI源模型搭建与高效训练。</w:t>
      </w:r>
    </w:p>
    <w:p w14:paraId="2976DC24">
      <w:pPr>
        <w:spacing w:after="40" w:line="480" w:lineRule="exact"/>
        <w:ind w:left="680" w:firstLine="0"/>
      </w:pPr>
      <w:r>
        <w:rPr>
          <w:rFonts w:ascii="Times New Roman" w:hAnsi="Times New Roman" w:eastAsia="仿宋_GB2312"/>
          <w:b w:val="0"/>
          <w:i w:val="0"/>
          <w:sz w:val="24"/>
        </w:rPr>
        <w:t>(二) 边缘侧模型轻量化压缩与场景自适应微调,覆盖台区故障研判、可调资源就地控制、电能质量分析三类业务,开展多任务干扰抑制专项设计。</w:t>
      </w:r>
    </w:p>
    <w:p w14:paraId="3D10C4B1">
      <w:pPr>
        <w:spacing w:after="40" w:line="480" w:lineRule="exact"/>
        <w:ind w:left="680" w:firstLine="0"/>
      </w:pPr>
      <w:r>
        <w:rPr>
          <w:rFonts w:ascii="Times New Roman" w:hAnsi="Times New Roman" w:eastAsia="仿宋_GB2312"/>
          <w:b w:val="0"/>
          <w:i w:val="0"/>
          <w:sz w:val="24"/>
        </w:rPr>
        <w:t>(三) 软硬协同边缘智能终端研制与国产芯片适配,同步编制单套成本与规模化部署经济性测算。</w:t>
      </w:r>
    </w:p>
    <w:p w14:paraId="6E40B586">
      <w:pPr>
        <w:spacing w:after="40" w:line="480" w:lineRule="exact"/>
        <w:ind w:left="680" w:firstLine="0"/>
      </w:pPr>
      <w:r>
        <w:rPr>
          <w:rFonts w:ascii="Times New Roman" w:hAnsi="Times New Roman" w:eastAsia="仿宋_GB2312"/>
          <w:b w:val="0"/>
          <w:i w:val="0"/>
          <w:sz w:val="24"/>
        </w:rPr>
        <w:t>(四) 依托自有配电自动化终端检测实验室建立AI终端检测环境与方法体系,实现"研制-检测-入网"闭环,输出入网检测标准草案。</w:t>
      </w:r>
    </w:p>
    <w:p w14:paraId="6D497ED5">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云端构建多任务统一源模型;边缘侧采用知识蒸馏、量化、剪枝三级压缩适配国产NPU;终端软件遵循配用电终端基础软件栈架构,通过中间件实现模型安全热更新;检测实验室构建AI功能检测环境,以标准故障波形库回放与对抗样本测试驱动"研制-检测"同步迭代——检测方法学与终端研制并行推进、互为验证;云边协同采用"困难样本回传-云端增量训练-模型差分下发"机制;检测方法固化为入网检测标准草案报送上级标准化归口。</w:t>
      </w:r>
    </w:p>
    <w:p w14:paraId="138187C3">
      <w:pPr>
        <w:spacing w:after="80" w:line="480" w:lineRule="exact"/>
        <w:ind w:firstLine="482"/>
      </w:pPr>
      <w:r>
        <w:rPr>
          <w:rFonts w:ascii="Times New Roman" w:hAnsi="Times New Roman" w:eastAsia="黑体"/>
          <w:b/>
          <w:i w:val="0"/>
          <w:sz w:val="24"/>
        </w:rPr>
        <w:t>【关键技术问题】</w:t>
      </w:r>
    </w:p>
    <w:p w14:paraId="4DC63AB6">
      <w:pPr>
        <w:spacing w:after="40" w:line="480" w:lineRule="exact"/>
        <w:ind w:left="680" w:firstLine="0"/>
      </w:pPr>
      <w:r>
        <w:rPr>
          <w:rFonts w:ascii="Times New Roman" w:hAnsi="Times New Roman" w:eastAsia="仿宋_GB2312"/>
          <w:b w:val="0"/>
          <w:i w:val="0"/>
          <w:sz w:val="24"/>
        </w:rPr>
        <w:t>(一) AI终端检测方法学——非确定性模型的入网检测判据构建:传统终端检测基于确定性输入输出比对,AI模型同输入不同版本输出存在合理差异,合格判据如何定义(行业空白,本项目最大标准化机会)。</w:t>
      </w:r>
    </w:p>
    <w:p w14:paraId="47EA0185">
      <w:pPr>
        <w:spacing w:after="40" w:line="480" w:lineRule="exact"/>
        <w:ind w:left="680" w:firstLine="0"/>
      </w:pPr>
      <w:r>
        <w:rPr>
          <w:rFonts w:ascii="Times New Roman" w:hAnsi="Times New Roman" w:eastAsia="仿宋_GB2312"/>
          <w:b w:val="0"/>
          <w:i w:val="0"/>
          <w:sz w:val="24"/>
        </w:rPr>
        <w:t>(二) 10亿参数约束下三类业务共存的多任务干扰抑制。</w:t>
      </w:r>
    </w:p>
    <w:p w14:paraId="7BF25692">
      <w:pPr>
        <w:spacing w:after="40" w:line="480" w:lineRule="exact"/>
        <w:ind w:left="680" w:firstLine="0"/>
      </w:pPr>
      <w:r>
        <w:rPr>
          <w:rFonts w:ascii="Times New Roman" w:hAnsi="Times New Roman" w:eastAsia="仿宋_GB2312"/>
          <w:b w:val="0"/>
          <w:i w:val="0"/>
          <w:sz w:val="24"/>
        </w:rPr>
        <w:t>(三) 边缘模型远程更新的安全性与版本一致性。</w:t>
      </w:r>
    </w:p>
    <w:p w14:paraId="4AFB31EE">
      <w:pPr>
        <w:spacing w:after="40" w:line="480" w:lineRule="exact"/>
        <w:ind w:left="680" w:firstLine="0"/>
      </w:pPr>
      <w:r>
        <w:rPr>
          <w:rFonts w:ascii="Times New Roman" w:hAnsi="Times New Roman" w:eastAsia="仿宋_GB2312"/>
          <w:b w:val="0"/>
          <w:i w:val="0"/>
          <w:sz w:val="24"/>
        </w:rPr>
        <w:t>(四) 极寒环境下终端硬件与模型的联合可靠性保障。</w:t>
      </w:r>
    </w:p>
    <w:p w14:paraId="7D5FADCC">
      <w:pPr>
        <w:spacing w:after="200" w:line="480" w:lineRule="exact"/>
        <w:ind w:firstLine="482"/>
      </w:pPr>
      <w:r>
        <w:rPr>
          <w:rFonts w:ascii="Times New Roman" w:hAnsi="Times New Roman" w:eastAsia="楷体_GB2312"/>
          <w:b w:val="0"/>
          <w:i/>
          <w:sz w:val="24"/>
        </w:rPr>
        <w:t>对应指南条款:国网总部指南084"面向多业务场景的中压配电网边缘智能决策技术研究及设备研制"(1457万)、222"面向配用电终端的安全智能高可靠基础软件栈技术研究"(1418万);国重专项2.5(边缘NPU终端指标参照)。</w:t>
      </w:r>
    </w:p>
    <w:p w14:paraId="726E79A6">
      <w:pPr>
        <w:spacing w:before="280" w:after="120"/>
      </w:pPr>
      <w:r>
        <w:rPr>
          <w:rFonts w:ascii="Times New Roman" w:hAnsi="Times New Roman" w:eastAsia="黑体"/>
          <w:b/>
          <w:i w:val="0"/>
          <w:sz w:val="28"/>
        </w:rPr>
        <w:t>J4 高渗透率示范区台区群源荷双向协同调控与承载力提升关键技术研究</w:t>
      </w:r>
    </w:p>
    <w:p w14:paraId="72DF1E8F">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面向张家口、承德高渗透率分布式光伏场景,研究台区群源荷双向多智能体协同调控技术,聚合台区≥100个,试点区域新增分布式光伏接入承载力≥100MW(基线为2026年承载力评估核定值;张承两市多县示范区调控侧提升,量级高于周口Z2单县评估侧系因场景规模与手段差异)。</w:t>
      </w:r>
    </w:p>
    <w:p w14:paraId="0CB528B4">
      <w:pPr>
        <w:spacing w:after="80" w:line="480" w:lineRule="exact"/>
        <w:ind w:firstLine="482"/>
      </w:pPr>
      <w:r>
        <w:rPr>
          <w:rFonts w:ascii="Times New Roman" w:hAnsi="Times New Roman" w:eastAsia="黑体"/>
          <w:b/>
          <w:i w:val="0"/>
          <w:sz w:val="24"/>
        </w:rPr>
        <w:t>【基本建设内容】</w:t>
      </w:r>
    </w:p>
    <w:p w14:paraId="3A1E04C5">
      <w:pPr>
        <w:spacing w:after="40" w:line="480" w:lineRule="exact"/>
        <w:ind w:left="680" w:firstLine="0"/>
      </w:pPr>
      <w:r>
        <w:rPr>
          <w:rFonts w:ascii="Times New Roman" w:hAnsi="Times New Roman" w:eastAsia="仿宋_GB2312"/>
          <w:b w:val="0"/>
          <w:i w:val="0"/>
          <w:sz w:val="24"/>
        </w:rPr>
        <w:t>(一) 台区群可调资源精细化感知与聚合建模,覆盖分布式光伏、台区储能、充电设施与柔性负荷。</w:t>
      </w:r>
    </w:p>
    <w:p w14:paraId="288C330B">
      <w:pPr>
        <w:spacing w:after="40" w:line="480" w:lineRule="exact"/>
        <w:ind w:left="680" w:firstLine="0"/>
      </w:pPr>
      <w:r>
        <w:rPr>
          <w:rFonts w:ascii="Times New Roman" w:hAnsi="Times New Roman" w:eastAsia="仿宋_GB2312"/>
          <w:b w:val="0"/>
          <w:i w:val="0"/>
          <w:sz w:val="24"/>
        </w:rPr>
        <w:t>(二) 基于分布式优化的台区群多智能体协同调控架构研究。</w:t>
      </w:r>
    </w:p>
    <w:p w14:paraId="19248685">
      <w:pPr>
        <w:spacing w:after="40" w:line="480" w:lineRule="exact"/>
        <w:ind w:left="680" w:firstLine="0"/>
      </w:pPr>
      <w:r>
        <w:rPr>
          <w:rFonts w:ascii="Times New Roman" w:hAnsi="Times New Roman" w:eastAsia="仿宋_GB2312"/>
          <w:b w:val="0"/>
          <w:i w:val="0"/>
          <w:sz w:val="24"/>
        </w:rPr>
        <w:t>(三) 电压越限与倒送场景下的集群自治与主配协同控制,衔接可再生能源示范区调度需求与唐山电动重卡虚拟电厂负荷资源(分工边界:本题仅使用重卡负荷数据用于承载力评估与源荷匹配,聚合调控与可信计量成果归J7)。</w:t>
      </w:r>
    </w:p>
    <w:p w14:paraId="66953315">
      <w:pPr>
        <w:spacing w:after="40" w:line="480" w:lineRule="exact"/>
        <w:ind w:left="680" w:firstLine="0"/>
      </w:pPr>
      <w:r>
        <w:rPr>
          <w:rFonts w:ascii="Times New Roman" w:hAnsi="Times New Roman" w:eastAsia="仿宋_GB2312"/>
          <w:b w:val="0"/>
          <w:i w:val="0"/>
          <w:sz w:val="24"/>
        </w:rPr>
        <w:t>(四) 组态化AI终端与集群管控系统研发,在张家口、承德开展规模化示范,量化调控手段对承载力提升的贡献。</w:t>
      </w:r>
    </w:p>
    <w:p w14:paraId="516F7AEB">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资源感知复用冀北新能源功率预测能力(日前风电85%、光伏90%精度基线);聚合建模采用可调能力包络(灵活性多面体)刻画台区群整体调节域;调控采用两级架构与"优化-兜底"双模式:通信正常时馈线协调智能体基于异步ADMM开展全局优化,允许部分台区迭代滞后;台区智能体检测到通信中断即降级为本地预定义规则控制(电压-无功下垂+功率限值),恢复通信后经状态同步重新加入优化;与唐山电动重卡虚拟电厂平台互联,实现光伏出力与重卡充电负荷的时空匹配;组态化终端支持调控策略图形化编排;调控前后承载力对比由第三方评估核定。</w:t>
      </w:r>
    </w:p>
    <w:p w14:paraId="525D37F4">
      <w:pPr>
        <w:spacing w:after="80" w:line="480" w:lineRule="exact"/>
        <w:ind w:firstLine="482"/>
      </w:pPr>
      <w:r>
        <w:rPr>
          <w:rFonts w:ascii="Times New Roman" w:hAnsi="Times New Roman" w:eastAsia="黑体"/>
          <w:b/>
          <w:i w:val="0"/>
          <w:sz w:val="24"/>
        </w:rPr>
        <w:t>【关键技术问题】</w:t>
      </w:r>
    </w:p>
    <w:p w14:paraId="72156045">
      <w:pPr>
        <w:spacing w:after="40" w:line="480" w:lineRule="exact"/>
        <w:ind w:left="680" w:firstLine="0"/>
      </w:pPr>
      <w:r>
        <w:rPr>
          <w:rFonts w:ascii="Times New Roman" w:hAnsi="Times New Roman" w:eastAsia="仿宋_GB2312"/>
          <w:b w:val="0"/>
          <w:i w:val="0"/>
          <w:sz w:val="24"/>
        </w:rPr>
        <w:t>(一) 户用设备不可直控占比高条件下台区可调能力的实时准确估计——名义容量与真实可控容量的差异建模。</w:t>
      </w:r>
    </w:p>
    <w:p w14:paraId="750D342B">
      <w:pPr>
        <w:spacing w:after="40" w:line="480" w:lineRule="exact"/>
        <w:ind w:left="680" w:firstLine="0"/>
      </w:pPr>
      <w:r>
        <w:rPr>
          <w:rFonts w:ascii="Times New Roman" w:hAnsi="Times New Roman" w:eastAsia="仿宋_GB2312"/>
          <w:b w:val="0"/>
          <w:i w:val="0"/>
          <w:sz w:val="24"/>
        </w:rPr>
        <w:t>(二) 异步分布式优化在部分台区通信滞后或退出条件下的收敛性与解质量保证——同步ADMM不适用于弱通信环境,异步机制的迭代滞后界与降级切换的稳定性需理论刻画。</w:t>
      </w:r>
    </w:p>
    <w:p w14:paraId="56B4BD76">
      <w:pPr>
        <w:spacing w:after="40" w:line="480" w:lineRule="exact"/>
        <w:ind w:left="680" w:firstLine="0"/>
      </w:pPr>
      <w:r>
        <w:rPr>
          <w:rFonts w:ascii="Times New Roman" w:hAnsi="Times New Roman" w:eastAsia="仿宋_GB2312"/>
          <w:b w:val="0"/>
          <w:i w:val="0"/>
          <w:sz w:val="24"/>
        </w:rPr>
        <w:t>(三) 倒送、电压越限、三相不平衡多目标的协调控制。</w:t>
      </w:r>
    </w:p>
    <w:p w14:paraId="14A2129F">
      <w:pPr>
        <w:spacing w:after="40" w:line="480" w:lineRule="exact"/>
        <w:ind w:left="680" w:firstLine="0"/>
      </w:pPr>
      <w:r>
        <w:rPr>
          <w:rFonts w:ascii="Times New Roman" w:hAnsi="Times New Roman" w:eastAsia="仿宋_GB2312"/>
          <w:b w:val="0"/>
          <w:i w:val="0"/>
          <w:sz w:val="24"/>
        </w:rPr>
        <w:t>(四) 光伏与重卡负荷跨平台协同的接口规范与调控责任划分。</w:t>
      </w:r>
    </w:p>
    <w:p w14:paraId="48C0E81A">
      <w:pPr>
        <w:spacing w:after="200" w:line="480" w:lineRule="exact"/>
        <w:ind w:firstLine="482"/>
      </w:pPr>
      <w:r>
        <w:rPr>
          <w:rFonts w:ascii="Times New Roman" w:hAnsi="Times New Roman" w:eastAsia="楷体_GB2312"/>
          <w:b w:val="0"/>
          <w:i/>
          <w:sz w:val="24"/>
        </w:rPr>
        <w:t>对应指南条款:国网总部指南092"基于分布式人工智能的低碳园区集群参与电网多场景快速调节技术"(846万)、238"面向需求侧市场主体的多智能体协同调控和柔性交易关键技术研究"(993万);国重专项2.2。</w:t>
      </w:r>
    </w:p>
    <w:p w14:paraId="0182A2C0">
      <w:pPr>
        <w:spacing w:before="280" w:after="120"/>
      </w:pPr>
      <w:r>
        <w:rPr>
          <w:rFonts w:ascii="Times New Roman" w:hAnsi="Times New Roman" w:eastAsia="黑体"/>
          <w:b/>
          <w:i w:val="0"/>
          <w:sz w:val="28"/>
        </w:rPr>
        <w:t>J5 基于物理信息神经网络的配电设备数字孪生与极寒工况状态推演技术研究</w:t>
      </w:r>
    </w:p>
    <w:p w14:paraId="5BCEB5A5">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面向坝上极寒工况,研究配电变压器与线路的物理信息神经网络数字孪生建模与状态推演技术,-40℃工况下设备状态推演误差≤8%(以试点实测温升为基准)、覆盖设备孪生模型≥10种,形成配电设备孪生技术体系。</w:t>
      </w:r>
    </w:p>
    <w:p w14:paraId="585F7228">
      <w:pPr>
        <w:spacing w:after="80" w:line="480" w:lineRule="exact"/>
        <w:ind w:firstLine="482"/>
      </w:pPr>
      <w:r>
        <w:rPr>
          <w:rFonts w:ascii="Times New Roman" w:hAnsi="Times New Roman" w:eastAsia="黑体"/>
          <w:b/>
          <w:i w:val="0"/>
          <w:sz w:val="24"/>
        </w:rPr>
        <w:t>【基本建设内容】</w:t>
      </w:r>
    </w:p>
    <w:p w14:paraId="1C415898">
      <w:pPr>
        <w:spacing w:after="40" w:line="480" w:lineRule="exact"/>
        <w:ind w:left="680" w:firstLine="0"/>
      </w:pPr>
      <w:r>
        <w:rPr>
          <w:rFonts w:ascii="Times New Roman" w:hAnsi="Times New Roman" w:eastAsia="仿宋_GB2312"/>
          <w:b w:val="0"/>
          <w:i w:val="0"/>
          <w:sz w:val="24"/>
        </w:rPr>
        <w:t>(一) 配电设备极寒工况多模态感知与样本库建设,覆盖配变温升、线路覆冰、低温负荷特性数据。</w:t>
      </w:r>
    </w:p>
    <w:p w14:paraId="52788E20">
      <w:pPr>
        <w:spacing w:after="40" w:line="480" w:lineRule="exact"/>
        <w:ind w:left="680" w:firstLine="0"/>
      </w:pPr>
      <w:r>
        <w:rPr>
          <w:rFonts w:ascii="Times New Roman" w:hAnsi="Times New Roman" w:eastAsia="仿宋_GB2312"/>
          <w:b w:val="0"/>
          <w:i w:val="0"/>
          <w:sz w:val="24"/>
        </w:rPr>
        <w:t>(二) 基于PINN的配电设备孪生建模研究,重点解决热-电耦合与极寒边界条件。</w:t>
      </w:r>
    </w:p>
    <w:p w14:paraId="622C2FB8">
      <w:pPr>
        <w:spacing w:after="40" w:line="480" w:lineRule="exact"/>
        <w:ind w:left="680" w:firstLine="0"/>
      </w:pPr>
      <w:r>
        <w:rPr>
          <w:rFonts w:ascii="Times New Roman" w:hAnsi="Times New Roman" w:eastAsia="仿宋_GB2312"/>
          <w:b w:val="0"/>
          <w:i w:val="0"/>
          <w:sz w:val="24"/>
        </w:rPr>
        <w:t>(三) 极寒工况状态推演与风险预警技术,实现寒潮前设备承载力预评估。</w:t>
      </w:r>
    </w:p>
    <w:p w14:paraId="327F0796">
      <w:pPr>
        <w:spacing w:after="40" w:line="480" w:lineRule="exact"/>
        <w:ind w:left="680" w:firstLine="0"/>
      </w:pPr>
      <w:r>
        <w:rPr>
          <w:rFonts w:ascii="Times New Roman" w:hAnsi="Times New Roman" w:eastAsia="仿宋_GB2312"/>
          <w:b w:val="0"/>
          <w:i w:val="0"/>
          <w:sz w:val="24"/>
        </w:rPr>
        <w:t>(四) 与在研"配电开关状态感知-智能预警-协同处置全链条"项目数据贯通,在坝上示范区试点,形成开关-配变-线路全覆盖的配电设备孪生技术体系。</w:t>
      </w:r>
    </w:p>
    <w:p w14:paraId="7BE647BB">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复用在研开关项目的感知装置选型与数据规范,扩展至配变与线路对象;机理层建立计及风速、覆冰、负荷的极寒工况热平衡方程;模型层以热传导方程残差约束训练PINN降阶模型;针对极寒极端事件样本稀缺,采用物理仿真增广训练集;推演层以气象预报为输入,输出设备温升与动态载流量预测,支撑寒潮保供决策;延续与清华深研院、河北工业大学的联合攻关机制。</w:t>
      </w:r>
    </w:p>
    <w:p w14:paraId="76889674">
      <w:pPr>
        <w:spacing w:after="80" w:line="480" w:lineRule="exact"/>
        <w:ind w:firstLine="482"/>
      </w:pPr>
      <w:r>
        <w:rPr>
          <w:rFonts w:ascii="Times New Roman" w:hAnsi="Times New Roman" w:eastAsia="黑体"/>
          <w:b/>
          <w:i w:val="0"/>
          <w:sz w:val="24"/>
        </w:rPr>
        <w:t>【关键技术问题】</w:t>
      </w:r>
    </w:p>
    <w:p w14:paraId="16168A79">
      <w:pPr>
        <w:spacing w:after="40" w:line="480" w:lineRule="exact"/>
        <w:ind w:left="680" w:firstLine="0"/>
      </w:pPr>
      <w:r>
        <w:rPr>
          <w:rFonts w:ascii="Times New Roman" w:hAnsi="Times New Roman" w:eastAsia="仿宋_GB2312"/>
          <w:b w:val="0"/>
          <w:i w:val="0"/>
          <w:sz w:val="24"/>
        </w:rPr>
        <w:t>(一) 极寒极端工况点实测样本稀缺下模型外推的可信性。</w:t>
      </w:r>
    </w:p>
    <w:p w14:paraId="3C15F350">
      <w:pPr>
        <w:spacing w:after="40" w:line="480" w:lineRule="exact"/>
        <w:ind w:left="680" w:firstLine="0"/>
      </w:pPr>
      <w:r>
        <w:rPr>
          <w:rFonts w:ascii="Times New Roman" w:hAnsi="Times New Roman" w:eastAsia="仿宋_GB2312"/>
          <w:b w:val="0"/>
          <w:i w:val="0"/>
          <w:sz w:val="24"/>
        </w:rPr>
        <w:t>(二) 覆冰-风载-电热多物理量耦合的简化建模精度控制。</w:t>
      </w:r>
    </w:p>
    <w:p w14:paraId="25189A40">
      <w:pPr>
        <w:spacing w:after="40" w:line="480" w:lineRule="exact"/>
        <w:ind w:left="680" w:firstLine="0"/>
      </w:pPr>
      <w:r>
        <w:rPr>
          <w:rFonts w:ascii="Times New Roman" w:hAnsi="Times New Roman" w:eastAsia="仿宋_GB2312"/>
          <w:b w:val="0"/>
          <w:i w:val="0"/>
          <w:sz w:val="24"/>
        </w:rPr>
        <w:t>(三) 配电设备无高密度传感条件下的模型参数辨识。</w:t>
      </w:r>
    </w:p>
    <w:p w14:paraId="08E96EA9">
      <w:pPr>
        <w:spacing w:after="40" w:line="480" w:lineRule="exact"/>
        <w:ind w:left="680" w:firstLine="0"/>
      </w:pPr>
      <w:r>
        <w:rPr>
          <w:rFonts w:ascii="Times New Roman" w:hAnsi="Times New Roman" w:eastAsia="仿宋_GB2312"/>
          <w:b w:val="0"/>
          <w:i w:val="0"/>
          <w:sz w:val="24"/>
        </w:rPr>
        <w:t>(四) 孪生模型在不同厂家型号设备间的可迁移性。</w:t>
      </w:r>
    </w:p>
    <w:p w14:paraId="4877BB4F">
      <w:pPr>
        <w:spacing w:after="200" w:line="480" w:lineRule="exact"/>
        <w:ind w:firstLine="482"/>
      </w:pPr>
      <w:r>
        <w:rPr>
          <w:rFonts w:ascii="Times New Roman" w:hAnsi="Times New Roman" w:eastAsia="楷体_GB2312"/>
          <w:b w:val="0"/>
          <w:i/>
          <w:sz w:val="24"/>
        </w:rPr>
        <w:t>对应指南条款:国网总部指南163"基于数字孪生体构建与多模态感知增强的变压器智能运维关键技术研究"(822万,向配电设备域衍生);国重专项4.8方向背书——本题申报方向为配电设备极寒工况孪生(配电域),与湖北H6输变电仿真评估平台(输变电域)差异化、不重复申报,可联合组成输变电-配电全覆盖的装备状态推演技术体系。</w:t>
      </w:r>
    </w:p>
    <w:p w14:paraId="7206E93A">
      <w:pPr>
        <w:spacing w:before="280" w:after="120"/>
      </w:pPr>
      <w:r>
        <w:rPr>
          <w:rFonts w:ascii="Times New Roman" w:hAnsi="Times New Roman" w:eastAsia="黑体"/>
          <w:b/>
          <w:i w:val="0"/>
          <w:sz w:val="28"/>
        </w:rPr>
        <w:t>J6 面向坝上山区配网的无人机极端环境自主巡检关键技术研究</w:t>
      </w:r>
    </w:p>
    <w:p w14:paraId="3559F3FA">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将冀北光热声一体化智巡资产(16类缺陷、280万样本、120个模型)向配网下沉,研究坝上山区无人机极端环境自主巡检技术,山区复杂地形航线自主化率≥85%、6级风况任务完成率≥70%,迁移后配网缺陷识别较直接复用输电模型提升15个百分点。</w:t>
      </w:r>
    </w:p>
    <w:p w14:paraId="1F4E68B5">
      <w:pPr>
        <w:spacing w:after="80" w:line="480" w:lineRule="exact"/>
        <w:ind w:firstLine="482"/>
      </w:pPr>
      <w:r>
        <w:rPr>
          <w:rFonts w:ascii="Times New Roman" w:hAnsi="Times New Roman" w:eastAsia="黑体"/>
          <w:b/>
          <w:i w:val="0"/>
          <w:sz w:val="24"/>
        </w:rPr>
        <w:t>【基本建设内容】</w:t>
      </w:r>
    </w:p>
    <w:p w14:paraId="1A73DD5A">
      <w:pPr>
        <w:spacing w:after="40" w:line="480" w:lineRule="exact"/>
        <w:ind w:left="680" w:firstLine="0"/>
      </w:pPr>
      <w:r>
        <w:rPr>
          <w:rFonts w:ascii="Times New Roman" w:hAnsi="Times New Roman" w:eastAsia="仿宋_GB2312"/>
          <w:b w:val="0"/>
          <w:i w:val="0"/>
          <w:sz w:val="24"/>
        </w:rPr>
        <w:t>(一) 坝上山区配网巡检场景建模,刻画大风、低温、复杂地形与通信盲区约束。</w:t>
      </w:r>
    </w:p>
    <w:p w14:paraId="0E40CE03">
      <w:pPr>
        <w:spacing w:after="40" w:line="480" w:lineRule="exact"/>
        <w:ind w:left="680" w:firstLine="0"/>
      </w:pPr>
      <w:r>
        <w:rPr>
          <w:rFonts w:ascii="Times New Roman" w:hAnsi="Times New Roman" w:eastAsia="仿宋_GB2312"/>
          <w:b w:val="0"/>
          <w:i w:val="0"/>
          <w:sz w:val="24"/>
        </w:rPr>
        <w:t>(二) 输电域智巡模型向配网的迁移适配研究,开展样本迁移学习与配网特有缺陷类型扩充。</w:t>
      </w:r>
    </w:p>
    <w:p w14:paraId="59E8DB39">
      <w:pPr>
        <w:spacing w:after="40" w:line="480" w:lineRule="exact"/>
        <w:ind w:left="680" w:firstLine="0"/>
      </w:pPr>
      <w:r>
        <w:rPr>
          <w:rFonts w:ascii="Times New Roman" w:hAnsi="Times New Roman" w:eastAsia="仿宋_GB2312"/>
          <w:b w:val="0"/>
          <w:i w:val="0"/>
          <w:sz w:val="24"/>
        </w:rPr>
        <w:t>(三) 极端环境无人机自主作业技术研究,攻关抗风起降、低温续航管理、地形跟随飞行与通信盲区机巢自主管理。</w:t>
      </w:r>
    </w:p>
    <w:p w14:paraId="698D6005">
      <w:pPr>
        <w:spacing w:after="40" w:line="480" w:lineRule="exact"/>
        <w:ind w:left="680" w:firstLine="0"/>
      </w:pPr>
      <w:r>
        <w:rPr>
          <w:rFonts w:ascii="Times New Roman" w:hAnsi="Times New Roman" w:eastAsia="仿宋_GB2312"/>
          <w:b w:val="0"/>
          <w:i w:val="0"/>
          <w:sz w:val="24"/>
        </w:rPr>
        <w:t>(四) 按《无人驾驶航空器飞行管理暂行条例》与属地空管部门建立山区空域协调机制,在承德、张家口山区县示范,数据回流反哺公司级样本库。</w:t>
      </w:r>
    </w:p>
    <w:p w14:paraId="4AE7C5C6">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不从零建设——以冀北光热声一体化智巡平台为底座,对配网缺陷做增量微调;山区航线规划采用高精度地形数据结合激光雷达实时避障;低温运行建立电池性能衰减模型,动态规划航程与返航裕度;通信盲区采用机载自主决策与延迟回传机制,机巢集群离线自主管理;识别采用机载轻量模型预筛与云端精判两级架构;示范期缺陷样本与飞行数据持续回流,迭代山区场景专用模型。</w:t>
      </w:r>
    </w:p>
    <w:p w14:paraId="25C5E22B">
      <w:pPr>
        <w:spacing w:after="80" w:line="480" w:lineRule="exact"/>
        <w:ind w:firstLine="482"/>
      </w:pPr>
      <w:r>
        <w:rPr>
          <w:rFonts w:ascii="Times New Roman" w:hAnsi="Times New Roman" w:eastAsia="黑体"/>
          <w:b/>
          <w:i w:val="0"/>
          <w:sz w:val="24"/>
        </w:rPr>
        <w:t>【关键技术问题】</w:t>
      </w:r>
    </w:p>
    <w:p w14:paraId="0557A2CE">
      <w:pPr>
        <w:spacing w:after="40" w:line="480" w:lineRule="exact"/>
        <w:ind w:left="680" w:firstLine="0"/>
      </w:pPr>
      <w:r>
        <w:rPr>
          <w:rFonts w:ascii="Times New Roman" w:hAnsi="Times New Roman" w:eastAsia="仿宋_GB2312"/>
          <w:b w:val="0"/>
          <w:i w:val="0"/>
          <w:sz w:val="24"/>
        </w:rPr>
        <w:t>(一) 输电域到配网域的模型迁移——目标尺度、背景复杂度差异大导致的性能衰减机理与迁移策略。</w:t>
      </w:r>
    </w:p>
    <w:p w14:paraId="3C25C185">
      <w:pPr>
        <w:spacing w:after="40" w:line="480" w:lineRule="exact"/>
        <w:ind w:left="680" w:firstLine="0"/>
      </w:pPr>
      <w:r>
        <w:rPr>
          <w:rFonts w:ascii="Times New Roman" w:hAnsi="Times New Roman" w:eastAsia="仿宋_GB2312"/>
          <w:b w:val="0"/>
          <w:i w:val="0"/>
          <w:sz w:val="24"/>
        </w:rPr>
        <w:t>(二) 坝上常年大风条件下的飞行安全边界评估与任务可达性——风场微观结构预测与航线动态调整。</w:t>
      </w:r>
    </w:p>
    <w:p w14:paraId="41EB7F56">
      <w:pPr>
        <w:spacing w:after="40" w:line="480" w:lineRule="exact"/>
        <w:ind w:left="680" w:firstLine="0"/>
      </w:pPr>
      <w:r>
        <w:rPr>
          <w:rFonts w:ascii="Times New Roman" w:hAnsi="Times New Roman" w:eastAsia="仿宋_GB2312"/>
          <w:b w:val="0"/>
          <w:i w:val="0"/>
          <w:sz w:val="24"/>
        </w:rPr>
        <w:t>(三) 低温电池容量衰减下的任务规划与应急返航策略。</w:t>
      </w:r>
    </w:p>
    <w:p w14:paraId="2DD7EF61">
      <w:pPr>
        <w:spacing w:after="40" w:line="480" w:lineRule="exact"/>
        <w:ind w:left="680" w:firstLine="0"/>
      </w:pPr>
      <w:r>
        <w:rPr>
          <w:rFonts w:ascii="Times New Roman" w:hAnsi="Times New Roman" w:eastAsia="仿宋_GB2312"/>
          <w:b w:val="0"/>
          <w:i w:val="0"/>
          <w:sz w:val="24"/>
        </w:rPr>
        <w:t>(四) 山区通信盲区条件下机巢集群自主管理的可靠性保障。</w:t>
      </w:r>
    </w:p>
    <w:p w14:paraId="2A9A366B">
      <w:pPr>
        <w:spacing w:after="200" w:line="480" w:lineRule="exact"/>
        <w:ind w:firstLine="482"/>
      </w:pPr>
      <w:r>
        <w:rPr>
          <w:rFonts w:ascii="Times New Roman" w:hAnsi="Times New Roman" w:eastAsia="楷体_GB2312"/>
          <w:b w:val="0"/>
          <w:i/>
          <w:sz w:val="24"/>
        </w:rPr>
        <w:t>对应指南条款:国网总部指南233"复杂场景下输电巡检装备自主作业动态建模与决策技术研究"(1348万)、234"电力具身机器人变配电空间智能与可靠作业关键技术研究与应用"(2128万)。</w:t>
      </w:r>
      <w:bookmarkStart w:id="0" w:name="_GoBack"/>
      <w:bookmarkEnd w:id="0"/>
    </w:p>
    <w:p w14:paraId="3FD89DC7">
      <w:pPr>
        <w:spacing w:before="280" w:after="120"/>
      </w:pPr>
      <w:r>
        <w:rPr>
          <w:rFonts w:ascii="Times New Roman" w:hAnsi="Times New Roman" w:eastAsia="黑体"/>
          <w:b/>
          <w:i w:val="0"/>
          <w:sz w:val="28"/>
        </w:rPr>
        <w:t>J7 计及算力负荷与电动重卡集群的配网可调资源聚合与AI调控技术研究</w:t>
      </w:r>
    </w:p>
    <w:p w14:paraId="7408DCB4">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融合算电协同监测平台与唐山电动重卡虚拟电厂两大独家资产,研究算力负荷、重卡集群与分布式电源的配网级可调资源聚合与AI调控技术,聚合可调容量≥100MW(智算约30MW、重卡换电约50MW、储能及柔性负荷约20MW),响应偏差≤5%。</w:t>
      </w:r>
    </w:p>
    <w:p w14:paraId="6D882698">
      <w:pPr>
        <w:spacing w:after="80" w:line="480" w:lineRule="exact"/>
        <w:ind w:firstLine="482"/>
      </w:pPr>
      <w:r>
        <w:rPr>
          <w:rFonts w:ascii="Times New Roman" w:hAnsi="Times New Roman" w:eastAsia="黑体"/>
          <w:b/>
          <w:i w:val="0"/>
          <w:sz w:val="24"/>
        </w:rPr>
        <w:t>【基本建设内容】</w:t>
      </w:r>
    </w:p>
    <w:p w14:paraId="1A90B656">
      <w:pPr>
        <w:spacing w:after="40" w:line="480" w:lineRule="exact"/>
        <w:ind w:left="680" w:firstLine="0"/>
      </w:pPr>
      <w:r>
        <w:rPr>
          <w:rFonts w:ascii="Times New Roman" w:hAnsi="Times New Roman" w:eastAsia="仿宋_GB2312"/>
          <w:b w:val="0"/>
          <w:i w:val="0"/>
          <w:sz w:val="24"/>
        </w:rPr>
        <w:t>(一) 智算负荷与电动重卡集群负荷特性建模,刻画训练/推理任务弹性与重卡换电充电行为。</w:t>
      </w:r>
    </w:p>
    <w:p w14:paraId="1A8E6106">
      <w:pPr>
        <w:spacing w:after="40" w:line="480" w:lineRule="exact"/>
        <w:ind w:left="680" w:firstLine="0"/>
      </w:pPr>
      <w:r>
        <w:rPr>
          <w:rFonts w:ascii="Times New Roman" w:hAnsi="Times New Roman" w:eastAsia="仿宋_GB2312"/>
          <w:b w:val="0"/>
          <w:i w:val="0"/>
          <w:sz w:val="24"/>
        </w:rPr>
        <w:t>(二) 多类型可调资源统一聚合与可信计量技术研究,衔接冀北算电协同多维监测平台。</w:t>
      </w:r>
    </w:p>
    <w:p w14:paraId="1CB40F1C">
      <w:pPr>
        <w:spacing w:after="40" w:line="480" w:lineRule="exact"/>
        <w:ind w:left="680" w:firstLine="0"/>
      </w:pPr>
      <w:r>
        <w:rPr>
          <w:rFonts w:ascii="Times New Roman" w:hAnsi="Times New Roman" w:eastAsia="仿宋_GB2312"/>
          <w:b w:val="0"/>
          <w:i w:val="0"/>
          <w:sz w:val="24"/>
        </w:rPr>
        <w:t>(三) AI驱动的聚合调控与市场响应策略研究,覆盖调峰、需求响应与绿电消纳场景。</w:t>
      </w:r>
    </w:p>
    <w:p w14:paraId="058C178D">
      <w:pPr>
        <w:spacing w:after="40" w:line="480" w:lineRule="exact"/>
        <w:ind w:left="680" w:firstLine="0"/>
      </w:pPr>
      <w:r>
        <w:rPr>
          <w:rFonts w:ascii="Times New Roman" w:hAnsi="Times New Roman" w:eastAsia="仿宋_GB2312"/>
          <w:b w:val="0"/>
          <w:i w:val="0"/>
          <w:sz w:val="24"/>
        </w:rPr>
        <w:t>(四) 配网级聚合调控系统研发,在唐山电动重卡虚拟电厂与算力园区双场景示范,可调容量构成经第三方计量核定。</w:t>
      </w:r>
    </w:p>
    <w:p w14:paraId="2BE6AB26">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负荷建模层,智算任务采用队列模型刻画可延迟性,重卡采用出行链与换电站电池库存模型;聚合层实时计算可调能力包络,依托区块链实验室实现响应量存证计量;调控层采用深度强化学习生成日前申报与日内滚动调控策略,叠加电网安全约束硬校核;系统与算电协同平台、重卡VPP平台数据互通,响应效果闭环评估并持续优化策略。</w:t>
      </w:r>
    </w:p>
    <w:p w14:paraId="27411275">
      <w:pPr>
        <w:spacing w:after="80" w:line="480" w:lineRule="exact"/>
        <w:ind w:firstLine="482"/>
      </w:pPr>
      <w:r>
        <w:rPr>
          <w:rFonts w:ascii="Times New Roman" w:hAnsi="Times New Roman" w:eastAsia="黑体"/>
          <w:b/>
          <w:i w:val="0"/>
          <w:sz w:val="24"/>
        </w:rPr>
        <w:t>【关键技术问题】</w:t>
      </w:r>
    </w:p>
    <w:p w14:paraId="4CC33644">
      <w:pPr>
        <w:spacing w:after="40" w:line="480" w:lineRule="exact"/>
        <w:ind w:left="680" w:firstLine="0"/>
      </w:pPr>
      <w:r>
        <w:rPr>
          <w:rFonts w:ascii="Times New Roman" w:hAnsi="Times New Roman" w:eastAsia="仿宋_GB2312"/>
          <w:b w:val="0"/>
          <w:i w:val="0"/>
          <w:sz w:val="24"/>
        </w:rPr>
        <w:t>(一) 智算负荷可调性的真实边界——任务服务等级约束下可延迟空间的准确刻画。</w:t>
      </w:r>
    </w:p>
    <w:p w14:paraId="62E40E01">
      <w:pPr>
        <w:spacing w:after="40" w:line="480" w:lineRule="exact"/>
        <w:ind w:left="680" w:firstLine="0"/>
      </w:pPr>
      <w:r>
        <w:rPr>
          <w:rFonts w:ascii="Times New Roman" w:hAnsi="Times New Roman" w:eastAsia="仿宋_GB2312"/>
          <w:b w:val="0"/>
          <w:i w:val="0"/>
          <w:sz w:val="24"/>
        </w:rPr>
        <w:t>(二) 重卡运营商、园区、电网多主体间的激励相容机制。</w:t>
      </w:r>
    </w:p>
    <w:p w14:paraId="1A4C38CF">
      <w:pPr>
        <w:spacing w:after="40" w:line="480" w:lineRule="exact"/>
        <w:ind w:left="680" w:firstLine="0"/>
      </w:pPr>
      <w:r>
        <w:rPr>
          <w:rFonts w:ascii="Times New Roman" w:hAnsi="Times New Roman" w:eastAsia="仿宋_GB2312"/>
          <w:b w:val="0"/>
          <w:i w:val="0"/>
          <w:sz w:val="24"/>
        </w:rPr>
        <w:t>(三) 秒级-分钟级-小时级多时间尺度调控策略的一致性。</w:t>
      </w:r>
    </w:p>
    <w:p w14:paraId="3D254DF7">
      <w:pPr>
        <w:spacing w:after="40" w:line="480" w:lineRule="exact"/>
        <w:ind w:left="680" w:firstLine="0"/>
      </w:pPr>
      <w:r>
        <w:rPr>
          <w:rFonts w:ascii="Times New Roman" w:hAnsi="Times New Roman" w:eastAsia="仿宋_GB2312"/>
          <w:b w:val="0"/>
          <w:i w:val="0"/>
          <w:sz w:val="24"/>
        </w:rPr>
        <w:t>(四) 聚合响应的可信计量与偏差考核方法学。</w:t>
      </w:r>
    </w:p>
    <w:p w14:paraId="1C46E24D">
      <w:pPr>
        <w:spacing w:after="200" w:line="480" w:lineRule="exact"/>
        <w:ind w:firstLine="482"/>
      </w:pPr>
      <w:r>
        <w:rPr>
          <w:rFonts w:ascii="Times New Roman" w:hAnsi="Times New Roman" w:eastAsia="楷体_GB2312"/>
          <w:b w:val="0"/>
          <w:i/>
          <w:sz w:val="24"/>
        </w:rPr>
        <w:t>对应指南条款:国重专项2.2"虚拟电厂主动支撑多级电网运行关键技术及应用";国网总部指南099"虚拟电厂群体在线动态智能计算和自适应控制关键技术及应用研究"(928万)、253"支撑人工智能产业绿色发展的电-算-碳协同关键技术及多市场引导决策仿真研究"(764万)。</w:t>
      </w:r>
    </w:p>
    <w:p w14:paraId="35990F60">
      <w:pPr>
        <w:spacing w:before="280" w:after="120"/>
      </w:pPr>
      <w:r>
        <w:rPr>
          <w:rFonts w:ascii="Times New Roman" w:hAnsi="Times New Roman" w:eastAsia="黑体"/>
          <w:b/>
          <w:i w:val="0"/>
          <w:sz w:val="28"/>
        </w:rPr>
        <w:t>J8 基于区块链与AI的配网碳排放智能监测与绿电溯源关键技术研究</w:t>
      </w:r>
    </w:p>
    <w:p w14:paraId="1899AADA">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依托区块链技术实验室与秦皇岛"城市碳眼"平台,研究配网碳排放智能监测与绿电全链路溯源技术,实现台区级碳流实时计算与度电绿色属性可信溯源,定位为现行国家碳核算体系的精细化补充工具(非替代),支撑配网"双碳"科创中心建设。</w:t>
      </w:r>
    </w:p>
    <w:p w14:paraId="3EC5DE26">
      <w:pPr>
        <w:spacing w:after="80" w:line="480" w:lineRule="exact"/>
        <w:ind w:firstLine="482"/>
      </w:pPr>
      <w:r>
        <w:rPr>
          <w:rFonts w:ascii="Times New Roman" w:hAnsi="Times New Roman" w:eastAsia="黑体"/>
          <w:b/>
          <w:i w:val="0"/>
          <w:sz w:val="24"/>
        </w:rPr>
        <w:t>【基本建设内容】</w:t>
      </w:r>
    </w:p>
    <w:p w14:paraId="6B33166D">
      <w:pPr>
        <w:spacing w:after="40" w:line="480" w:lineRule="exact"/>
        <w:ind w:left="680" w:firstLine="0"/>
      </w:pPr>
      <w:r>
        <w:rPr>
          <w:rFonts w:ascii="Times New Roman" w:hAnsi="Times New Roman" w:eastAsia="仿宋_GB2312"/>
          <w:b w:val="0"/>
          <w:i w:val="0"/>
          <w:sz w:val="24"/>
        </w:rPr>
        <w:t>(一) 配网碳流计算模型与台区级碳排放智能监测建设,在"城市碳眼"1.3万条55万项能源数据底座上扩展,与地方生态环境部门开展碳核算方法论对接论证。</w:t>
      </w:r>
    </w:p>
    <w:p w14:paraId="0DBD5F00">
      <w:pPr>
        <w:spacing w:after="40" w:line="480" w:lineRule="exact"/>
        <w:ind w:left="680" w:firstLine="0"/>
      </w:pPr>
      <w:r>
        <w:rPr>
          <w:rFonts w:ascii="Times New Roman" w:hAnsi="Times New Roman" w:eastAsia="仿宋_GB2312"/>
          <w:b w:val="0"/>
          <w:i w:val="0"/>
          <w:sz w:val="24"/>
        </w:rPr>
        <w:t>(二) 绿电分时段匹配与全链路物理溯源技术研究,实现度电赋码。</w:t>
      </w:r>
    </w:p>
    <w:p w14:paraId="516C081C">
      <w:pPr>
        <w:spacing w:after="40" w:line="480" w:lineRule="exact"/>
        <w:ind w:left="680" w:firstLine="0"/>
      </w:pPr>
      <w:r>
        <w:rPr>
          <w:rFonts w:ascii="Times New Roman" w:hAnsi="Times New Roman" w:eastAsia="仿宋_GB2312"/>
          <w:b w:val="0"/>
          <w:i w:val="0"/>
          <w:sz w:val="24"/>
        </w:rPr>
        <w:t>(三) 区块链可信存证与多方共享机制研究,建立发电-电网-用户三方互认规则。</w:t>
      </w:r>
    </w:p>
    <w:p w14:paraId="76F43D8F">
      <w:pPr>
        <w:spacing w:after="40" w:line="480" w:lineRule="exact"/>
        <w:ind w:left="680" w:firstLine="0"/>
      </w:pPr>
      <w:r>
        <w:rPr>
          <w:rFonts w:ascii="Times New Roman" w:hAnsi="Times New Roman" w:eastAsia="仿宋_GB2312"/>
          <w:b w:val="0"/>
          <w:i w:val="0"/>
          <w:sz w:val="24"/>
        </w:rPr>
        <w:t>(四) 碳监测与绿电溯源服务应用建设,在秦皇岛示范并向政府碳管理平台输出精细化数据服务,探索数据要素价值化路径。</w:t>
      </w:r>
    </w:p>
    <w:p w14:paraId="6AE2D37D">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碳流计算采用潮流追踪方法,将网络碳流逐级分摊至台区与用户,分摊规则与国家温室气体核算指南口径开展映射论证;绿电溯源遵循度电赋码技术路线,实现分时段绿电生产与用电的物理匹配;区块链层复用实验室联盟链设施,以智能合约自动执行碳核算与溯源规则;AI层采用负荷分解技术提升用户侧碳排放归因精度;与地方发改、生态环境部门需求对接,形成政企数据服务闭环。</w:t>
      </w:r>
    </w:p>
    <w:p w14:paraId="43BE351E">
      <w:pPr>
        <w:spacing w:after="80" w:line="480" w:lineRule="exact"/>
        <w:ind w:firstLine="482"/>
      </w:pPr>
      <w:r>
        <w:rPr>
          <w:rFonts w:ascii="Times New Roman" w:hAnsi="Times New Roman" w:eastAsia="黑体"/>
          <w:b/>
          <w:i w:val="0"/>
          <w:sz w:val="24"/>
        </w:rPr>
        <w:t>【关键技术问题】</w:t>
      </w:r>
    </w:p>
    <w:p w14:paraId="7AFA91DC">
      <w:pPr>
        <w:spacing w:after="40" w:line="480" w:lineRule="exact"/>
        <w:ind w:left="680" w:firstLine="0"/>
      </w:pPr>
      <w:r>
        <w:rPr>
          <w:rFonts w:ascii="Times New Roman" w:hAnsi="Times New Roman" w:eastAsia="仿宋_GB2312"/>
          <w:b w:val="0"/>
          <w:i w:val="0"/>
          <w:sz w:val="24"/>
        </w:rPr>
        <w:t>(一) 配网碳流分摊规则的公理化基础——比例分摊、边际分摊等规则各有理论缺陷,如何构建满足公平性与可加性且与国家核算体系可映射的分摊方法。</w:t>
      </w:r>
    </w:p>
    <w:p w14:paraId="167E60A2">
      <w:pPr>
        <w:spacing w:after="40" w:line="480" w:lineRule="exact"/>
        <w:ind w:left="680" w:firstLine="0"/>
      </w:pPr>
      <w:r>
        <w:rPr>
          <w:rFonts w:ascii="Times New Roman" w:hAnsi="Times New Roman" w:eastAsia="仿宋_GB2312"/>
          <w:b w:val="0"/>
          <w:i w:val="0"/>
          <w:sz w:val="24"/>
        </w:rPr>
        <w:t>(二) 分布式光伏就地消纳场景下绿色属性物理溯源的精度——台区内瞬时生产消费匹配的量测分辨率约束。</w:t>
      </w:r>
    </w:p>
    <w:p w14:paraId="0DC56C0D">
      <w:pPr>
        <w:spacing w:after="40" w:line="480" w:lineRule="exact"/>
        <w:ind w:left="680" w:firstLine="0"/>
      </w:pPr>
      <w:r>
        <w:rPr>
          <w:rFonts w:ascii="Times New Roman" w:hAnsi="Times New Roman" w:eastAsia="仿宋_GB2312"/>
          <w:b w:val="0"/>
          <w:i w:val="0"/>
          <w:sz w:val="24"/>
        </w:rPr>
        <w:t>(三) 联盟链数据吞吐能力与台区级高频计量数据规模的匹配。</w:t>
      </w:r>
    </w:p>
    <w:p w14:paraId="6F96CB1B">
      <w:pPr>
        <w:spacing w:after="40" w:line="480" w:lineRule="exact"/>
        <w:ind w:left="680" w:firstLine="0"/>
      </w:pPr>
      <w:r>
        <w:rPr>
          <w:rFonts w:ascii="Times New Roman" w:hAnsi="Times New Roman" w:eastAsia="仿宋_GB2312"/>
          <w:b w:val="0"/>
          <w:i w:val="0"/>
          <w:sz w:val="24"/>
        </w:rPr>
        <w:t>(四) 多主体数据共享中的隐私保护与商业激励机制设计。</w:t>
      </w:r>
    </w:p>
    <w:p w14:paraId="5641133A">
      <w:pPr>
        <w:spacing w:after="200" w:line="480" w:lineRule="exact"/>
        <w:ind w:firstLine="482"/>
      </w:pPr>
      <w:r>
        <w:rPr>
          <w:rFonts w:ascii="Times New Roman" w:hAnsi="Times New Roman" w:eastAsia="楷体_GB2312"/>
          <w:b w:val="0"/>
          <w:i/>
          <w:sz w:val="24"/>
        </w:rPr>
        <w:t>对应指南条款:国网总部指南218"面向绿电协同感知的度电赋码及碳计量关键技术研究"(879万)、223"电网数据资源价值评估与资产动态定价关键技术研究及应用"(1105万)。</w:t>
      </w:r>
    </w:p>
    <w:sectPr>
      <w:pgSz w:w="12240" w:h="15840"/>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altName w:val="方正舒体"/>
    <w:panose1 w:val="00000000000000000000"/>
    <w:charset w:val="00"/>
    <w:family w:val="auto"/>
    <w:pitch w:val="default"/>
    <w:sig w:usb0="00000000" w:usb1="00000000" w:usb2="00000000" w:usb3="00000000" w:csb0="00000000" w:csb1="00000000"/>
  </w:font>
  <w:font w:name="楷体_GB2312">
    <w:altName w:val="楷体"/>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204FF4"/>
    <w:rsid w:val="3ADC3D9A"/>
    <w:rsid w:val="6FFE01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6468</Words>
  <Characters>6793</Characters>
  <Lines>0</Lines>
  <Paragraphs>0</Paragraphs>
  <TotalTime>152</TotalTime>
  <ScaleCrop>false</ScaleCrop>
  <LinksUpToDate>false</LinksUpToDate>
  <CharactersWithSpaces>6865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林凡</cp:lastModifiedBy>
  <dcterms:modified xsi:type="dcterms:W3CDTF">2026-08-21T01:26:22Z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eyJoZGlkIjoiMjQ4ZDNjYTQyN2ZiM2IzZDgwODM1NDc3OWY1OGRmZGMiLCJ1c2VySWQiOiIzMzUyMDA0NjkifQ==</vt:lpwstr>
  </property>
  <property fmtid="{D5CDD505-2E9C-101B-9397-08002B2CF9AE}" pid="3" name="KSOProductBuildVer">
    <vt:lpwstr>2052-12.1.0.28043</vt:lpwstr>
  </property>
  <property fmtid="{D5CDD505-2E9C-101B-9397-08002B2CF9AE}" pid="4" name="ICV">
    <vt:lpwstr>D0EFC58A7EF0442BAE34A32F5F2E7077_12</vt:lpwstr>
  </property>
</Properties>
</file>