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709E2">
      <w:pPr>
        <w:jc w:val="center"/>
      </w:pPr>
      <w:r>
        <w:rPr>
          <w:rFonts w:ascii="Times New Roman" w:hAnsi="Times New Roman" w:eastAsia="方正小标宋简体"/>
          <w:b/>
          <w:i w:val="0"/>
          <w:sz w:val="44"/>
        </w:rPr>
        <w:t>河南周口供电公司电力人工智能项目策划书</w:t>
      </w:r>
    </w:p>
    <w:p w14:paraId="0E9D58AD">
      <w:pPr>
        <w:jc w:val="center"/>
      </w:pPr>
      <w:r>
        <w:rPr>
          <w:rFonts w:ascii="Times New Roman" w:hAnsi="Times New Roman" w:eastAsia="楷体_GB2312"/>
          <w:b w:val="0"/>
          <w:i w:val="0"/>
          <w:sz w:val="28"/>
        </w:rPr>
        <w:t>(Z1–Z9,均联合省电科院申报)</w:t>
      </w:r>
    </w:p>
    <w:p w14:paraId="2FEE8801">
      <w:pPr>
        <w:jc w:val="center"/>
      </w:pPr>
      <w:r>
        <w:rPr>
          <w:rFonts w:ascii="Times New Roman" w:hAnsi="Times New Roman" w:eastAsia="仿宋_GB2312"/>
          <w:b w:val="0"/>
          <w:i w:val="0"/>
          <w:sz w:val="28"/>
        </w:rPr>
        <w:t>2026年8月</w:t>
      </w:r>
    </w:p>
    <w:p w14:paraId="4748C2F3"/>
    <w:p w14:paraId="03C6F071">
      <w:pPr>
        <w:spacing w:before="280" w:after="120"/>
      </w:pPr>
      <w:r>
        <w:rPr>
          <w:rFonts w:ascii="Times New Roman" w:hAnsi="Times New Roman" w:eastAsia="黑体"/>
          <w:b/>
          <w:i w:val="0"/>
          <w:sz w:val="28"/>
        </w:rPr>
        <w:t>Z1 平原农网弱量测配电系统轻量化数字孪生与运行推演工程化关键技术研究</w:t>
      </w:r>
    </w:p>
    <w:p w14:paraId="7B94F8F7">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联合省电科院构建平原农网弱量测环境下的轻量化配电数字孪生体,不新增一二次设备投资条件下实现运行推演,稳态推演准确度≥93%(台区量测覆盖率&lt;60%约束下),试点覆盖≥20条10kV线路,单线建模成本较2026年省内城网集中式孪生试点工程决算均值下降50%。</w:t>
      </w:r>
    </w:p>
    <w:p w14:paraId="440CDC2C">
      <w:pPr>
        <w:spacing w:after="80" w:line="480" w:lineRule="exact"/>
        <w:ind w:firstLine="482"/>
      </w:pPr>
      <w:r>
        <w:rPr>
          <w:rFonts w:ascii="Times New Roman" w:hAnsi="Times New Roman" w:eastAsia="黑体"/>
          <w:b/>
          <w:i w:val="0"/>
          <w:sz w:val="24"/>
        </w:rPr>
        <w:t>【基本建设内容】</w:t>
      </w:r>
    </w:p>
    <w:p w14:paraId="62F888C6">
      <w:pPr>
        <w:spacing w:after="40" w:line="480" w:lineRule="exact"/>
        <w:ind w:left="680" w:firstLine="0"/>
      </w:pPr>
      <w:r>
        <w:rPr>
          <w:rFonts w:ascii="Times New Roman" w:hAnsi="Times New Roman" w:eastAsia="仿宋_GB2312"/>
          <w:b w:val="0"/>
          <w:i w:val="0"/>
          <w:sz w:val="24"/>
        </w:rPr>
        <w:t>(一) 弱量测农网数字孪生体低成本构建技术研究,以营配贯通存量数据与台区智能终端为主要数据源,开展拓扑与参数自校核。</w:t>
      </w:r>
    </w:p>
    <w:p w14:paraId="7F16BF0B">
      <w:pPr>
        <w:spacing w:after="40" w:line="480" w:lineRule="exact"/>
        <w:ind w:left="680" w:firstLine="0"/>
      </w:pPr>
      <w:r>
        <w:rPr>
          <w:rFonts w:ascii="Times New Roman" w:hAnsi="Times New Roman" w:eastAsia="仿宋_GB2312"/>
          <w:b w:val="0"/>
          <w:i w:val="0"/>
          <w:sz w:val="24"/>
        </w:rPr>
        <w:t>(二) 农网典型运行场景库与轻量推演引擎建设,覆盖重过载、光伏反送、故障转供场景。</w:t>
      </w:r>
    </w:p>
    <w:p w14:paraId="72F931E2">
      <w:pPr>
        <w:spacing w:after="40" w:line="480" w:lineRule="exact"/>
        <w:ind w:left="680" w:firstLine="0"/>
      </w:pPr>
      <w:r>
        <w:rPr>
          <w:rFonts w:ascii="Times New Roman" w:hAnsi="Times New Roman" w:eastAsia="仿宋_GB2312"/>
          <w:b w:val="0"/>
          <w:i w:val="0"/>
          <w:sz w:val="24"/>
        </w:rPr>
        <w:t>(三) 多假设运行预演技术研究,支持检修方式、光伏出力、负荷增长变化下的风险量化。</w:t>
      </w:r>
    </w:p>
    <w:p w14:paraId="0F519D1E">
      <w:pPr>
        <w:spacing w:after="40" w:line="480" w:lineRule="exact"/>
        <w:ind w:left="680" w:firstLine="0"/>
      </w:pPr>
      <w:r>
        <w:rPr>
          <w:rFonts w:ascii="Times New Roman" w:hAnsi="Times New Roman" w:eastAsia="仿宋_GB2312"/>
          <w:b w:val="0"/>
          <w:i w:val="0"/>
          <w:sz w:val="24"/>
        </w:rPr>
        <w:t>(四) 孪生推演系统在周口试点县部署,推演结论纳入运行方式安排,形成弱量测农网孪生建设工程导则建议,支撑配网攻坚成效量化。</w:t>
      </w:r>
    </w:p>
    <w:p w14:paraId="265F5175">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核心走"弱量测状态估计"路线而非高密度感知路线:以台区智能终端与电表冻结数据为主量测源,采用贝叶斯状态估计处理中压节点大面积无量测问题,以伪量测(负荷预测值+误差方差)补全可观性;拓扑辨识利用电压时序相关性与停电事件共现关系自动校核户变与馈线归属;推演引擎采用轻量三相潮流内核,面向县级服务器算力裁剪,单场景推演秒级完成;推演结果嵌入供电服务指挥平台,辅助方式安排与攻坚成效量化;全程不新建采集装置,突出低成本可复制。</w:t>
      </w:r>
    </w:p>
    <w:p w14:paraId="630C8D7E">
      <w:pPr>
        <w:spacing w:after="80" w:line="480" w:lineRule="exact"/>
        <w:ind w:firstLine="482"/>
      </w:pPr>
      <w:r>
        <w:rPr>
          <w:rFonts w:ascii="Times New Roman" w:hAnsi="Times New Roman" w:eastAsia="黑体"/>
          <w:b/>
          <w:i w:val="0"/>
          <w:sz w:val="24"/>
        </w:rPr>
        <w:t>【关键技术问题】</w:t>
      </w:r>
    </w:p>
    <w:p w14:paraId="5AFEF6AF">
      <w:pPr>
        <w:spacing w:after="40" w:line="480" w:lineRule="exact"/>
        <w:ind w:left="680" w:firstLine="0"/>
      </w:pPr>
      <w:r>
        <w:rPr>
          <w:rFonts w:ascii="Times New Roman" w:hAnsi="Times New Roman" w:eastAsia="仿宋_GB2312"/>
          <w:b w:val="0"/>
          <w:i w:val="0"/>
          <w:sz w:val="24"/>
        </w:rPr>
        <w:t>(一) 台区侧量测为主、中压节点大面积无量测条件下状态估计的可观性理论边界——量测覆盖率与推演精度的定量关系。</w:t>
      </w:r>
    </w:p>
    <w:p w14:paraId="6B576EA6">
      <w:pPr>
        <w:spacing w:after="40" w:line="480" w:lineRule="exact"/>
        <w:ind w:left="680" w:firstLine="0"/>
      </w:pPr>
      <w:r>
        <w:rPr>
          <w:rFonts w:ascii="Times New Roman" w:hAnsi="Times New Roman" w:eastAsia="仿宋_GB2312"/>
          <w:b w:val="0"/>
          <w:i w:val="0"/>
          <w:sz w:val="24"/>
        </w:rPr>
        <w:t>(二) 农网拓扑频繁改切下孪生体的在线保鲜,如何以停电事件与电压相关性自动发现拓扑变更。</w:t>
      </w:r>
    </w:p>
    <w:p w14:paraId="2520CD69">
      <w:pPr>
        <w:spacing w:after="40" w:line="480" w:lineRule="exact"/>
        <w:ind w:left="680" w:firstLine="0"/>
      </w:pPr>
      <w:r>
        <w:rPr>
          <w:rFonts w:ascii="Times New Roman" w:hAnsi="Times New Roman" w:eastAsia="仿宋_GB2312"/>
          <w:b w:val="0"/>
          <w:i w:val="0"/>
          <w:sz w:val="24"/>
        </w:rPr>
        <w:t>(三) 数据支撑不足区域推演结论的置信度分级与使用边界划分。</w:t>
      </w:r>
    </w:p>
    <w:p w14:paraId="2555953C">
      <w:pPr>
        <w:spacing w:after="40" w:line="480" w:lineRule="exact"/>
        <w:ind w:left="680" w:firstLine="0"/>
      </w:pPr>
      <w:r>
        <w:rPr>
          <w:rFonts w:ascii="Times New Roman" w:hAnsi="Times New Roman" w:eastAsia="仿宋_GB2312"/>
          <w:b w:val="0"/>
          <w:i w:val="0"/>
          <w:sz w:val="24"/>
        </w:rPr>
        <w:t>(四) 县级算力与运维力量约束下系统的轻量化部署与长期可维护性。</w:t>
      </w:r>
    </w:p>
    <w:p w14:paraId="12A6DBDB">
      <w:pPr>
        <w:spacing w:after="200" w:line="480" w:lineRule="exact"/>
        <w:ind w:firstLine="482"/>
      </w:pPr>
      <w:r>
        <w:rPr>
          <w:rFonts w:ascii="Times New Roman" w:hAnsi="Times New Roman" w:eastAsia="楷体_GB2312"/>
          <w:b w:val="0"/>
          <w:i/>
          <w:sz w:val="24"/>
        </w:rPr>
        <w:t>对应指南条款:国网总部指南231"多场景适配的配电网规划数字孪生建模与动态评估技术研究"(1218万);国重2.6为方向背书。</w:t>
      </w:r>
    </w:p>
    <w:p w14:paraId="794B7FE5">
      <w:pPr>
        <w:spacing w:before="280" w:after="120"/>
      </w:pPr>
      <w:r>
        <w:rPr>
          <w:rFonts w:ascii="Times New Roman" w:hAnsi="Times New Roman" w:eastAsia="黑体"/>
          <w:b/>
          <w:i w:val="0"/>
          <w:sz w:val="28"/>
        </w:rPr>
        <w:t>Z2 高比例分布式光伏接入下农网承载力动态评估与合规接入决策关键技术研究</w:t>
      </w:r>
    </w:p>
    <w:p w14:paraId="3E61C30A">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依托河南分布式光伏承载力评估国家试点,研究农网承载力动态评估与合规接入决策技术,承载力评估由年度静态提升至日前/日内动态,试点县新增分布式光伏可接入容量≥50MW(基线为2026年国家试点静态评估核定值;单县评估侧释放,量级低于冀北J4多县调控侧提升属正常梯度)。</w:t>
      </w:r>
    </w:p>
    <w:p w14:paraId="001447DF">
      <w:pPr>
        <w:spacing w:after="80" w:line="480" w:lineRule="exact"/>
        <w:ind w:firstLine="482"/>
      </w:pPr>
      <w:r>
        <w:rPr>
          <w:rFonts w:ascii="Times New Roman" w:hAnsi="Times New Roman" w:eastAsia="黑体"/>
          <w:b/>
          <w:i w:val="0"/>
          <w:sz w:val="24"/>
        </w:rPr>
        <w:t>【基本建设内容】</w:t>
      </w:r>
    </w:p>
    <w:p w14:paraId="4E732E96">
      <w:pPr>
        <w:spacing w:after="40" w:line="480" w:lineRule="exact"/>
        <w:ind w:left="680" w:firstLine="0"/>
      </w:pPr>
      <w:r>
        <w:rPr>
          <w:rFonts w:ascii="Times New Roman" w:hAnsi="Times New Roman" w:eastAsia="仿宋_GB2312"/>
          <w:b w:val="0"/>
          <w:i w:val="0"/>
          <w:sz w:val="24"/>
        </w:rPr>
        <w:t>(一) 分布式光伏-台区-馈线多层级承载力动态评估模型建设,计及反送电、电压越限与配变反向重过载约束。</w:t>
      </w:r>
    </w:p>
    <w:p w14:paraId="4B31BD68">
      <w:pPr>
        <w:spacing w:after="40" w:line="480" w:lineRule="exact"/>
        <w:ind w:left="680" w:firstLine="0"/>
      </w:pPr>
      <w:r>
        <w:rPr>
          <w:rFonts w:ascii="Times New Roman" w:hAnsi="Times New Roman" w:eastAsia="仿宋_GB2312"/>
          <w:b w:val="0"/>
          <w:i w:val="0"/>
          <w:sz w:val="24"/>
        </w:rPr>
        <w:t>(二) 承载力薄弱环节辨识与"扩容-调控"协同提升路径优化研究。</w:t>
      </w:r>
    </w:p>
    <w:p w14:paraId="35440927">
      <w:pPr>
        <w:spacing w:after="40" w:line="480" w:lineRule="exact"/>
        <w:ind w:left="680" w:firstLine="0"/>
      </w:pPr>
      <w:r>
        <w:rPr>
          <w:rFonts w:ascii="Times New Roman" w:hAnsi="Times New Roman" w:eastAsia="仿宋_GB2312"/>
          <w:b w:val="0"/>
          <w:i w:val="0"/>
          <w:sz w:val="24"/>
        </w:rPr>
        <w:t>(三) 承载力评估与分布式光伏接入审批决策贯通技术研究,回应国家能源局备案管理合规要求,支撑"可开放容量"信息公开。</w:t>
      </w:r>
    </w:p>
    <w:p w14:paraId="727680E2">
      <w:pPr>
        <w:spacing w:after="40" w:line="480" w:lineRule="exact"/>
        <w:ind w:left="680" w:firstLine="0"/>
      </w:pPr>
      <w:r>
        <w:rPr>
          <w:rFonts w:ascii="Times New Roman" w:hAnsi="Times New Roman" w:eastAsia="仿宋_GB2312"/>
          <w:b w:val="0"/>
          <w:i w:val="0"/>
          <w:sz w:val="24"/>
        </w:rPr>
        <w:t>(四) 评估决策系统在周口高渗透率县域示范,联合省电科院输出农网承载力动态评估导则建议,服务全省试点任务。</w:t>
      </w:r>
    </w:p>
    <w:p w14:paraId="19C8F8BB">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以国家试点承载力评估方法为基线,引入时序生产模拟与机会约束优化实现动态承载力计算;薄弱环节辨识采用灵敏度分析结合图神经网络加速,支撑数万台区批量评估;评估结果与接入审批流程衔接,自动生成分台区可开放容量清单并定期公开;"扩容-调控"路径优化在预算约束下统筹增容改造与就地调控手段;评估模型库由省电科院统一维护,周口场景数据滚动回流校准。</w:t>
      </w:r>
    </w:p>
    <w:p w14:paraId="185C06FB">
      <w:pPr>
        <w:spacing w:after="80" w:line="480" w:lineRule="exact"/>
        <w:ind w:firstLine="482"/>
      </w:pPr>
      <w:r>
        <w:rPr>
          <w:rFonts w:ascii="Times New Roman" w:hAnsi="Times New Roman" w:eastAsia="黑体"/>
          <w:b/>
          <w:i w:val="0"/>
          <w:sz w:val="24"/>
        </w:rPr>
        <w:t>【关键技术问题】</w:t>
      </w:r>
    </w:p>
    <w:p w14:paraId="4480ED05">
      <w:pPr>
        <w:spacing w:after="40" w:line="480" w:lineRule="exact"/>
        <w:ind w:left="680" w:firstLine="0"/>
      </w:pPr>
      <w:r>
        <w:rPr>
          <w:rFonts w:ascii="Times New Roman" w:hAnsi="Times New Roman" w:eastAsia="仿宋_GB2312"/>
          <w:b w:val="0"/>
          <w:i w:val="0"/>
          <w:sz w:val="24"/>
        </w:rPr>
        <w:t>(一) 数万级台区规模下动态承载力批量评估的计算效率——单轮全域评估需压缩至小时级。</w:t>
      </w:r>
    </w:p>
    <w:p w14:paraId="458EDF6F">
      <w:pPr>
        <w:spacing w:after="40" w:line="480" w:lineRule="exact"/>
        <w:ind w:left="680" w:firstLine="0"/>
      </w:pPr>
      <w:r>
        <w:rPr>
          <w:rFonts w:ascii="Times New Roman" w:hAnsi="Times New Roman" w:eastAsia="仿宋_GB2312"/>
          <w:b w:val="0"/>
          <w:i w:val="0"/>
          <w:sz w:val="24"/>
        </w:rPr>
        <w:t>(二) 光伏出力与农业负荷双重强波动下机会约束建模的置信水平选取及其对可接入容量结论的敏感性。</w:t>
      </w:r>
    </w:p>
    <w:p w14:paraId="672BBA84">
      <w:pPr>
        <w:spacing w:after="40" w:line="480" w:lineRule="exact"/>
        <w:ind w:left="680" w:firstLine="0"/>
      </w:pPr>
      <w:r>
        <w:rPr>
          <w:rFonts w:ascii="Times New Roman" w:hAnsi="Times New Roman" w:eastAsia="仿宋_GB2312"/>
          <w:b w:val="0"/>
          <w:i w:val="0"/>
          <w:sz w:val="24"/>
        </w:rPr>
        <w:t>(三) 承载力评估结论与接入审批的法律衔接——评估误差导致的核准争议如何界定责任。</w:t>
      </w:r>
    </w:p>
    <w:p w14:paraId="3F2DF570">
      <w:pPr>
        <w:spacing w:after="40" w:line="480" w:lineRule="exact"/>
        <w:ind w:left="680" w:firstLine="0"/>
      </w:pPr>
      <w:r>
        <w:rPr>
          <w:rFonts w:ascii="Times New Roman" w:hAnsi="Times New Roman" w:eastAsia="仿宋_GB2312"/>
          <w:b w:val="0"/>
          <w:i w:val="0"/>
          <w:sz w:val="24"/>
        </w:rPr>
        <w:t>(四) 台账参数错误率较高条件下评估结论的鲁棒性保障。</w:t>
      </w:r>
    </w:p>
    <w:p w14:paraId="14A8B2FB">
      <w:pPr>
        <w:spacing w:after="200" w:line="480" w:lineRule="exact"/>
        <w:ind w:firstLine="482"/>
      </w:pPr>
      <w:r>
        <w:rPr>
          <w:rFonts w:ascii="Times New Roman" w:hAnsi="Times New Roman" w:eastAsia="楷体_GB2312"/>
          <w:b w:val="0"/>
          <w:i/>
          <w:sz w:val="24"/>
        </w:rPr>
        <w:t>对应指南条款:主申国网总部指南036"配网调节能力智能评估与主配协同规划技术研究"(639万);国重2.2为方向背书。</w:t>
      </w:r>
    </w:p>
    <w:p w14:paraId="7891D277">
      <w:pPr>
        <w:spacing w:before="280" w:after="120"/>
      </w:pPr>
      <w:r>
        <w:rPr>
          <w:rFonts w:ascii="Times New Roman" w:hAnsi="Times New Roman" w:eastAsia="黑体"/>
          <w:b/>
          <w:i w:val="0"/>
          <w:sz w:val="28"/>
        </w:rPr>
        <w:t>Z3 基于AI的农村低压供电可靠性研判与治理决策技术研究及应用</w:t>
      </w:r>
    </w:p>
    <w:p w14:paraId="639AAE03">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研究农村低压供电可靠性多源数据融合AI研判与治理决策技术,实现低压停电事件精准感知、薄弱环节自动辨识与治理项目量化排序,低压可靠性统计准确率≥95%(当前人工统计口径校核准确率约80%),支撑配网攻坚投资精准投放。</w:t>
      </w:r>
    </w:p>
    <w:p w14:paraId="59565405">
      <w:pPr>
        <w:spacing w:after="80" w:line="480" w:lineRule="exact"/>
        <w:ind w:firstLine="482"/>
      </w:pPr>
      <w:r>
        <w:rPr>
          <w:rFonts w:ascii="Times New Roman" w:hAnsi="Times New Roman" w:eastAsia="黑体"/>
          <w:b/>
          <w:i w:val="0"/>
          <w:sz w:val="24"/>
        </w:rPr>
        <w:t>【基本建设内容】</w:t>
      </w:r>
    </w:p>
    <w:p w14:paraId="67C37239">
      <w:pPr>
        <w:spacing w:after="40" w:line="480" w:lineRule="exact"/>
        <w:ind w:left="680" w:firstLine="0"/>
      </w:pPr>
      <w:r>
        <w:rPr>
          <w:rFonts w:ascii="Times New Roman" w:hAnsi="Times New Roman" w:eastAsia="仿宋_GB2312"/>
          <w:b w:val="0"/>
          <w:i w:val="0"/>
          <w:sz w:val="24"/>
        </w:rPr>
        <w:t>(一) 低压多源异构数据动态治理,融合智能电表停复电事件、用采曲线、抢修工单与设备台账。</w:t>
      </w:r>
    </w:p>
    <w:p w14:paraId="0E26EABE">
      <w:pPr>
        <w:spacing w:after="40" w:line="480" w:lineRule="exact"/>
        <w:ind w:left="680" w:firstLine="0"/>
      </w:pPr>
      <w:r>
        <w:rPr>
          <w:rFonts w:ascii="Times New Roman" w:hAnsi="Times New Roman" w:eastAsia="仿宋_GB2312"/>
          <w:b w:val="0"/>
          <w:i w:val="0"/>
          <w:sz w:val="24"/>
        </w:rPr>
        <w:t>(二) 低压停电事件AI研判技术研究,实现停电范围、时长、原因的自动辨识与计划/故障/欠费停电区分。</w:t>
      </w:r>
    </w:p>
    <w:p w14:paraId="7DC564D5">
      <w:pPr>
        <w:spacing w:after="40" w:line="480" w:lineRule="exact"/>
        <w:ind w:left="680" w:firstLine="0"/>
      </w:pPr>
      <w:r>
        <w:rPr>
          <w:rFonts w:ascii="Times New Roman" w:hAnsi="Times New Roman" w:eastAsia="仿宋_GB2312"/>
          <w:b w:val="0"/>
          <w:i w:val="0"/>
          <w:sz w:val="24"/>
        </w:rPr>
        <w:t>(三) 可靠性薄弱环节评估与治理路径优化,建立投资-成效量化排序模型。</w:t>
      </w:r>
    </w:p>
    <w:p w14:paraId="76715DCD">
      <w:pPr>
        <w:spacing w:after="40" w:line="480" w:lineRule="exact"/>
        <w:ind w:left="680" w:firstLine="0"/>
      </w:pPr>
      <w:r>
        <w:rPr>
          <w:rFonts w:ascii="Times New Roman" w:hAnsi="Times New Roman" w:eastAsia="仿宋_GB2312"/>
          <w:b w:val="0"/>
          <w:i w:val="0"/>
          <w:sz w:val="24"/>
        </w:rPr>
        <w:t>(四) 低压可靠性辅助决策应用在周口全域部署,研判结果与配网攻坚考核及投资计划编制贯通。</w:t>
      </w:r>
    </w:p>
    <w:p w14:paraId="6F6626A6">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基于电表停复电事件与用采曲线进行时空聚类,还原真实停电事件并自动分类;可靠性研判采用梯度提升树与图模型融合台账拓扑信息;薄弱环节评估构建"设备健康指数+历史停电频次+负载率"多因子模型;治理决策采用组合优化方法,在预算约束下最大化可靠性提升期望,输出治理项目优先级排序;全程复用营销与运检既有系统数据,不新建采集装置。</w:t>
      </w:r>
    </w:p>
    <w:p w14:paraId="76DA66FD">
      <w:pPr>
        <w:spacing w:after="80" w:line="480" w:lineRule="exact"/>
        <w:ind w:firstLine="482"/>
      </w:pPr>
      <w:r>
        <w:rPr>
          <w:rFonts w:ascii="Times New Roman" w:hAnsi="Times New Roman" w:eastAsia="黑体"/>
          <w:b/>
          <w:i w:val="0"/>
          <w:sz w:val="24"/>
        </w:rPr>
        <w:t>【关键技术问题】</w:t>
      </w:r>
    </w:p>
    <w:p w14:paraId="5FE37F9D">
      <w:pPr>
        <w:spacing w:after="40" w:line="480" w:lineRule="exact"/>
        <w:ind w:left="680" w:firstLine="0"/>
      </w:pPr>
      <w:r>
        <w:rPr>
          <w:rFonts w:ascii="Times New Roman" w:hAnsi="Times New Roman" w:eastAsia="仿宋_GB2312"/>
          <w:b w:val="0"/>
          <w:i w:val="0"/>
          <w:sz w:val="24"/>
        </w:rPr>
        <w:t>(一) 在户变档案错误率30%以上(依据周口营配贯通质量专项普查结论)、无直接拓扑量测条件下,基于电压相关性与停电事件共现重建低压拓扑的可观性边界与置信度理论。</w:t>
      </w:r>
    </w:p>
    <w:p w14:paraId="01E757B3">
      <w:pPr>
        <w:spacing w:after="40" w:line="480" w:lineRule="exact"/>
        <w:ind w:left="680" w:firstLine="0"/>
      </w:pPr>
      <w:r>
        <w:rPr>
          <w:rFonts w:ascii="Times New Roman" w:hAnsi="Times New Roman" w:eastAsia="仿宋_GB2312"/>
          <w:b w:val="0"/>
          <w:i w:val="0"/>
          <w:sz w:val="24"/>
        </w:rPr>
        <w:t>(二) 电表事件、抢修工单、台账三源信息冲突时的真值发现方法——冲突消解规则的可解释性要求。</w:t>
      </w:r>
    </w:p>
    <w:p w14:paraId="197441B1">
      <w:pPr>
        <w:spacing w:after="40" w:line="480" w:lineRule="exact"/>
        <w:ind w:left="680" w:firstLine="0"/>
      </w:pPr>
      <w:r>
        <w:rPr>
          <w:rFonts w:ascii="Times New Roman" w:hAnsi="Times New Roman" w:eastAsia="仿宋_GB2312"/>
          <w:b w:val="0"/>
          <w:i w:val="0"/>
          <w:sz w:val="24"/>
        </w:rPr>
        <w:t>(三) 治理投资与可靠性提升的因果归因——无对照组条件下如何剥离负荷自然变化等混杂因素。</w:t>
      </w:r>
    </w:p>
    <w:p w14:paraId="6F8D9BD1">
      <w:pPr>
        <w:spacing w:after="40" w:line="480" w:lineRule="exact"/>
        <w:ind w:left="680" w:firstLine="0"/>
      </w:pPr>
      <w:r>
        <w:rPr>
          <w:rFonts w:ascii="Times New Roman" w:hAnsi="Times New Roman" w:eastAsia="仿宋_GB2312"/>
          <w:b w:val="0"/>
          <w:i w:val="0"/>
          <w:sz w:val="24"/>
        </w:rPr>
        <w:t>(四) 县域数百万计量点日级批量研判的分布式计算架构与增量更新算法。</w:t>
      </w:r>
    </w:p>
    <w:p w14:paraId="058B445B">
      <w:pPr>
        <w:spacing w:after="200" w:line="480" w:lineRule="exact"/>
        <w:ind w:firstLine="482"/>
      </w:pPr>
      <w:r>
        <w:rPr>
          <w:rFonts w:ascii="Times New Roman" w:hAnsi="Times New Roman" w:eastAsia="楷体_GB2312"/>
          <w:b w:val="0"/>
          <w:i/>
          <w:sz w:val="24"/>
        </w:rPr>
        <w:t>对应指南条款:国网总部指南086"基于AI的低压供电可靠性研判与动态提升决策技术及应用"(852万)。</w:t>
      </w:r>
    </w:p>
    <w:p w14:paraId="26956ABC">
      <w:pPr>
        <w:spacing w:before="280" w:after="120"/>
      </w:pPr>
      <w:r>
        <w:rPr>
          <w:rFonts w:ascii="Times New Roman" w:hAnsi="Times New Roman" w:eastAsia="黑体"/>
          <w:b/>
          <w:i w:val="0"/>
          <w:sz w:val="28"/>
        </w:rPr>
        <w:t>Z4 基于大模型底座的农业负荷特性辨识与细粒度预测调控技术研究</w:t>
      </w:r>
    </w:p>
    <w:p w14:paraId="41A4A3E0">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面向农排灌、烘干、养殖、冷链等农业负荷,研究大模型底座下的负荷特性辨识、细粒度预测与柔性调控技术,农业负荷分类辨识准确率≥90%,台区级日前预测误差≤8%(现行统计模型基线约15%),建成覆盖10类以上农业负荷的样本库。</w:t>
      </w:r>
    </w:p>
    <w:p w14:paraId="7F74739C">
      <w:pPr>
        <w:spacing w:after="80" w:line="480" w:lineRule="exact"/>
        <w:ind w:firstLine="482"/>
      </w:pPr>
      <w:r>
        <w:rPr>
          <w:rFonts w:ascii="Times New Roman" w:hAnsi="Times New Roman" w:eastAsia="黑体"/>
          <w:b/>
          <w:i w:val="0"/>
          <w:sz w:val="24"/>
        </w:rPr>
        <w:t>【基本建设内容】</w:t>
      </w:r>
    </w:p>
    <w:p w14:paraId="62FBDECD">
      <w:pPr>
        <w:spacing w:after="40" w:line="480" w:lineRule="exact"/>
        <w:ind w:left="680" w:firstLine="0"/>
      </w:pPr>
      <w:r>
        <w:rPr>
          <w:rFonts w:ascii="Times New Roman" w:hAnsi="Times New Roman" w:eastAsia="仿宋_GB2312"/>
          <w:b w:val="0"/>
          <w:i w:val="0"/>
          <w:sz w:val="24"/>
        </w:rPr>
        <w:t>(一) 农业负荷多模态数据集与知识库建设,融合用采曲线、气象、农事历与作物类型信息。</w:t>
      </w:r>
    </w:p>
    <w:p w14:paraId="094BCEC6">
      <w:pPr>
        <w:spacing w:after="40" w:line="480" w:lineRule="exact"/>
        <w:ind w:left="680" w:firstLine="0"/>
      </w:pPr>
      <w:r>
        <w:rPr>
          <w:rFonts w:ascii="Times New Roman" w:hAnsi="Times New Roman" w:eastAsia="仿宋_GB2312"/>
          <w:b w:val="0"/>
          <w:i w:val="0"/>
          <w:sz w:val="24"/>
        </w:rPr>
        <w:t>(二) 基于大模型底座的农业负荷特性辨识与非侵入式负荷分解技术研究,并与传统时序模型开展对照实验论证增益。</w:t>
      </w:r>
    </w:p>
    <w:p w14:paraId="0F131974">
      <w:pPr>
        <w:spacing w:after="40" w:line="480" w:lineRule="exact"/>
        <w:ind w:left="680" w:firstLine="0"/>
      </w:pPr>
      <w:r>
        <w:rPr>
          <w:rFonts w:ascii="Times New Roman" w:hAnsi="Times New Roman" w:eastAsia="仿宋_GB2312"/>
          <w:b w:val="0"/>
          <w:i w:val="0"/>
          <w:sz w:val="24"/>
        </w:rPr>
        <w:t>(三) 农事驱动的台区级、专变级细粒度负荷预测技术研究,覆盖日前与日内尺度。</w:t>
      </w:r>
    </w:p>
    <w:p w14:paraId="377461AE">
      <w:pPr>
        <w:spacing w:after="40" w:line="480" w:lineRule="exact"/>
        <w:ind w:left="680" w:firstLine="0"/>
      </w:pPr>
      <w:r>
        <w:rPr>
          <w:rFonts w:ascii="Times New Roman" w:hAnsi="Times New Roman" w:eastAsia="仿宋_GB2312"/>
          <w:b w:val="0"/>
          <w:i w:val="0"/>
          <w:sz w:val="24"/>
        </w:rPr>
        <w:t>(四) 农业负荷柔性调控与需求响应示范,开展灌溉错峰、烘干负荷聚合应用,依托周口乡村电气化试点场景落地,沉淀农业负荷领域高质量数据集。</w:t>
      </w:r>
    </w:p>
    <w:p w14:paraId="76F76C8D">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以国网光明电力大模型负荷管理场景版本为底座开展农业场景微调(由省电科院统一获取授权与算力,周口不自建底座);特性辨识采用时序基础模型提取负荷指纹,结合农事知识图谱校正;预测层以气象、土壤墒情、农时节律为协变量,采用分位数回归输出区间预测,并与GBDT/LSTM基线严格对照验证;调控层构建"聚合商-台区-农户"三级响应模型,采用电价与积分双重激励;示范数据持续回流微调模型,形成农业负荷领域数据集资产。</w:t>
      </w:r>
    </w:p>
    <w:p w14:paraId="4C6450D4">
      <w:pPr>
        <w:spacing w:after="80" w:line="480" w:lineRule="exact"/>
        <w:ind w:firstLine="482"/>
      </w:pPr>
      <w:r>
        <w:rPr>
          <w:rFonts w:ascii="Times New Roman" w:hAnsi="Times New Roman" w:eastAsia="黑体"/>
          <w:b/>
          <w:i w:val="0"/>
          <w:sz w:val="24"/>
        </w:rPr>
        <w:t>【关键技术问题】</w:t>
      </w:r>
    </w:p>
    <w:p w14:paraId="4784E159">
      <w:pPr>
        <w:spacing w:after="40" w:line="480" w:lineRule="exact"/>
        <w:ind w:left="680" w:firstLine="0"/>
      </w:pPr>
      <w:r>
        <w:rPr>
          <w:rFonts w:ascii="Times New Roman" w:hAnsi="Times New Roman" w:eastAsia="仿宋_GB2312"/>
          <w:b w:val="0"/>
          <w:i w:val="0"/>
          <w:sz w:val="24"/>
        </w:rPr>
        <w:t>(一) 大模型底座的实质增益论证——农业负荷强农时驱动、历史规律弱,传统时序模型在作物轮作年际漂移与灌溉突发启停场景下失效,需定量验证大模型跨场景知识迁移与小样本泛化相对GBDT/LSTM基线的提升幅度。</w:t>
      </w:r>
    </w:p>
    <w:p w14:paraId="074AF5ED">
      <w:pPr>
        <w:spacing w:after="40" w:line="480" w:lineRule="exact"/>
        <w:ind w:left="680" w:firstLine="0"/>
      </w:pPr>
      <w:r>
        <w:rPr>
          <w:rFonts w:ascii="Times New Roman" w:hAnsi="Times New Roman" w:eastAsia="仿宋_GB2312"/>
          <w:b w:val="0"/>
          <w:i w:val="0"/>
          <w:sz w:val="24"/>
        </w:rPr>
        <w:t>(二) 户级小容量农业设备非侵入式辨识的可分性边界——量测采样率约束下可辨识设备类型的理论上限。</w:t>
      </w:r>
    </w:p>
    <w:p w14:paraId="60A1C04A">
      <w:pPr>
        <w:spacing w:after="40" w:line="480" w:lineRule="exact"/>
        <w:ind w:left="680" w:firstLine="0"/>
      </w:pPr>
      <w:r>
        <w:rPr>
          <w:rFonts w:ascii="Times New Roman" w:hAnsi="Times New Roman" w:eastAsia="仿宋_GB2312"/>
          <w:b w:val="0"/>
          <w:i w:val="0"/>
          <w:sz w:val="24"/>
        </w:rPr>
        <w:t>(三) 灌溉保墒等刚性农事约束下真实可调潜力的评估方法——名义容量与可响应容量的差异建模。</w:t>
      </w:r>
    </w:p>
    <w:p w14:paraId="5A55C54A">
      <w:pPr>
        <w:spacing w:after="40" w:line="480" w:lineRule="exact"/>
        <w:ind w:left="680" w:firstLine="0"/>
      </w:pPr>
      <w:r>
        <w:rPr>
          <w:rFonts w:ascii="Times New Roman" w:hAnsi="Times New Roman" w:eastAsia="仿宋_GB2312"/>
          <w:b w:val="0"/>
          <w:i w:val="0"/>
          <w:sz w:val="24"/>
        </w:rPr>
        <w:t>(四) 农户参与需求响应的最小干预激励机制设计。</w:t>
      </w:r>
    </w:p>
    <w:p w14:paraId="048E26EA">
      <w:pPr>
        <w:spacing w:after="200" w:line="480" w:lineRule="exact"/>
        <w:ind w:firstLine="482"/>
      </w:pPr>
      <w:r>
        <w:rPr>
          <w:rFonts w:ascii="Times New Roman" w:hAnsi="Times New Roman" w:eastAsia="楷体_GB2312"/>
          <w:b w:val="0"/>
          <w:i/>
          <w:sz w:val="24"/>
        </w:rPr>
        <w:t>对应指南条款:国重专项2.5"基于AI大模型底座的新型电力负荷管理技术及应用"(联合省电科院,大模型能力由省级底座提供,周口提供场景与数据)。</w:t>
      </w:r>
    </w:p>
    <w:p w14:paraId="727A4AEA">
      <w:pPr>
        <w:spacing w:before="280" w:after="120"/>
      </w:pPr>
      <w:r>
        <w:rPr>
          <w:rFonts w:ascii="Times New Roman" w:hAnsi="Times New Roman" w:eastAsia="黑体"/>
          <w:b/>
          <w:i w:val="0"/>
          <w:sz w:val="28"/>
        </w:rPr>
        <w:t>Z5 配电网故障全域自愈与AI辅助研判决策关键技术研究及应用</w:t>
      </w:r>
    </w:p>
    <w:p w14:paraId="0F17A8CF">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在商水10kV线路52秒自愈实战成功基础上,研究县域配网故障全域自愈与AI辅助研判技术,自愈覆盖由单线试点扩展至县域全域,故障定位准确率≥95%、非故障段复电时间≤1分钟(商水工程基线52秒,县域推广目标),打造农网全域自愈样板。</w:t>
      </w:r>
    </w:p>
    <w:p w14:paraId="5933C61F">
      <w:pPr>
        <w:spacing w:after="80" w:line="480" w:lineRule="exact"/>
        <w:ind w:firstLine="482"/>
      </w:pPr>
      <w:r>
        <w:rPr>
          <w:rFonts w:ascii="Times New Roman" w:hAnsi="Times New Roman" w:eastAsia="黑体"/>
          <w:b/>
          <w:i w:val="0"/>
          <w:sz w:val="24"/>
        </w:rPr>
        <w:t>【基本建设内容】</w:t>
      </w:r>
    </w:p>
    <w:p w14:paraId="1BA4B7C0">
      <w:pPr>
        <w:spacing w:after="40" w:line="480" w:lineRule="exact"/>
        <w:ind w:left="680" w:firstLine="0"/>
      </w:pPr>
      <w:r>
        <w:rPr>
          <w:rFonts w:ascii="Times New Roman" w:hAnsi="Times New Roman" w:eastAsia="仿宋_GB2312"/>
          <w:b w:val="0"/>
          <w:i w:val="0"/>
          <w:sz w:val="24"/>
        </w:rPr>
        <w:t>(一) 农网故障多源信息融合研判技术研究,融合故障录波、FTU/DTU遥信、电表停电事件与AI波形识别。</w:t>
      </w:r>
    </w:p>
    <w:p w14:paraId="4F487992">
      <w:pPr>
        <w:spacing w:after="40" w:line="480" w:lineRule="exact"/>
        <w:ind w:left="680" w:firstLine="0"/>
      </w:pPr>
      <w:r>
        <w:rPr>
          <w:rFonts w:ascii="Times New Roman" w:hAnsi="Times New Roman" w:eastAsia="仿宋_GB2312"/>
          <w:b w:val="0"/>
          <w:i w:val="0"/>
          <w:sz w:val="24"/>
        </w:rPr>
        <w:t>(二) 复杂场景自愈策略优化研究,解决多联络、弱联络及分布式光伏反送条件下的安全转供。</w:t>
      </w:r>
    </w:p>
    <w:p w14:paraId="0CAC17E1">
      <w:pPr>
        <w:spacing w:after="40" w:line="480" w:lineRule="exact"/>
        <w:ind w:left="680" w:firstLine="0"/>
      </w:pPr>
      <w:r>
        <w:rPr>
          <w:rFonts w:ascii="Times New Roman" w:hAnsi="Times New Roman" w:eastAsia="仿宋_GB2312"/>
          <w:b w:val="0"/>
          <w:i w:val="0"/>
          <w:sz w:val="24"/>
        </w:rPr>
        <w:t>(三) 自愈失败与不完全信息场景的AI辅助决策,自动生成隔离-转供-抢修建议方案。</w:t>
      </w:r>
    </w:p>
    <w:p w14:paraId="06FDA95F">
      <w:pPr>
        <w:spacing w:after="40" w:line="480" w:lineRule="exact"/>
        <w:ind w:left="680" w:firstLine="0"/>
      </w:pPr>
      <w:r>
        <w:rPr>
          <w:rFonts w:ascii="Times New Roman" w:hAnsi="Times New Roman" w:eastAsia="仿宋_GB2312"/>
          <w:b w:val="0"/>
          <w:i w:val="0"/>
          <w:sz w:val="24"/>
        </w:rPr>
        <w:t>(四) 县域全域自愈示范工程建设与运行评价体系构建,联合省电科院总结形成农网自愈推广技术导则。</w:t>
      </w:r>
    </w:p>
    <w:p w14:paraId="2C8E711A">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以商水自愈工程为基线,系统梳理其动作逻辑与适用边界;研判层采用机理与数据混合的故障辨识方法,时序神经网络波形识别与保护动作逻辑校验互为印证;策略层采用"离线预案预计算+在线秒级匹配校核"架构,故障态快速匹配转供预案并进行光伏反送安全校核;对不满足全自动条件的场景降级为AI辅助人工决策,明确人机责任边界;以建设与运行数据闭环评价自愈成功率并持续优化。</w:t>
      </w:r>
    </w:p>
    <w:p w14:paraId="6801674E">
      <w:pPr>
        <w:spacing w:after="80" w:line="480" w:lineRule="exact"/>
        <w:ind w:firstLine="482"/>
      </w:pPr>
      <w:r>
        <w:rPr>
          <w:rFonts w:ascii="Times New Roman" w:hAnsi="Times New Roman" w:eastAsia="黑体"/>
          <w:b/>
          <w:i w:val="0"/>
          <w:sz w:val="24"/>
        </w:rPr>
        <w:t>【关键技术问题】</w:t>
      </w:r>
    </w:p>
    <w:p w14:paraId="7B7BB49E">
      <w:pPr>
        <w:spacing w:after="40" w:line="480" w:lineRule="exact"/>
        <w:ind w:left="680" w:firstLine="0"/>
      </w:pPr>
      <w:r>
        <w:rPr>
          <w:rFonts w:ascii="Times New Roman" w:hAnsi="Times New Roman" w:eastAsia="仿宋_GB2312"/>
          <w:b w:val="0"/>
          <w:i w:val="0"/>
          <w:sz w:val="24"/>
        </w:rPr>
        <w:t>(一) 分布式光伏高渗透下自愈转供的非计划孤岛与反送风险防控。</w:t>
      </w:r>
    </w:p>
    <w:p w14:paraId="086CD873">
      <w:pPr>
        <w:spacing w:after="40" w:line="480" w:lineRule="exact"/>
        <w:ind w:left="680" w:firstLine="0"/>
      </w:pPr>
      <w:r>
        <w:rPr>
          <w:rFonts w:ascii="Times New Roman" w:hAnsi="Times New Roman" w:eastAsia="仿宋_GB2312"/>
          <w:b w:val="0"/>
          <w:i w:val="0"/>
          <w:sz w:val="24"/>
        </w:rPr>
        <w:t>(二) 农网通信条件差异下自愈模式的分级适配(全自动/半自动/辅助决策)。</w:t>
      </w:r>
    </w:p>
    <w:p w14:paraId="5D333B1F">
      <w:pPr>
        <w:spacing w:after="40" w:line="480" w:lineRule="exact"/>
        <w:ind w:left="680" w:firstLine="0"/>
      </w:pPr>
      <w:r>
        <w:rPr>
          <w:rFonts w:ascii="Times New Roman" w:hAnsi="Times New Roman" w:eastAsia="仿宋_GB2312"/>
          <w:b w:val="0"/>
          <w:i w:val="0"/>
          <w:sz w:val="24"/>
        </w:rPr>
        <w:t>(三) 多源故障信息时标不一致条件下的融合研判。</w:t>
      </w:r>
    </w:p>
    <w:p w14:paraId="2C9F10AD">
      <w:pPr>
        <w:spacing w:after="40" w:line="480" w:lineRule="exact"/>
        <w:ind w:left="680" w:firstLine="0"/>
      </w:pPr>
      <w:r>
        <w:rPr>
          <w:rFonts w:ascii="Times New Roman" w:hAnsi="Times New Roman" w:eastAsia="仿宋_GB2312"/>
          <w:b w:val="0"/>
          <w:i w:val="0"/>
          <w:sz w:val="24"/>
        </w:rPr>
        <w:t>(四) 自愈逻辑的充分性验证——在不允许真实跳闸试验的约束下构建等效测试环境。</w:t>
      </w:r>
    </w:p>
    <w:p w14:paraId="4909EC7A">
      <w:pPr>
        <w:spacing w:after="200" w:line="480" w:lineRule="exact"/>
        <w:ind w:firstLine="482"/>
      </w:pPr>
      <w:r>
        <w:rPr>
          <w:rFonts w:ascii="Times New Roman" w:hAnsi="Times New Roman" w:eastAsia="楷体_GB2312"/>
          <w:b w:val="0"/>
          <w:i/>
          <w:sz w:val="24"/>
        </w:rPr>
        <w:t>对应指南条款:国网总部指南055"基于机理和数据驱动的线路故障智能辨识技术研究"(1079万)、084"面向多业务场景的中压配电网边缘智能决策技术研究及设备研制"(1457万)。</w:t>
      </w:r>
    </w:p>
    <w:p w14:paraId="144E99FD">
      <w:pPr>
        <w:spacing w:before="280" w:after="120"/>
      </w:pPr>
      <w:r>
        <w:rPr>
          <w:rFonts w:ascii="Times New Roman" w:hAnsi="Times New Roman" w:eastAsia="黑体"/>
          <w:b/>
          <w:i w:val="0"/>
          <w:sz w:val="28"/>
        </w:rPr>
        <w:t>Z6 农网检修计划停电影响智能分析与生成式编制技术研究及应用</w:t>
      </w:r>
    </w:p>
    <w:p w14:paraId="4E2A6984">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面向农网放射型网架检修特点,研究检修计划停电影响智能分析与生成式编制技术,停电影响分析准确率≥95%、重复停电工单管控覆盖率≥98%(以纳入月度计划管理的计划停电工单为分母)、月度计划编制耗时下降40%(现行人工编制基线约3个工作日)。</w:t>
      </w:r>
    </w:p>
    <w:p w14:paraId="2D3F6784">
      <w:pPr>
        <w:spacing w:after="80" w:line="480" w:lineRule="exact"/>
        <w:ind w:firstLine="482"/>
      </w:pPr>
      <w:r>
        <w:rPr>
          <w:rFonts w:ascii="Times New Roman" w:hAnsi="Times New Roman" w:eastAsia="黑体"/>
          <w:b/>
          <w:i w:val="0"/>
          <w:sz w:val="24"/>
        </w:rPr>
        <w:t>【基本建设内容】</w:t>
      </w:r>
    </w:p>
    <w:p w14:paraId="79F2933B">
      <w:pPr>
        <w:spacing w:after="40" w:line="480" w:lineRule="exact"/>
        <w:ind w:left="680" w:firstLine="0"/>
      </w:pPr>
      <w:r>
        <w:rPr>
          <w:rFonts w:ascii="Times New Roman" w:hAnsi="Times New Roman" w:eastAsia="仿宋_GB2312"/>
          <w:b w:val="0"/>
          <w:i w:val="0"/>
          <w:sz w:val="24"/>
        </w:rPr>
        <w:t>(一) 农网检修知识库建设,结构化检修规程、安规条款、典型案例与历史计划,突出放射型网架停电影响特征。</w:t>
      </w:r>
    </w:p>
    <w:p w14:paraId="1C20BEBF">
      <w:pPr>
        <w:spacing w:after="40" w:line="480" w:lineRule="exact"/>
        <w:ind w:left="680" w:firstLine="0"/>
      </w:pPr>
      <w:r>
        <w:rPr>
          <w:rFonts w:ascii="Times New Roman" w:hAnsi="Times New Roman" w:eastAsia="仿宋_GB2312"/>
          <w:b w:val="0"/>
          <w:i w:val="0"/>
          <w:sz w:val="24"/>
        </w:rPr>
        <w:t>(二) 停电影响智能分析技术研究,自动计算停电范围、影响户数、重要用户与民生设施清单。</w:t>
      </w:r>
    </w:p>
    <w:p w14:paraId="43388EBA">
      <w:pPr>
        <w:spacing w:after="40" w:line="480" w:lineRule="exact"/>
        <w:ind w:left="680" w:firstLine="0"/>
      </w:pPr>
      <w:r>
        <w:rPr>
          <w:rFonts w:ascii="Times New Roman" w:hAnsi="Times New Roman" w:eastAsia="仿宋_GB2312"/>
          <w:b w:val="0"/>
          <w:i w:val="0"/>
          <w:sz w:val="24"/>
        </w:rPr>
        <w:t>(三) 检修计划生成式编制与重复停电管控技术研究,综合停电需求与班组、物资约束自动生成月度与周计划。</w:t>
      </w:r>
    </w:p>
    <w:p w14:paraId="45CAE3E2">
      <w:pPr>
        <w:spacing w:after="40" w:line="480" w:lineRule="exact"/>
        <w:ind w:left="680" w:firstLine="0"/>
      </w:pPr>
      <w:r>
        <w:rPr>
          <w:rFonts w:ascii="Times New Roman" w:hAnsi="Times New Roman" w:eastAsia="仿宋_GB2312"/>
          <w:b w:val="0"/>
          <w:i w:val="0"/>
          <w:sz w:val="24"/>
        </w:rPr>
        <w:t>(四) 客户停电通知链路智能化建设,自动生成分渠道通知文案与安抚话术,在周口检修业务实际运转并沉淀人工修正反馈。</w:t>
      </w:r>
    </w:p>
    <w:p w14:paraId="6551D3E9">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以国网光明电力大模型为底座(不自建底座),开展检修领域检索增强与轻量微调;停电影响分析基于营配贯通拓扑逐户追踪,联动重要用户清单硬校验;计划生成采用"大模型任务分解+运筹优化排程"混合架构,重复停电约束以规则引擎硬编码;客户通知由大模型按用户类型生成差异化文案,人工审核后发布;人在回路修正记录转化为偏好数据,定期开展偏好优化训练。</w:t>
      </w:r>
    </w:p>
    <w:p w14:paraId="0C5EAC94">
      <w:pPr>
        <w:spacing w:after="80" w:line="480" w:lineRule="exact"/>
        <w:ind w:firstLine="482"/>
      </w:pPr>
      <w:r>
        <w:rPr>
          <w:rFonts w:ascii="Times New Roman" w:hAnsi="Times New Roman" w:eastAsia="黑体"/>
          <w:b/>
          <w:i w:val="0"/>
          <w:sz w:val="24"/>
        </w:rPr>
        <w:t>【关键技术问题】</w:t>
      </w:r>
    </w:p>
    <w:p w14:paraId="561535BD">
      <w:pPr>
        <w:spacing w:after="40" w:line="480" w:lineRule="exact"/>
        <w:ind w:left="680" w:firstLine="0"/>
      </w:pPr>
      <w:r>
        <w:rPr>
          <w:rFonts w:ascii="Times New Roman" w:hAnsi="Times New Roman" w:eastAsia="仿宋_GB2312"/>
          <w:b w:val="0"/>
          <w:i w:val="0"/>
          <w:sz w:val="24"/>
        </w:rPr>
        <w:t>(一) 农网营配档案质量缺陷向停电影响清单的误差传播控制——影响户数统计错误直接引发投诉风险。</w:t>
      </w:r>
    </w:p>
    <w:p w14:paraId="4CE29703">
      <w:pPr>
        <w:spacing w:after="40" w:line="480" w:lineRule="exact"/>
        <w:ind w:left="680" w:firstLine="0"/>
      </w:pPr>
      <w:r>
        <w:rPr>
          <w:rFonts w:ascii="Times New Roman" w:hAnsi="Times New Roman" w:eastAsia="仿宋_GB2312"/>
          <w:b w:val="0"/>
          <w:i w:val="0"/>
          <w:sz w:val="24"/>
        </w:rPr>
        <w:t>(二) 放射型为主、联络率低网架下"检修不停电化"空间的挖掘方法。</w:t>
      </w:r>
    </w:p>
    <w:p w14:paraId="1C79A0E8">
      <w:pPr>
        <w:spacing w:after="40" w:line="480" w:lineRule="exact"/>
        <w:ind w:left="680" w:firstLine="0"/>
      </w:pPr>
      <w:r>
        <w:rPr>
          <w:rFonts w:ascii="Times New Roman" w:hAnsi="Times New Roman" w:eastAsia="仿宋_GB2312"/>
          <w:b w:val="0"/>
          <w:i w:val="0"/>
          <w:sz w:val="24"/>
        </w:rPr>
        <w:t>(三) 计划临时变更引发连锁影响的快速重排。</w:t>
      </w:r>
    </w:p>
    <w:p w14:paraId="29934B11">
      <w:pPr>
        <w:spacing w:after="40" w:line="480" w:lineRule="exact"/>
        <w:ind w:left="680" w:firstLine="0"/>
      </w:pPr>
      <w:r>
        <w:rPr>
          <w:rFonts w:ascii="Times New Roman" w:hAnsi="Times New Roman" w:eastAsia="仿宋_GB2312"/>
          <w:b w:val="0"/>
          <w:i w:val="0"/>
          <w:sz w:val="24"/>
        </w:rPr>
        <w:t>(四) 人工修正反馈稀疏且噪声较大条件下偏好学习的有效性。</w:t>
      </w:r>
    </w:p>
    <w:p w14:paraId="140D3FB2">
      <w:pPr>
        <w:spacing w:after="200" w:line="480" w:lineRule="exact"/>
        <w:ind w:firstLine="482"/>
      </w:pPr>
      <w:r>
        <w:rPr>
          <w:rFonts w:ascii="Times New Roman" w:hAnsi="Times New Roman" w:eastAsia="楷体_GB2312"/>
          <w:b w:val="0"/>
          <w:i/>
          <w:sz w:val="24"/>
        </w:rPr>
        <w:t>对应指南条款:国网总部指南237"配网检修计划全链条决策的人机增强生成式智能体关键技术研究与应用"(1269万)。。</w:t>
      </w:r>
    </w:p>
    <w:p w14:paraId="3EC0EFB7">
      <w:pPr>
        <w:spacing w:before="280" w:after="120"/>
      </w:pPr>
      <w:r>
        <w:rPr>
          <w:rFonts w:ascii="Times New Roman" w:hAnsi="Times New Roman" w:eastAsia="黑体"/>
          <w:b/>
          <w:i w:val="0"/>
          <w:sz w:val="28"/>
        </w:rPr>
        <w:t>Z7 大模型驱动的平原农网洪涝风险智能预警与应急处置技术研究</w:t>
      </w:r>
    </w:p>
    <w:p w14:paraId="607A568A">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面向沙颍河流域平原农网,研究洪涝风险大模型预警与应急处置技术,实现台区与配电设施级洪涝风险48小时预警、应急处置方案分钟级生成,在2021年暴雨重现情景推演中预警提前量≥24小时。</w:t>
      </w:r>
    </w:p>
    <w:p w14:paraId="4A1F42D2">
      <w:pPr>
        <w:spacing w:after="80" w:line="480" w:lineRule="exact"/>
        <w:ind w:firstLine="482"/>
      </w:pPr>
      <w:r>
        <w:rPr>
          <w:rFonts w:ascii="Times New Roman" w:hAnsi="Times New Roman" w:eastAsia="黑体"/>
          <w:b/>
          <w:i w:val="0"/>
          <w:sz w:val="24"/>
        </w:rPr>
        <w:t>【基本建设内容】</w:t>
      </w:r>
    </w:p>
    <w:p w14:paraId="2DCFFDDA">
      <w:pPr>
        <w:spacing w:after="40" w:line="480" w:lineRule="exact"/>
        <w:ind w:left="680" w:firstLine="0"/>
      </w:pPr>
      <w:r>
        <w:rPr>
          <w:rFonts w:ascii="Times New Roman" w:hAnsi="Times New Roman" w:eastAsia="仿宋_GB2312"/>
          <w:b w:val="0"/>
          <w:i w:val="0"/>
          <w:sz w:val="24"/>
        </w:rPr>
        <w:t>(一) 平原农网洪涝风险数据底座建设,整合流域水文、地形高程、配网设施位置高程与历史灾损记录。</w:t>
      </w:r>
    </w:p>
    <w:p w14:paraId="4BC17795">
      <w:pPr>
        <w:spacing w:after="40" w:line="480" w:lineRule="exact"/>
        <w:ind w:left="680" w:firstLine="0"/>
      </w:pPr>
      <w:r>
        <w:rPr>
          <w:rFonts w:ascii="Times New Roman" w:hAnsi="Times New Roman" w:eastAsia="仿宋_GB2312"/>
          <w:b w:val="0"/>
          <w:i w:val="0"/>
          <w:sz w:val="24"/>
        </w:rPr>
        <w:t>(二) 多源融合的洪涝风险大模型预警技术研究,构建"降雨预报→内涝推演→设施受淹概率"预警链。</w:t>
      </w:r>
    </w:p>
    <w:p w14:paraId="57A3F32C">
      <w:pPr>
        <w:spacing w:after="40" w:line="480" w:lineRule="exact"/>
        <w:ind w:left="680" w:firstLine="0"/>
      </w:pPr>
      <w:r>
        <w:rPr>
          <w:rFonts w:ascii="Times New Roman" w:hAnsi="Times New Roman" w:eastAsia="仿宋_GB2312"/>
          <w:b w:val="0"/>
          <w:i w:val="0"/>
          <w:sz w:val="24"/>
        </w:rPr>
        <w:t>(三) 应急处置策略智能匹配研究,覆盖预防性停电、抢修资源预置、应急发电车调配。</w:t>
      </w:r>
    </w:p>
    <w:p w14:paraId="2899AC4C">
      <w:pPr>
        <w:spacing w:after="40" w:line="480" w:lineRule="exact"/>
        <w:ind w:left="680" w:firstLine="0"/>
      </w:pPr>
      <w:r>
        <w:rPr>
          <w:rFonts w:ascii="Times New Roman" w:hAnsi="Times New Roman" w:eastAsia="仿宋_GB2312"/>
          <w:b w:val="0"/>
          <w:i w:val="0"/>
          <w:sz w:val="24"/>
        </w:rPr>
        <w:t>(四) 预警处置一体化应用建设,接入地市应急指挥体系,汛期实战检验并迭代。</w:t>
      </w:r>
    </w:p>
    <w:p w14:paraId="061FF957">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气象输入以气象部门业务数值预报产品为唯一主通道,自成完整推演链;湖北H3电力气象大模型成果仅作远期精度增强选项,不纳入本项目验收要件,接入时遵循双方约定的标准气象格点数据接口协议;内涝推演采用简化水动力模型与机器学习代理加速,平原区重点建模内涝积水过程;设施脆弱性基于高程、设防标准与历史灾损回归建模;处置策略采用案例推理与大模型生成结合,预案库匹配后细化为可执行工单;汛前情景演练、汛中滚动更新。</w:t>
      </w:r>
    </w:p>
    <w:p w14:paraId="695C5A7D">
      <w:pPr>
        <w:spacing w:after="80" w:line="480" w:lineRule="exact"/>
        <w:ind w:firstLine="482"/>
      </w:pPr>
      <w:r>
        <w:rPr>
          <w:rFonts w:ascii="Times New Roman" w:hAnsi="Times New Roman" w:eastAsia="黑体"/>
          <w:b/>
          <w:i w:val="0"/>
          <w:sz w:val="24"/>
        </w:rPr>
        <w:t>【关键技术问题】</w:t>
      </w:r>
    </w:p>
    <w:p w14:paraId="48145B8E">
      <w:pPr>
        <w:spacing w:after="40" w:line="480" w:lineRule="exact"/>
        <w:ind w:left="680" w:firstLine="0"/>
      </w:pPr>
      <w:r>
        <w:rPr>
          <w:rFonts w:ascii="Times New Roman" w:hAnsi="Times New Roman" w:eastAsia="仿宋_GB2312"/>
          <w:b w:val="0"/>
          <w:i w:val="0"/>
          <w:sz w:val="24"/>
        </w:rPr>
        <w:t>(一) 平原缓坡地形内涝模拟的病态性——产汇流机理与山区洪水演进本质不同,0.5米以下浅积水深度区间的模拟误差对设施受淹判断影响最大且最难控制。</w:t>
      </w:r>
    </w:p>
    <w:p w14:paraId="48DE10F5">
      <w:pPr>
        <w:spacing w:after="40" w:line="480" w:lineRule="exact"/>
        <w:ind w:left="680" w:firstLine="0"/>
      </w:pPr>
      <w:r>
        <w:rPr>
          <w:rFonts w:ascii="Times New Roman" w:hAnsi="Times New Roman" w:eastAsia="仿宋_GB2312"/>
          <w:b w:val="0"/>
          <w:i w:val="0"/>
          <w:sz w:val="24"/>
        </w:rPr>
        <w:t>(二) 配网设施高程数据大面积缺失下,以DEM插值与街景影像推断相结合的低成本补齐方法及其误差界。</w:t>
      </w:r>
    </w:p>
    <w:p w14:paraId="16B7C31D">
      <w:pPr>
        <w:spacing w:after="40" w:line="480" w:lineRule="exact"/>
        <w:ind w:left="680" w:firstLine="0"/>
      </w:pPr>
      <w:r>
        <w:rPr>
          <w:rFonts w:ascii="Times New Roman" w:hAnsi="Times New Roman" w:eastAsia="仿宋_GB2312"/>
          <w:b w:val="0"/>
          <w:i w:val="0"/>
          <w:sz w:val="24"/>
        </w:rPr>
        <w:t>(三) 预防性停电决策的风险-损失权衡量化——误报停电的民生成本与漏报受淹的设备损失如何统一度量。</w:t>
      </w:r>
    </w:p>
    <w:p w14:paraId="73320DF3">
      <w:pPr>
        <w:spacing w:after="40" w:line="480" w:lineRule="exact"/>
        <w:ind w:left="680" w:firstLine="0"/>
      </w:pPr>
      <w:r>
        <w:rPr>
          <w:rFonts w:ascii="Times New Roman" w:hAnsi="Times New Roman" w:eastAsia="仿宋_GB2312"/>
          <w:b w:val="0"/>
          <w:i w:val="0"/>
          <w:sz w:val="24"/>
        </w:rPr>
        <w:t>(四) 超历史极端降雨情景下模型外推结论的可信性评估准则。</w:t>
      </w:r>
    </w:p>
    <w:p w14:paraId="32AC0AF5">
      <w:pPr>
        <w:spacing w:after="200" w:line="480" w:lineRule="exact"/>
        <w:ind w:firstLine="482"/>
      </w:pPr>
      <w:r>
        <w:rPr>
          <w:rFonts w:ascii="Times New Roman" w:hAnsi="Times New Roman" w:eastAsia="楷体_GB2312"/>
          <w:b w:val="0"/>
          <w:i/>
          <w:sz w:val="24"/>
        </w:rPr>
        <w:t>对应指南条款:国网总部指南125"大模型驱动的变电站洪涝风险智能感知与防控技术研究及应用"(1032万,向配网设施场景延伸)。</w:t>
      </w:r>
    </w:p>
    <w:p w14:paraId="1985090A">
      <w:pPr>
        <w:spacing w:before="280" w:after="120"/>
      </w:pPr>
      <w:r>
        <w:rPr>
          <w:rFonts w:ascii="Times New Roman" w:hAnsi="Times New Roman" w:eastAsia="黑体"/>
          <w:b/>
          <w:i w:val="0"/>
          <w:sz w:val="28"/>
        </w:rPr>
        <w:t>Z8 平原农网无人机机巢网格化常态巡检与低成本规模化应用关键技术研究</w:t>
      </w:r>
    </w:p>
    <w:p w14:paraId="55F17B1C">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研究平原农网机巢网格化无人机常态巡检技术,实现固定航线全自主巡检与缺陷闭环处置,单公里巡检综合成本较人工巡检下降60%(2026年人工巡检成本核定基线),缺陷识别准确率≥85%,建成县域规模化示范。</w:t>
      </w:r>
    </w:p>
    <w:p w14:paraId="5BCD432B">
      <w:pPr>
        <w:spacing w:after="80" w:line="480" w:lineRule="exact"/>
        <w:ind w:firstLine="482"/>
      </w:pPr>
      <w:r>
        <w:rPr>
          <w:rFonts w:ascii="Times New Roman" w:hAnsi="Times New Roman" w:eastAsia="黑体"/>
          <w:b/>
          <w:i w:val="0"/>
          <w:sz w:val="24"/>
        </w:rPr>
        <w:t>【基本建设内容】</w:t>
      </w:r>
    </w:p>
    <w:p w14:paraId="4B73FC1D">
      <w:pPr>
        <w:spacing w:after="40" w:line="480" w:lineRule="exact"/>
        <w:ind w:left="680" w:firstLine="0"/>
      </w:pPr>
      <w:r>
        <w:rPr>
          <w:rFonts w:ascii="Times New Roman" w:hAnsi="Times New Roman" w:eastAsia="仿宋_GB2312"/>
          <w:b w:val="0"/>
          <w:i w:val="0"/>
          <w:sz w:val="24"/>
        </w:rPr>
        <w:t>(一) 平原农网机巢网格规划与航线建设,按供电所辖区优化机巢布点密度与航线复用率。</w:t>
      </w:r>
    </w:p>
    <w:p w14:paraId="288D7E66">
      <w:pPr>
        <w:spacing w:after="40" w:line="480" w:lineRule="exact"/>
        <w:ind w:left="680" w:firstLine="0"/>
      </w:pPr>
      <w:r>
        <w:rPr>
          <w:rFonts w:ascii="Times New Roman" w:hAnsi="Times New Roman" w:eastAsia="仿宋_GB2312"/>
          <w:b w:val="0"/>
          <w:i w:val="0"/>
          <w:sz w:val="24"/>
        </w:rPr>
        <w:t>(二) 依照《无人驾驶航空器飞行管理暂行条例》与属地空管部门建立空域使用协调机制,明确适飞空域申请与飞行计划报批路径。</w:t>
      </w:r>
    </w:p>
    <w:p w14:paraId="79DA7D64">
      <w:pPr>
        <w:spacing w:after="40" w:line="480" w:lineRule="exact"/>
        <w:ind w:left="680" w:firstLine="0"/>
      </w:pPr>
      <w:r>
        <w:rPr>
          <w:rFonts w:ascii="Times New Roman" w:hAnsi="Times New Roman" w:eastAsia="仿宋_GB2312"/>
          <w:b w:val="0"/>
          <w:i w:val="0"/>
          <w:sz w:val="24"/>
        </w:rPr>
        <w:t>(三) 配网典型缺陷识别模型建设,借力行业成熟模型开展本地样本微调。</w:t>
      </w:r>
    </w:p>
    <w:p w14:paraId="22F3FAB6">
      <w:pPr>
        <w:spacing w:after="40" w:line="480" w:lineRule="exact"/>
        <w:ind w:left="680" w:firstLine="0"/>
      </w:pPr>
      <w:r>
        <w:rPr>
          <w:rFonts w:ascii="Times New Roman" w:hAnsi="Times New Roman" w:eastAsia="仿宋_GB2312"/>
          <w:b w:val="0"/>
          <w:i w:val="0"/>
          <w:sz w:val="24"/>
        </w:rPr>
        <w:t>(四) 缺陷识别-工单-消缺-复核闭环流程建设,贯通PMS系统,开展县域示范并输出机巢网格建设经济性测算模型。</w:t>
      </w:r>
    </w:p>
    <w:p w14:paraId="7E3212D4">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采用机巢加固定网格航线模式,平原地形航线一次规划长期复用,巡检排程与天气窗口自动匹配;空域采用"固定航线常态化备案+飞行计划动态激活"机制,与属地空管部门协商将重复航线纳入常态化备案,减少逐次临时报批;感知层复用行业成熟缺陷识别模型进行本地微调,不从零训练;识别采用机载边缘预筛与云端精判两级过滤降低误报率;缺陷与工单系统贯通形成处置闭环;以运行数据持续测算单公里成本、机巢利用率与缺陷发现率,形成"布点密度-巡检时效-经济性"优化模型,支撑规模化推广决策。</w:t>
      </w:r>
    </w:p>
    <w:p w14:paraId="4352FD47">
      <w:pPr>
        <w:spacing w:after="80" w:line="480" w:lineRule="exact"/>
        <w:ind w:firstLine="482"/>
      </w:pPr>
      <w:r>
        <w:rPr>
          <w:rFonts w:ascii="Times New Roman" w:hAnsi="Times New Roman" w:eastAsia="黑体"/>
          <w:b/>
          <w:i w:val="0"/>
          <w:sz w:val="24"/>
        </w:rPr>
        <w:t>【关键技术问题】</w:t>
      </w:r>
    </w:p>
    <w:p w14:paraId="22F93C52">
      <w:pPr>
        <w:spacing w:after="40" w:line="480" w:lineRule="exact"/>
        <w:ind w:left="680" w:firstLine="0"/>
      </w:pPr>
      <w:r>
        <w:rPr>
          <w:rFonts w:ascii="Times New Roman" w:hAnsi="Times New Roman" w:eastAsia="仿宋_GB2312"/>
          <w:b w:val="0"/>
          <w:i w:val="0"/>
          <w:sz w:val="24"/>
        </w:rPr>
        <w:t>(一) 农网低压线路密集、树线矛盾突出环境下固定航线的安全裕度设计与低空避障兜底策略。</w:t>
      </w:r>
    </w:p>
    <w:p w14:paraId="2B16E2D8">
      <w:pPr>
        <w:spacing w:after="40" w:line="480" w:lineRule="exact"/>
        <w:ind w:left="680" w:firstLine="0"/>
      </w:pPr>
      <w:r>
        <w:rPr>
          <w:rFonts w:ascii="Times New Roman" w:hAnsi="Times New Roman" w:eastAsia="仿宋_GB2312"/>
          <w:b w:val="0"/>
          <w:i w:val="0"/>
          <w:sz w:val="24"/>
        </w:rPr>
        <w:t>(二) 机巢布点密度与巡检时效、建设成本的多目标优化——经济性拐点的定量刻画。</w:t>
      </w:r>
    </w:p>
    <w:p w14:paraId="3E1DBFB4">
      <w:pPr>
        <w:spacing w:after="40" w:line="480" w:lineRule="exact"/>
        <w:ind w:left="680" w:firstLine="0"/>
      </w:pPr>
      <w:r>
        <w:rPr>
          <w:rFonts w:ascii="Times New Roman" w:hAnsi="Times New Roman" w:eastAsia="仿宋_GB2312"/>
          <w:b w:val="0"/>
          <w:i w:val="0"/>
          <w:sz w:val="24"/>
        </w:rPr>
        <w:t>(三) 销钉缺失、绝缘子裂纹等小目标缺陷在机载算力约束下的识别精度。</w:t>
      </w:r>
    </w:p>
    <w:p w14:paraId="1410BC9D">
      <w:pPr>
        <w:spacing w:after="40" w:line="480" w:lineRule="exact"/>
        <w:ind w:left="680" w:firstLine="0"/>
      </w:pPr>
      <w:r>
        <w:rPr>
          <w:rFonts w:ascii="Times New Roman" w:hAnsi="Times New Roman" w:eastAsia="仿宋_GB2312"/>
          <w:b w:val="0"/>
          <w:i w:val="0"/>
          <w:sz w:val="24"/>
        </w:rPr>
        <w:t>(四) 县域低空空域常态化使用的报批时效与巡检计划刚性的矛盾协调机制。</w:t>
      </w:r>
    </w:p>
    <w:p w14:paraId="397C4919">
      <w:pPr>
        <w:spacing w:after="200" w:line="480" w:lineRule="exact"/>
        <w:ind w:firstLine="482"/>
      </w:pPr>
      <w:r>
        <w:rPr>
          <w:rFonts w:ascii="Times New Roman" w:hAnsi="Times New Roman" w:eastAsia="楷体_GB2312"/>
          <w:b w:val="0"/>
          <w:i/>
          <w:sz w:val="24"/>
        </w:rPr>
        <w:t>对应指南条款:国网总部指南233"复杂场景下输电巡检装备自主作业动态建模与决策技术研究"(1348万,向配网延伸)。</w:t>
      </w:r>
      <w:bookmarkStart w:id="0" w:name="_GoBack"/>
      <w:bookmarkEnd w:id="0"/>
      <w:r>
        <w:rPr>
          <w:rFonts w:ascii="Times New Roman" w:hAnsi="Times New Roman" w:eastAsia="楷体_GB2312"/>
          <w:b w:val="0"/>
          <w:i/>
          <w:sz w:val="24"/>
        </w:rPr>
        <w:t>。</w:t>
      </w:r>
    </w:p>
    <w:p w14:paraId="1A3D569B">
      <w:pPr>
        <w:spacing w:before="280" w:after="120"/>
      </w:pPr>
      <w:r>
        <w:rPr>
          <w:rFonts w:ascii="Times New Roman" w:hAnsi="Times New Roman" w:eastAsia="黑体"/>
          <w:b/>
          <w:i w:val="0"/>
          <w:sz w:val="28"/>
        </w:rPr>
        <w:t>Z9 多模态用电安全智能检查与量费异常智能体溯源技术研究</w:t>
      </w:r>
    </w:p>
    <w:p w14:paraId="2AB1C5EA">
      <w:pPr>
        <w:spacing w:after="80" w:line="480" w:lineRule="exact"/>
        <w:ind w:firstLine="482"/>
      </w:pPr>
      <w:r>
        <w:rPr>
          <w:rFonts w:ascii="Times New Roman" w:hAnsi="Times New Roman" w:eastAsia="黑体"/>
          <w:b/>
          <w:i w:val="0"/>
          <w:sz w:val="24"/>
        </w:rPr>
        <w:t>【项目目标】</w:t>
      </w:r>
      <w:r>
        <w:rPr>
          <w:rFonts w:ascii="Times New Roman" w:hAnsi="Times New Roman" w:eastAsia="仿宋_GB2312"/>
          <w:b w:val="0"/>
          <w:i w:val="0"/>
          <w:sz w:val="24"/>
        </w:rPr>
        <w:t>研究农村多模态用电安全智能检查与量费异常多智能体溯源技术,现场检查工作量较2026年人工全量排查模式下降40%、异常检出率提升30%;AI输出仅作为人工复核预警清单,违约用电与窃电认定由人工按法定程序执行。</w:t>
      </w:r>
    </w:p>
    <w:p w14:paraId="4A1469B1">
      <w:pPr>
        <w:spacing w:after="80" w:line="480" w:lineRule="exact"/>
        <w:ind w:firstLine="482"/>
      </w:pPr>
      <w:r>
        <w:rPr>
          <w:rFonts w:ascii="Times New Roman" w:hAnsi="Times New Roman" w:eastAsia="黑体"/>
          <w:b/>
          <w:i w:val="0"/>
          <w:sz w:val="24"/>
        </w:rPr>
        <w:t>【基本建设内容】</w:t>
      </w:r>
    </w:p>
    <w:p w14:paraId="2E795E8D">
      <w:pPr>
        <w:spacing w:after="40" w:line="480" w:lineRule="exact"/>
        <w:ind w:left="680" w:firstLine="0"/>
      </w:pPr>
      <w:r>
        <w:rPr>
          <w:rFonts w:ascii="Times New Roman" w:hAnsi="Times New Roman" w:eastAsia="仿宋_GB2312"/>
          <w:b w:val="0"/>
          <w:i w:val="0"/>
          <w:sz w:val="24"/>
        </w:rPr>
        <w:t>(一) 用电安全与量费异常多源数据融合,整合用电信息采集、计量在线监测与现场检查影像。</w:t>
      </w:r>
    </w:p>
    <w:p w14:paraId="7C844851">
      <w:pPr>
        <w:spacing w:after="40" w:line="480" w:lineRule="exact"/>
        <w:ind w:left="680" w:firstLine="0"/>
      </w:pPr>
      <w:r>
        <w:rPr>
          <w:rFonts w:ascii="Times New Roman" w:hAnsi="Times New Roman" w:eastAsia="仿宋_GB2312"/>
          <w:b w:val="0"/>
          <w:i w:val="0"/>
          <w:sz w:val="24"/>
        </w:rPr>
        <w:t>(二) 用电安全隐患小样本智能诊断技术研究,覆盖私拉乱接、超容用电、异常用电等典型特征。</w:t>
      </w:r>
    </w:p>
    <w:p w14:paraId="2DC7C42F">
      <w:pPr>
        <w:spacing w:after="40" w:line="480" w:lineRule="exact"/>
        <w:ind w:left="680" w:firstLine="0"/>
      </w:pPr>
      <w:r>
        <w:rPr>
          <w:rFonts w:ascii="Times New Roman" w:hAnsi="Times New Roman" w:eastAsia="仿宋_GB2312"/>
          <w:b w:val="0"/>
          <w:i w:val="0"/>
          <w:sz w:val="24"/>
        </w:rPr>
        <w:t>(三) 量费异常多智能体溯源技术研究,由计量、档案、采集、用电行为多个智能体协同定位异常环节。</w:t>
      </w:r>
    </w:p>
    <w:p w14:paraId="18D151F1">
      <w:pPr>
        <w:spacing w:after="40" w:line="480" w:lineRule="exact"/>
        <w:ind w:left="680" w:firstLine="0"/>
      </w:pPr>
      <w:r>
        <w:rPr>
          <w:rFonts w:ascii="Times New Roman" w:hAnsi="Times New Roman" w:eastAsia="仿宋_GB2312"/>
          <w:b w:val="0"/>
          <w:i w:val="0"/>
          <w:sz w:val="24"/>
        </w:rPr>
        <w:t>(四) 便携式智能检查终端配置与台区经理智能助手应用建设,明确AI预警-人工复核-法定程序认定的三级边界,在周口试点后推广。</w:t>
      </w:r>
    </w:p>
    <w:p w14:paraId="31D93D88">
      <w:pPr>
        <w:spacing w:after="80" w:line="480" w:lineRule="exact"/>
        <w:ind w:firstLine="482"/>
      </w:pPr>
      <w:r>
        <w:rPr>
          <w:rFonts w:ascii="Times New Roman" w:hAnsi="Times New Roman" w:eastAsia="黑体"/>
          <w:b/>
          <w:i w:val="0"/>
          <w:sz w:val="24"/>
        </w:rPr>
        <w:t>【技术路线】</w:t>
      </w:r>
      <w:r>
        <w:rPr>
          <w:rFonts w:ascii="Times New Roman" w:hAnsi="Times New Roman" w:eastAsia="仿宋_GB2312"/>
          <w:b w:val="0"/>
          <w:i w:val="0"/>
          <w:sz w:val="24"/>
        </w:rPr>
        <w:t>数据侧以用采日冻结与曲线数据为主体,不新增采集投资;隐患诊断采用小样本学习与数模协同方法,以用电物理模型校验数据合理性;异常溯源采用多智能体框架,各环节智能体基于自身知识库独立研判后仲裁融合,输出异常环节定位与置信度;台区经理端以轻量应用呈现每日核查清单与处置建议;现场检查结果回流形成正负样本,持续迭代模型。</w:t>
      </w:r>
    </w:p>
    <w:p w14:paraId="35D96FCD">
      <w:pPr>
        <w:spacing w:after="80" w:line="480" w:lineRule="exact"/>
        <w:ind w:firstLine="482"/>
      </w:pPr>
      <w:r>
        <w:rPr>
          <w:rFonts w:ascii="Times New Roman" w:hAnsi="Times New Roman" w:eastAsia="黑体"/>
          <w:b/>
          <w:i w:val="0"/>
          <w:sz w:val="24"/>
        </w:rPr>
        <w:t>【关键技术问题】</w:t>
      </w:r>
    </w:p>
    <w:p w14:paraId="1D39C235">
      <w:pPr>
        <w:spacing w:after="40" w:line="480" w:lineRule="exact"/>
        <w:ind w:left="680" w:firstLine="0"/>
      </w:pPr>
      <w:r>
        <w:rPr>
          <w:rFonts w:ascii="Times New Roman" w:hAnsi="Times New Roman" w:eastAsia="仿宋_GB2312"/>
          <w:b w:val="0"/>
          <w:i w:val="0"/>
          <w:sz w:val="24"/>
        </w:rPr>
        <w:t>(一) 窃电等对抗性行为特征持续漂移下模型的长期有效性。</w:t>
      </w:r>
    </w:p>
    <w:p w14:paraId="6B56644E">
      <w:pPr>
        <w:spacing w:after="40" w:line="480" w:lineRule="exact"/>
        <w:ind w:left="680" w:firstLine="0"/>
      </w:pPr>
      <w:r>
        <w:rPr>
          <w:rFonts w:ascii="Times New Roman" w:hAnsi="Times New Roman" w:eastAsia="仿宋_GB2312"/>
          <w:b w:val="0"/>
          <w:i w:val="0"/>
          <w:sz w:val="24"/>
        </w:rPr>
        <w:t>(二) 多智能体研判结论冲突时的仲裁机制设计——各智能体置信度的可比性校准。</w:t>
      </w:r>
    </w:p>
    <w:p w14:paraId="16CDB7FC">
      <w:pPr>
        <w:spacing w:after="40" w:line="480" w:lineRule="exact"/>
        <w:ind w:left="680" w:firstLine="0"/>
      </w:pPr>
      <w:r>
        <w:rPr>
          <w:rFonts w:ascii="Times New Roman" w:hAnsi="Times New Roman" w:eastAsia="仿宋_GB2312"/>
          <w:b w:val="0"/>
          <w:i w:val="0"/>
          <w:sz w:val="24"/>
        </w:rPr>
        <w:t>(三) 小样本隐患类型的泛化识别能力。</w:t>
      </w:r>
    </w:p>
    <w:p w14:paraId="5CD64AA6">
      <w:pPr>
        <w:spacing w:after="40" w:line="480" w:lineRule="exact"/>
        <w:ind w:left="680" w:firstLine="0"/>
      </w:pPr>
      <w:r>
        <w:rPr>
          <w:rFonts w:ascii="Times New Roman" w:hAnsi="Times New Roman" w:eastAsia="仿宋_GB2312"/>
          <w:b w:val="0"/>
          <w:i w:val="0"/>
          <w:sz w:val="24"/>
        </w:rPr>
        <w:t>(四) 误判对农户影响的控制——预警阈值设定、人工复核流程与法律证据标准的衔接,确保AI结论不单独作为执法依据。</w:t>
      </w:r>
    </w:p>
    <w:p w14:paraId="3D9E8CB2">
      <w:pPr>
        <w:spacing w:after="200" w:line="480" w:lineRule="exact"/>
        <w:ind w:firstLine="482"/>
      </w:pPr>
      <w:r>
        <w:rPr>
          <w:rFonts w:ascii="Times New Roman" w:hAnsi="Times New Roman" w:eastAsia="楷体_GB2312"/>
          <w:b w:val="0"/>
          <w:i/>
          <w:sz w:val="24"/>
        </w:rPr>
        <w:t>对应指南条款:国网总部指南091"大小模型协同的多模态用电安全智能检查关键技术研究及应用"(1195万)、102"适应多主体多市场环境的电费智能结算与辅助决策关键技术研究及应用"(916万)。</w:t>
      </w:r>
    </w:p>
    <w:sectPr>
      <w:pgSz w:w="12240" w:h="15840"/>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altName w:val="方正舒体"/>
    <w:panose1 w:val="00000000000000000000"/>
    <w:charset w:val="00"/>
    <w:family w:val="auto"/>
    <w:pitch w:val="default"/>
    <w:sig w:usb0="00000000" w:usb1="00000000" w:usb2="00000000" w:usb3="00000000" w:csb0="00000000" w:csb1="00000000"/>
  </w:font>
  <w:font w:name="楷体_GB2312">
    <w:altName w:val="楷体"/>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8F6F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6995</Words>
  <Characters>7275</Characters>
  <Lines>0</Lines>
  <Paragraphs>0</Paragraphs>
  <TotalTime>44</TotalTime>
  <ScaleCrop>false</ScaleCrop>
  <LinksUpToDate>false</LinksUpToDate>
  <CharactersWithSpaces>7356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林凡</cp:lastModifiedBy>
  <dcterms:modified xsi:type="dcterms:W3CDTF">2026-08-20T15:27:54Z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eyJoZGlkIjoiMjQ4ZDNjYTQyN2ZiM2IzZDgwODM1NDc3OWY1OGRmZGMiLCJ1c2VySWQiOiIzMzUyMDA0NjkifQ==</vt:lpwstr>
  </property>
  <property fmtid="{D5CDD505-2E9C-101B-9397-08002B2CF9AE}" pid="3" name="KSOProductBuildVer">
    <vt:lpwstr>2052-12.1.0.28043</vt:lpwstr>
  </property>
  <property fmtid="{D5CDD505-2E9C-101B-9397-08002B2CF9AE}" pid="4" name="ICV">
    <vt:lpwstr>E6F78273E78642239D16E52B7DA2FE8A_12</vt:lpwstr>
  </property>
</Properties>
</file>