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580" w:lineRule="exact"/>
        <w:jc w:val="center"/>
        <w:rPr>
          <w:rFonts w:hint="default" w:ascii="方正小标宋_GBK" w:hAnsi="方正小标宋_GBK" w:eastAsia="方正小标宋_GBK" w:cs="方正小标宋_GBK"/>
          <w:b/>
          <w:kern w:val="0"/>
          <w:sz w:val="48"/>
          <w:szCs w:val="32"/>
          <w:highlight w:val="none"/>
        </w:rPr>
      </w:pPr>
      <w:r>
        <w:rPr>
          <w:rFonts w:hint="default" w:ascii="方正小标宋_GBK" w:hAnsi="方正小标宋_GBK" w:eastAsia="方正小标宋_GBK" w:cs="方正小标宋_GBK"/>
          <w:b/>
          <w:kern w:val="0"/>
          <w:sz w:val="48"/>
          <w:szCs w:val="32"/>
          <w:highlight w:val="none"/>
        </w:rPr>
        <w:t>国家电网有限公司总部管理科技项目</w:t>
      </w:r>
    </w:p>
    <w:p>
      <w:pPr>
        <w:widowControl/>
        <w:spacing w:line="580" w:lineRule="exact"/>
        <w:jc w:val="center"/>
        <w:rPr>
          <w:rFonts w:hint="default" w:ascii="方正小标宋_GBK" w:hAnsi="方正小标宋_GBK" w:eastAsia="方正小标宋_GBK" w:cs="方正小标宋_GBK"/>
          <w:b/>
          <w:kern w:val="0"/>
          <w:sz w:val="48"/>
          <w:szCs w:val="32"/>
          <w:highlight w:val="none"/>
        </w:rPr>
      </w:pPr>
      <w:r>
        <w:rPr>
          <w:rFonts w:hint="default" w:ascii="方正小标宋_GBK" w:hAnsi="方正小标宋_GBK" w:eastAsia="方正小标宋_GBK" w:cs="方正小标宋_GBK"/>
          <w:b/>
          <w:kern w:val="0"/>
          <w:sz w:val="48"/>
          <w:szCs w:val="32"/>
          <w:highlight w:val="none"/>
        </w:rPr>
        <w:t>验收工作指南</w:t>
      </w:r>
    </w:p>
    <w:p>
      <w:pPr>
        <w:widowControl/>
        <w:jc w:val="center"/>
        <w:rPr>
          <w:rFonts w:hint="default" w:ascii="Times New Roman" w:hAnsi="Times New Roman" w:eastAsia="楷体_GB2312" w:cs="Times New Roman"/>
          <w:color w:val="auto"/>
          <w:kern w:val="0"/>
          <w:sz w:val="32"/>
          <w:highlight w:val="none"/>
        </w:rPr>
      </w:pPr>
      <w:r>
        <w:rPr>
          <w:rFonts w:hint="default" w:ascii="Times New Roman" w:hAnsi="Times New Roman" w:eastAsia="楷体_GB2312" w:cs="Times New Roman"/>
          <w:color w:val="auto"/>
          <w:kern w:val="0"/>
          <w:sz w:val="32"/>
          <w:highlight w:val="none"/>
          <w:shd w:val="clear" w:color="auto" w:fill="auto"/>
        </w:rPr>
        <w:t>（202</w:t>
      </w:r>
      <w:r>
        <w:rPr>
          <w:rFonts w:hint="eastAsia" w:eastAsia="楷体_GB2312" w:cs="Times New Roman"/>
          <w:color w:val="auto"/>
          <w:kern w:val="0"/>
          <w:sz w:val="32"/>
          <w:highlight w:val="none"/>
          <w:shd w:val="clear" w:color="auto" w:fill="auto"/>
          <w:lang w:val="en-US" w:eastAsia="zh-CN"/>
        </w:rPr>
        <w:t>5</w:t>
      </w:r>
      <w:r>
        <w:rPr>
          <w:rFonts w:hint="default" w:ascii="Times New Roman" w:hAnsi="Times New Roman" w:eastAsia="楷体_GB2312" w:cs="Times New Roman"/>
          <w:color w:val="auto"/>
          <w:kern w:val="0"/>
          <w:sz w:val="32"/>
          <w:highlight w:val="none"/>
          <w:shd w:val="clear" w:color="auto" w:fill="auto"/>
        </w:rPr>
        <w:t>版</w:t>
      </w:r>
      <w:r>
        <w:rPr>
          <w:rFonts w:hint="eastAsia" w:eastAsia="楷体_GB2312" w:cs="Times New Roman"/>
          <w:color w:val="auto"/>
          <w:kern w:val="0"/>
          <w:sz w:val="32"/>
          <w:highlight w:val="none"/>
          <w:shd w:val="clear" w:color="auto" w:fill="auto"/>
          <w:lang w:val="en-US" w:eastAsia="zh-CN"/>
        </w:rPr>
        <w:t xml:space="preserve"> 财务资料部分</w:t>
      </w:r>
      <w:r>
        <w:rPr>
          <w:rFonts w:hint="default" w:ascii="Times New Roman" w:hAnsi="Times New Roman" w:eastAsia="楷体_GB2312" w:cs="Times New Roman"/>
          <w:color w:val="auto"/>
          <w:kern w:val="0"/>
          <w:sz w:val="32"/>
          <w:highlight w:val="none"/>
          <w:shd w:val="clear" w:color="auto" w:fill="auto"/>
        </w:rPr>
        <w:t>）</w:t>
      </w:r>
    </w:p>
    <w:p/>
    <w:p>
      <w:pPr>
        <w:pStyle w:val="4"/>
        <w:numPr>
          <w:ilvl w:val="0"/>
          <w:numId w:val="0"/>
        </w:numPr>
        <w:spacing w:before="0" w:after="0" w:line="580" w:lineRule="exact"/>
        <w:ind w:leftChars="200"/>
        <w:rPr>
          <w:rFonts w:hint="default" w:ascii="Times New Roman" w:hAnsi="Times New Roman" w:eastAsia="楷体_GB2312" w:cs="Times New Roman"/>
          <w:color w:val="auto"/>
          <w:highlight w:val="none"/>
        </w:rPr>
      </w:pPr>
      <w:bookmarkStart w:id="0" w:name="_Toc26744"/>
      <w:bookmarkStart w:id="1" w:name="_Toc22746"/>
      <w:bookmarkStart w:id="2" w:name="_Toc24568"/>
      <w:bookmarkStart w:id="3" w:name="_Toc22302"/>
      <w:bookmarkStart w:id="4" w:name="_Toc1637540"/>
      <w:bookmarkStart w:id="5" w:name="_Toc7368"/>
      <w:bookmarkStart w:id="6" w:name="_Toc30390"/>
      <w:bookmarkStart w:id="7" w:name="_Toc8443"/>
      <w:bookmarkStart w:id="8" w:name="_Toc23994"/>
      <w:bookmarkStart w:id="9" w:name="_Toc9574"/>
      <w:bookmarkStart w:id="10" w:name="_Toc21781"/>
      <w:bookmarkStart w:id="11" w:name="_Toc20328"/>
      <w:bookmarkStart w:id="12" w:name="_Toc1168"/>
      <w:r>
        <w:rPr>
          <w:rFonts w:hint="default" w:ascii="Times New Roman" w:hAnsi="Times New Roman" w:eastAsia="楷体_GB2312" w:cs="Times New Roman"/>
          <w:color w:val="auto"/>
          <w:highlight w:val="none"/>
        </w:rPr>
        <w:t>（二）财务资料</w:t>
      </w:r>
      <w:bookmarkEnd w:id="0"/>
      <w:bookmarkEnd w:id="1"/>
      <w:bookmarkEnd w:id="2"/>
      <w:bookmarkEnd w:id="3"/>
      <w:bookmarkEnd w:id="4"/>
      <w:bookmarkEnd w:id="5"/>
      <w:bookmarkEnd w:id="6"/>
      <w:bookmarkEnd w:id="7"/>
      <w:bookmarkEnd w:id="8"/>
      <w:bookmarkEnd w:id="9"/>
      <w:bookmarkEnd w:id="10"/>
      <w:bookmarkEnd w:id="11"/>
      <w:bookmarkEnd w:id="12"/>
    </w:p>
    <w:p>
      <w:pPr>
        <w:widowControl/>
        <w:spacing w:line="580" w:lineRule="exact"/>
        <w:ind w:firstLine="643" w:firstLineChars="200"/>
        <w:rPr>
          <w:rFonts w:hint="default" w:ascii="Times New Roman" w:hAnsi="Times New Roman" w:eastAsia="仿宋_GB2312" w:cs="Times New Roman"/>
          <w:color w:val="auto"/>
          <w:kern w:val="0"/>
          <w:sz w:val="32"/>
          <w:highlight w:val="none"/>
        </w:rPr>
      </w:pPr>
      <w:r>
        <w:rPr>
          <w:rFonts w:hint="default" w:ascii="Times New Roman" w:hAnsi="Times New Roman" w:eastAsia="仿宋_GB2312" w:cs="Times New Roman"/>
          <w:b/>
          <w:color w:val="auto"/>
          <w:sz w:val="32"/>
          <w:highlight w:val="none"/>
        </w:rPr>
        <w:t>1.财务决算报告</w:t>
      </w:r>
      <w:r>
        <w:rPr>
          <w:rFonts w:hint="default" w:ascii="Times New Roman" w:hAnsi="Times New Roman" w:eastAsia="仿宋_GB2312" w:cs="Times New Roman"/>
          <w:color w:val="auto"/>
          <w:sz w:val="32"/>
          <w:highlight w:val="none"/>
        </w:rPr>
        <w:t>。各参与单位应严格按照总部管理科技项目通用制度中的</w:t>
      </w:r>
      <w:r>
        <w:rPr>
          <w:rFonts w:hint="default" w:ascii="Times New Roman" w:hAnsi="Times New Roman" w:eastAsia="仿宋_GB2312" w:cs="Times New Roman"/>
          <w:b/>
          <w:color w:val="auto"/>
          <w:sz w:val="32"/>
          <w:highlight w:val="none"/>
        </w:rPr>
        <w:t>模板格式独立出具</w:t>
      </w:r>
      <w:r>
        <w:rPr>
          <w:rFonts w:hint="default" w:ascii="Times New Roman" w:hAnsi="Times New Roman" w:eastAsia="仿宋_GB2312" w:cs="Times New Roman"/>
          <w:color w:val="auto"/>
          <w:sz w:val="32"/>
          <w:highlight w:val="none"/>
        </w:rPr>
        <w:t>决算报告，含文字说明页和决算表，决算表需要加盖财务主管部门或单位公章。</w:t>
      </w:r>
    </w:p>
    <w:p>
      <w:pPr>
        <w:widowControl/>
        <w:spacing w:line="580" w:lineRule="exact"/>
        <w:ind w:firstLine="643" w:firstLineChars="200"/>
        <w:rPr>
          <w:rFonts w:hint="default" w:ascii="Times New Roman" w:hAnsi="Times New Roman" w:eastAsia="仿宋_GB2312" w:cs="Times New Roman"/>
          <w:color w:val="auto"/>
          <w:spacing w:val="-4"/>
          <w:sz w:val="32"/>
          <w:highlight w:val="none"/>
        </w:rPr>
      </w:pPr>
      <w:r>
        <w:rPr>
          <w:rFonts w:hint="default" w:ascii="Times New Roman" w:hAnsi="Times New Roman" w:eastAsia="仿宋_GB2312" w:cs="Times New Roman"/>
          <w:b/>
          <w:color w:val="auto"/>
          <w:sz w:val="32"/>
          <w:highlight w:val="none"/>
        </w:rPr>
        <w:t>注：</w:t>
      </w:r>
      <w:r>
        <w:rPr>
          <w:rFonts w:hint="default" w:ascii="Times New Roman" w:hAnsi="Times New Roman" w:eastAsia="仿宋_GB2312" w:cs="Times New Roman"/>
          <w:color w:val="auto"/>
          <w:sz w:val="32"/>
          <w:highlight w:val="none"/>
        </w:rPr>
        <w:t>经费决算合规性依据以下原则审查</w:t>
      </w:r>
      <w:r>
        <w:rPr>
          <w:rFonts w:hint="default" w:ascii="Times New Roman" w:hAnsi="Times New Roman" w:eastAsia="仿宋_GB2312" w:cs="Times New Roman"/>
          <w:color w:val="auto"/>
          <w:spacing w:val="-4"/>
          <w:sz w:val="32"/>
          <w:highlight w:val="none"/>
        </w:rPr>
        <w:t>：</w:t>
      </w:r>
    </w:p>
    <w:p>
      <w:pPr>
        <w:tabs>
          <w:tab w:val="left" w:pos="720"/>
        </w:tabs>
        <w:spacing w:line="560" w:lineRule="exact"/>
        <w:ind w:left="240" w:firstLine="624" w:firstLineChars="200"/>
        <w:rPr>
          <w:rFonts w:hint="default" w:ascii="Times New Roman" w:hAnsi="Times New Roman" w:eastAsia="仿宋_GB2312" w:cs="Times New Roman"/>
          <w:color w:val="auto"/>
          <w:spacing w:val="-4"/>
          <w:sz w:val="32"/>
          <w:szCs w:val="32"/>
          <w:highlight w:val="none"/>
        </w:rPr>
      </w:pPr>
      <w:r>
        <w:rPr>
          <w:rFonts w:hint="default" w:ascii="Times New Roman" w:hAnsi="Times New Roman" w:eastAsia="仿宋_GB2312" w:cs="Times New Roman"/>
          <w:color w:val="auto"/>
          <w:spacing w:val="-4"/>
          <w:sz w:val="32"/>
          <w:szCs w:val="32"/>
          <w:highlight w:val="none"/>
        </w:rPr>
        <w:t>（1）项目预算总额和各参与单位项目预算总额，原则上不予调整。</w:t>
      </w:r>
    </w:p>
    <w:p>
      <w:pPr>
        <w:tabs>
          <w:tab w:val="left" w:pos="720"/>
        </w:tabs>
        <w:spacing w:line="560" w:lineRule="exact"/>
        <w:ind w:left="240" w:firstLine="624" w:firstLineChars="200"/>
        <w:rPr>
          <w:rFonts w:hint="default" w:ascii="Times New Roman" w:hAnsi="Times New Roman" w:eastAsia="仿宋_GB2312" w:cs="Times New Roman"/>
          <w:color w:val="auto"/>
          <w:spacing w:val="-4"/>
          <w:sz w:val="32"/>
          <w:szCs w:val="32"/>
          <w:highlight w:val="none"/>
        </w:rPr>
      </w:pPr>
      <w:r>
        <w:rPr>
          <w:rFonts w:hint="default" w:ascii="Times New Roman" w:hAnsi="Times New Roman" w:eastAsia="仿宋_GB2312" w:cs="Times New Roman"/>
          <w:color w:val="auto"/>
          <w:spacing w:val="-4"/>
          <w:sz w:val="32"/>
          <w:szCs w:val="32"/>
          <w:highlight w:val="none"/>
        </w:rPr>
        <w:t>（2）在符合公司科技项目预算相关规定的基础上，人工费、设备使用费、业务费、场地使用费、专家咨询费、间接费和外委支出费在原预算额度基础上允许做一定调剂，调剂幅度上限不超过原预算的20%，确需调剂的单位应与牵头、出资单位商议后，履行内部审批程序，及时报牵头单位备案；人工费、设备使用费和外委支出费下设的具体科目费用调剂幅度上限不超过原预算的20%，且内部细项之间不可调剂；业务费和场地使用费下设的具体科目费用，在符合预算规定和总额调剂幅度要求的基础上内部细项之间可以互相调剂，确需调剂的单位应与牵头、出资单位商议后自行调剂使用。</w:t>
      </w:r>
    </w:p>
    <w:p>
      <w:pPr>
        <w:tabs>
          <w:tab w:val="left" w:pos="720"/>
        </w:tabs>
        <w:spacing w:line="560" w:lineRule="exact"/>
        <w:ind w:left="240" w:firstLine="624" w:firstLineChars="200"/>
        <w:rPr>
          <w:rFonts w:hint="default" w:ascii="Times New Roman" w:hAnsi="Times New Roman" w:eastAsia="仿宋_GB2312" w:cs="Times New Roman"/>
          <w:color w:val="auto"/>
          <w:spacing w:val="-4"/>
          <w:sz w:val="32"/>
          <w:szCs w:val="32"/>
          <w:highlight w:val="none"/>
        </w:rPr>
      </w:pPr>
      <w:r>
        <w:rPr>
          <w:rFonts w:hint="default" w:ascii="Times New Roman" w:hAnsi="Times New Roman" w:eastAsia="仿宋_GB2312" w:cs="Times New Roman"/>
          <w:color w:val="auto"/>
          <w:spacing w:val="-4"/>
          <w:sz w:val="32"/>
          <w:szCs w:val="32"/>
          <w:highlight w:val="none"/>
        </w:rPr>
        <w:t>（3）在符合公司科技项目预算相关规定的基础上，允许预算科目及其子项间小额经费互相调剂使用，调剂金额总计控制在50万元及以下。与条款（2）调剂原则不一致时，优先适用调剂幅度较大者。</w:t>
      </w:r>
    </w:p>
    <w:p>
      <w:pPr>
        <w:tabs>
          <w:tab w:val="left" w:pos="720"/>
        </w:tabs>
        <w:spacing w:line="560" w:lineRule="exact"/>
        <w:ind w:left="240" w:firstLine="624" w:firstLineChars="200"/>
        <w:rPr>
          <w:rFonts w:hint="default" w:ascii="Times New Roman" w:hAnsi="Times New Roman" w:eastAsia="仿宋_GB2312" w:cs="Times New Roman"/>
          <w:color w:val="auto"/>
          <w:spacing w:val="-4"/>
          <w:sz w:val="32"/>
          <w:szCs w:val="32"/>
          <w:highlight w:val="none"/>
        </w:rPr>
      </w:pPr>
      <w:r>
        <w:rPr>
          <w:rFonts w:hint="default" w:ascii="Times New Roman" w:hAnsi="Times New Roman" w:eastAsia="仿宋_GB2312" w:cs="Times New Roman"/>
          <w:color w:val="auto"/>
          <w:spacing w:val="-4"/>
          <w:sz w:val="32"/>
          <w:szCs w:val="32"/>
          <w:highlight w:val="none"/>
        </w:rPr>
        <w:t>（4）</w:t>
      </w:r>
      <w:r>
        <w:rPr>
          <w:rFonts w:hint="eastAsia" w:ascii="Times New Roman" w:hAnsi="Times New Roman" w:eastAsia="仿宋_GB2312" w:cs="Times New Roman"/>
          <w:color w:val="auto"/>
          <w:spacing w:val="-4"/>
          <w:sz w:val="32"/>
          <w:szCs w:val="32"/>
          <w:highlight w:val="none"/>
          <w:lang w:val="en-US" w:eastAsia="zh-CN"/>
        </w:rPr>
        <w:t>院士专项、基础研究任务、预算成本制等专项，在</w:t>
      </w:r>
      <w:r>
        <w:rPr>
          <w:rFonts w:hint="eastAsia" w:ascii="Times New Roman" w:hAnsi="Times New Roman" w:eastAsia="仿宋_GB2312" w:cs="Times New Roman"/>
          <w:color w:val="auto"/>
          <w:spacing w:val="-4"/>
          <w:sz w:val="32"/>
          <w:szCs w:val="32"/>
          <w:highlight w:val="none"/>
        </w:rPr>
        <w:t>项目预算总额和各参与单位项目预算总额</w:t>
      </w:r>
      <w:r>
        <w:rPr>
          <w:rFonts w:hint="eastAsia" w:ascii="Times New Roman" w:hAnsi="Times New Roman" w:eastAsia="仿宋_GB2312" w:cs="Times New Roman"/>
          <w:color w:val="auto"/>
          <w:spacing w:val="-4"/>
          <w:sz w:val="32"/>
          <w:szCs w:val="32"/>
          <w:highlight w:val="none"/>
          <w:lang w:eastAsia="zh-CN"/>
        </w:rPr>
        <w:t>不变且</w:t>
      </w:r>
      <w:r>
        <w:rPr>
          <w:rFonts w:hint="eastAsia" w:ascii="Times New Roman" w:hAnsi="Times New Roman" w:eastAsia="仿宋_GB2312" w:cs="Times New Roman"/>
          <w:color w:val="auto"/>
          <w:spacing w:val="-4"/>
          <w:sz w:val="32"/>
          <w:szCs w:val="32"/>
          <w:highlight w:val="none"/>
        </w:rPr>
        <w:t>符合公司科技项目预算相关规定的基础上，</w:t>
      </w:r>
      <w:r>
        <w:rPr>
          <w:rFonts w:hint="eastAsia" w:ascii="Times New Roman" w:hAnsi="Times New Roman" w:eastAsia="仿宋_GB2312" w:cs="Times New Roman"/>
          <w:color w:val="auto"/>
          <w:spacing w:val="-4"/>
          <w:sz w:val="32"/>
          <w:szCs w:val="32"/>
          <w:highlight w:val="none"/>
          <w:lang w:val="en-US" w:eastAsia="zh-CN"/>
        </w:rPr>
        <w:t>经项目牵头单位、出资单位同意后，部分预算科目及其子项间经费在规定范围内可互相调剂使用。项目牵头（参与）单位应加强预算调剂必要性与合规性审查，确保预算调剂合理规范，超出本条第二款或第三款调剂原则时，应及时报总部备案。</w:t>
      </w:r>
    </w:p>
    <w:p>
      <w:pPr>
        <w:tabs>
          <w:tab w:val="left" w:pos="720"/>
        </w:tabs>
        <w:spacing w:line="560" w:lineRule="exact"/>
        <w:ind w:left="240" w:firstLine="624" w:firstLineChars="200"/>
        <w:rPr>
          <w:rFonts w:hint="default" w:ascii="Times New Roman" w:hAnsi="Times New Roman" w:eastAsia="仿宋_GB2312" w:cs="Times New Roman"/>
          <w:color w:val="auto"/>
          <w:spacing w:val="-4"/>
          <w:sz w:val="32"/>
          <w:szCs w:val="32"/>
          <w:highlight w:val="none"/>
        </w:rPr>
      </w:pPr>
      <w:r>
        <w:rPr>
          <w:rFonts w:hint="eastAsia" w:ascii="Times New Roman" w:hAnsi="Times New Roman" w:eastAsia="仿宋_GB2312" w:cs="Times New Roman"/>
          <w:color w:val="auto"/>
          <w:spacing w:val="-4"/>
          <w:sz w:val="32"/>
          <w:szCs w:val="32"/>
          <w:highlight w:val="none"/>
          <w:lang w:eastAsia="zh-CN"/>
        </w:rPr>
        <w:t>（</w:t>
      </w:r>
      <w:r>
        <w:rPr>
          <w:rFonts w:hint="eastAsia" w:ascii="Times New Roman" w:hAnsi="Times New Roman" w:eastAsia="仿宋_GB2312" w:cs="Times New Roman"/>
          <w:color w:val="auto"/>
          <w:spacing w:val="-4"/>
          <w:sz w:val="32"/>
          <w:szCs w:val="32"/>
          <w:highlight w:val="none"/>
          <w:lang w:val="en-US" w:eastAsia="zh-CN"/>
        </w:rPr>
        <w:t>5）</w:t>
      </w:r>
      <w:r>
        <w:rPr>
          <w:rFonts w:hint="default" w:ascii="Times New Roman" w:hAnsi="Times New Roman" w:eastAsia="仿宋_GB2312" w:cs="Times New Roman"/>
          <w:color w:val="auto"/>
          <w:spacing w:val="-4"/>
          <w:sz w:val="32"/>
          <w:szCs w:val="32"/>
          <w:highlight w:val="none"/>
        </w:rPr>
        <w:t>项目牵头（参与）单位应加强预算调剂的必要性、合规性审查，确保预算调剂合理规范。对预算调整幅度超出以上原则的，应由牵头单位科技主管部门向总部科技管理部门提出变更申请，经总部批准后执行。</w:t>
      </w:r>
    </w:p>
    <w:p>
      <w:pPr>
        <w:tabs>
          <w:tab w:val="left" w:pos="720"/>
        </w:tabs>
        <w:spacing w:line="560" w:lineRule="exact"/>
        <w:ind w:left="240" w:firstLine="624" w:firstLineChars="200"/>
        <w:rPr>
          <w:rFonts w:hint="default" w:ascii="Times New Roman" w:hAnsi="Times New Roman" w:eastAsia="仿宋_GB2312" w:cs="Times New Roman"/>
          <w:color w:val="auto"/>
          <w:spacing w:val="-4"/>
          <w:sz w:val="32"/>
          <w:highlight w:val="none"/>
        </w:rPr>
      </w:pPr>
      <w:r>
        <w:rPr>
          <w:rFonts w:hint="default" w:ascii="Times New Roman" w:hAnsi="Times New Roman" w:eastAsia="仿宋_GB2312" w:cs="Times New Roman"/>
          <w:color w:val="auto"/>
          <w:spacing w:val="-4"/>
          <w:sz w:val="32"/>
          <w:szCs w:val="32"/>
          <w:highlight w:val="none"/>
        </w:rPr>
        <w:t>（</w:t>
      </w:r>
      <w:r>
        <w:rPr>
          <w:rFonts w:hint="eastAsia" w:ascii="Times New Roman" w:hAnsi="Times New Roman" w:eastAsia="仿宋_GB2312" w:cs="Times New Roman"/>
          <w:color w:val="auto"/>
          <w:spacing w:val="-4"/>
          <w:sz w:val="32"/>
          <w:szCs w:val="32"/>
          <w:highlight w:val="none"/>
          <w:lang w:val="en-US" w:eastAsia="zh-CN"/>
        </w:rPr>
        <w:t>6</w:t>
      </w:r>
      <w:r>
        <w:rPr>
          <w:rFonts w:hint="default" w:ascii="Times New Roman" w:hAnsi="Times New Roman" w:eastAsia="仿宋_GB2312" w:cs="Times New Roman"/>
          <w:color w:val="auto"/>
          <w:spacing w:val="-4"/>
          <w:sz w:val="32"/>
          <w:szCs w:val="32"/>
          <w:highlight w:val="none"/>
        </w:rPr>
        <w:t>）</w:t>
      </w:r>
      <w:r>
        <w:rPr>
          <w:rFonts w:hint="default" w:ascii="Times New Roman" w:hAnsi="Times New Roman" w:eastAsia="仿宋_GB2312" w:cs="Times New Roman"/>
          <w:color w:val="auto"/>
          <w:spacing w:val="-4"/>
          <w:sz w:val="32"/>
          <w:highlight w:val="none"/>
        </w:rPr>
        <w:t>每个单位的结余资金原则上不得大于原预算金额的20%。</w:t>
      </w:r>
    </w:p>
    <w:p>
      <w:pPr>
        <w:widowControl/>
        <w:spacing w:line="580" w:lineRule="exact"/>
        <w:ind w:firstLine="643" w:firstLineChars="200"/>
        <w:rPr>
          <w:rFonts w:hint="default" w:ascii="Times New Roman" w:hAnsi="Times New Roman" w:eastAsia="仿宋_GB2312" w:cs="Times New Roman"/>
          <w:color w:val="auto"/>
          <w:sz w:val="32"/>
          <w:highlight w:val="none"/>
        </w:rPr>
      </w:pPr>
      <w:r>
        <w:rPr>
          <w:rFonts w:hint="default" w:ascii="Times New Roman" w:hAnsi="Times New Roman" w:eastAsia="仿宋_GB2312" w:cs="Times New Roman"/>
          <w:b/>
          <w:color w:val="auto"/>
          <w:sz w:val="32"/>
          <w:highlight w:val="none"/>
        </w:rPr>
        <w:t>2.经费审计报告</w:t>
      </w:r>
      <w:r>
        <w:rPr>
          <w:rFonts w:hint="default" w:ascii="Times New Roman" w:hAnsi="Times New Roman" w:eastAsia="仿宋_GB2312" w:cs="Times New Roman"/>
          <w:color w:val="auto"/>
          <w:sz w:val="32"/>
          <w:highlight w:val="none"/>
        </w:rPr>
        <w:t>。各参与单位应严格按照总部管理科技项目管理通用制度中的</w:t>
      </w:r>
      <w:r>
        <w:rPr>
          <w:rFonts w:hint="default" w:ascii="Times New Roman" w:hAnsi="Times New Roman" w:eastAsia="仿宋_GB2312" w:cs="Times New Roman"/>
          <w:b/>
          <w:color w:val="auto"/>
          <w:sz w:val="32"/>
          <w:highlight w:val="none"/>
        </w:rPr>
        <w:t>模板格式独立出具</w:t>
      </w:r>
      <w:r>
        <w:rPr>
          <w:rFonts w:hint="default" w:ascii="Times New Roman" w:hAnsi="Times New Roman" w:eastAsia="仿宋_GB2312" w:cs="Times New Roman"/>
          <w:color w:val="auto"/>
          <w:sz w:val="32"/>
          <w:highlight w:val="none"/>
        </w:rPr>
        <w:t>。审计报告应由项目任务书下达或合同签署的项目承担单位本部审计管理部门或由本部审计管理部门委托外部</w:t>
      </w:r>
      <w:r>
        <w:rPr>
          <w:rFonts w:hint="default" w:ascii="Times New Roman" w:hAnsi="Times New Roman" w:eastAsia="仿宋_GB2312" w:cs="Times New Roman"/>
          <w:b/>
          <w:color w:val="auto"/>
          <w:sz w:val="32"/>
          <w:highlight w:val="none"/>
        </w:rPr>
        <w:t>具有审计资质</w:t>
      </w:r>
      <w:r>
        <w:rPr>
          <w:rFonts w:hint="default" w:ascii="Times New Roman" w:hAnsi="Times New Roman" w:eastAsia="仿宋_GB2312" w:cs="Times New Roman"/>
          <w:color w:val="auto"/>
          <w:sz w:val="32"/>
          <w:highlight w:val="none"/>
        </w:rPr>
        <w:t>的中介机构出具，并加盖公章。</w:t>
      </w:r>
    </w:p>
    <w:p>
      <w:pPr>
        <w:widowControl/>
        <w:spacing w:line="580" w:lineRule="exact"/>
        <w:ind w:firstLine="643" w:firstLineChars="200"/>
        <w:rPr>
          <w:rFonts w:hint="default" w:ascii="Times New Roman" w:hAnsi="Times New Roman" w:eastAsia="仿宋_GB2312" w:cs="Times New Roman"/>
          <w:color w:val="auto"/>
          <w:sz w:val="32"/>
          <w:highlight w:val="none"/>
        </w:rPr>
      </w:pPr>
      <w:r>
        <w:rPr>
          <w:rFonts w:hint="default" w:ascii="Times New Roman" w:hAnsi="Times New Roman" w:eastAsia="仿宋_GB2312" w:cs="Times New Roman"/>
          <w:b/>
          <w:color w:val="auto"/>
          <w:sz w:val="32"/>
          <w:highlight w:val="none"/>
        </w:rPr>
        <w:t>注</w:t>
      </w:r>
      <w:r>
        <w:rPr>
          <w:rFonts w:hint="default" w:ascii="Times New Roman" w:hAnsi="Times New Roman" w:eastAsia="仿宋_GB2312" w:cs="Times New Roman"/>
          <w:color w:val="auto"/>
          <w:sz w:val="32"/>
          <w:highlight w:val="none"/>
        </w:rPr>
        <w:t>：</w:t>
      </w:r>
      <w:r>
        <w:rPr>
          <w:rFonts w:hint="default" w:ascii="Times New Roman" w:hAnsi="Times New Roman" w:eastAsia="仿宋_GB2312" w:cs="Times New Roman"/>
          <w:b/>
          <w:color w:val="auto"/>
          <w:sz w:val="32"/>
          <w:highlight w:val="none"/>
        </w:rPr>
        <w:t>审计报告必须有明确的审计结论</w:t>
      </w:r>
      <w:r>
        <w:rPr>
          <w:rFonts w:hint="default" w:ascii="Times New Roman" w:hAnsi="Times New Roman" w:eastAsia="仿宋_GB2312" w:cs="Times New Roman"/>
          <w:color w:val="auto"/>
          <w:sz w:val="32"/>
          <w:highlight w:val="none"/>
        </w:rPr>
        <w:t>，即针对本项目经费使用情况（有无截留、挪用、浪费和违反财经纪律</w:t>
      </w:r>
      <w:bookmarkStart w:id="13" w:name="_GoBack"/>
      <w:bookmarkEnd w:id="13"/>
      <w:r>
        <w:rPr>
          <w:rFonts w:hint="default" w:ascii="Times New Roman" w:hAnsi="Times New Roman" w:eastAsia="仿宋_GB2312" w:cs="Times New Roman"/>
          <w:color w:val="auto"/>
          <w:sz w:val="32"/>
          <w:highlight w:val="none"/>
        </w:rPr>
        <w:t>等行为）、经费管理（独立核算、决算编制真实可靠性）等方面发表总体审计意见，作为开展项目验收的依据。</w:t>
      </w:r>
    </w:p>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_GBK">
    <w:altName w:val="Arial Unicode MS"/>
    <w:panose1 w:val="03000509000000000000"/>
    <w:charset w:val="86"/>
    <w:family w:val="script"/>
    <w:pitch w:val="default"/>
    <w:sig w:usb0="00000000" w:usb1="00000000" w:usb2="00000000" w:usb3="00000000" w:csb0="00000000" w:csb1="00000000"/>
  </w:font>
  <w:font w:name="楷体_GB2312">
    <w:altName w:val="楷体"/>
    <w:panose1 w:val="02010609030101010101"/>
    <w:charset w:val="86"/>
    <w:family w:val="modern"/>
    <w:pitch w:val="default"/>
    <w:sig w:usb0="00000000" w:usb1="00000000" w:usb2="00000000" w:usb3="00000000" w:csb0="00000000" w:csb1="00000000"/>
  </w:font>
  <w:font w:name="仿宋_GB2312">
    <w:altName w:val="仿宋"/>
    <w:panose1 w:val="02010609030101010101"/>
    <w:charset w:val="86"/>
    <w:family w:val="modern"/>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6"/>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963BCAE"/>
    <w:multiLevelType w:val="multilevel"/>
    <w:tmpl w:val="A963BCAE"/>
    <w:lvl w:ilvl="0" w:tentative="0">
      <w:start w:val="1"/>
      <w:numFmt w:val="decimal"/>
      <w:pStyle w:val="3"/>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3A28D7AC"/>
    <w:multiLevelType w:val="multilevel"/>
    <w:tmpl w:val="3A28D7AC"/>
    <w:lvl w:ilvl="0" w:tentative="0">
      <w:start w:val="1"/>
      <w:numFmt w:val="decimal"/>
      <w:pStyle w:val="5"/>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72B8BE22"/>
    <w:multiLevelType w:val="multilevel"/>
    <w:tmpl w:val="72B8BE22"/>
    <w:lvl w:ilvl="0" w:tentative="0">
      <w:start w:val="1"/>
      <w:numFmt w:val="decimal"/>
      <w:pStyle w:val="4"/>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CD7BB5"/>
    <w:rsid w:val="08CD7BB5"/>
    <w:rsid w:val="0E8D309F"/>
    <w:rsid w:val="1D2F28E1"/>
    <w:rsid w:val="45A02D7C"/>
    <w:rsid w:val="55885D78"/>
    <w:rsid w:val="693F5E7F"/>
    <w:rsid w:val="784B3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4">
    <w:name w:val="heading 2"/>
    <w:basedOn w:val="1"/>
    <w:next w:val="1"/>
    <w:semiHidden/>
    <w:unhideWhenUsed/>
    <w:qFormat/>
    <w:uiPriority w:val="0"/>
    <w:pPr>
      <w:keepNext/>
      <w:keepLines/>
      <w:numPr>
        <w:ilvl w:val="0"/>
        <w:numId w:val="2"/>
      </w:numPr>
      <w:spacing w:before="260" w:beforeLines="0" w:beforeAutospacing="0" w:after="260" w:afterLines="0" w:afterAutospacing="0" w:line="413" w:lineRule="auto"/>
      <w:ind w:firstLine="0" w:firstLineChars="0"/>
      <w:outlineLvl w:val="1"/>
    </w:pPr>
    <w:rPr>
      <w:rFonts w:ascii="Arial" w:hAnsi="Arial" w:eastAsia="黑体"/>
      <w:b/>
      <w:sz w:val="32"/>
    </w:rPr>
  </w:style>
  <w:style w:type="paragraph" w:styleId="5">
    <w:name w:val="heading 3"/>
    <w:basedOn w:val="1"/>
    <w:next w:val="1"/>
    <w:semiHidden/>
    <w:unhideWhenUsed/>
    <w:qFormat/>
    <w:uiPriority w:val="0"/>
    <w:pPr>
      <w:numPr>
        <w:ilvl w:val="0"/>
        <w:numId w:val="3"/>
      </w:numPr>
      <w:spacing w:before="0" w:beforeAutospacing="1" w:after="-2147483648" w:afterAutospacing="1"/>
      <w:ind w:firstLine="0" w:firstLineChars="0"/>
      <w:jc w:val="left"/>
      <w:outlineLvl w:val="2"/>
    </w:pPr>
    <w:rPr>
      <w:rFonts w:hint="eastAsia" w:ascii="宋体" w:hAnsi="宋体" w:eastAsia="宋体"/>
      <w:b/>
      <w:kern w:val="0"/>
      <w:sz w:val="27"/>
      <w:szCs w:val="27"/>
      <w:lang w:bidi="ar"/>
    </w:rPr>
  </w:style>
  <w:style w:type="character" w:default="1" w:styleId="9">
    <w:name w:val="Default Paragraph Font"/>
    <w:semiHidden/>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Normal Indent"/>
    <w:basedOn w:val="1"/>
    <w:next w:val="1"/>
    <w:qFormat/>
    <w:uiPriority w:val="0"/>
    <w:pPr>
      <w:ind w:firstLine="420" w:firstLineChars="2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2025-09-30T13:06:00Z</dcterms:created>
  <dc:creator>jerry</dc:creator>
  <cp:lastModifiedBy>jerry</cp:lastModifiedBy>
  <dcterms:modified xsi:type="dcterms:W3CDTF">2025-09-30T13:14:20Z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