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1450C">
      <w:pPr>
        <w:pStyle w:val="4"/>
      </w:pPr>
      <w:r>
        <w:t>基于空间认知的"基座-智脑-执行"三层架构的</w:t>
      </w:r>
    </w:p>
    <w:p w14:paraId="0C258183">
      <w:pPr>
        <w:pStyle w:val="4"/>
        <w:spacing w:before="0" w:after="600"/>
      </w:pPr>
      <w:r>
        <w:t>变电站全域智能安全管控技术研究</w:t>
      </w:r>
    </w:p>
    <w:p w14:paraId="36AB8235">
      <w:pPr>
        <w:spacing w:after="600"/>
        <w:ind w:firstLine="0"/>
        <w:jc w:val="center"/>
      </w:pPr>
      <w:r>
        <w:rPr>
          <w:rFonts w:ascii="Times New Roman" w:hAnsi="Times New Roman" w:eastAsia="宋体"/>
          <w:color w:val="555555"/>
          <w:sz w:val="24"/>
        </w:rPr>
        <w:t>项目立项依据（软件·算法·数据·GIS方向）</w:t>
      </w:r>
    </w:p>
    <w:p w14:paraId="0D340AFF">
      <w:pPr>
        <w:pStyle w:val="2"/>
      </w:pPr>
      <w:r>
        <w:t>一、项目背景与政策驱动</w:t>
      </w:r>
    </w:p>
    <w:p w14:paraId="1AC731D1">
      <w:r>
        <w:t>国网江苏省电力有限公司信息化建设水平长期位居国网系统前列。2023年建成全国首个全息数字电网，覆盖10万公里线路、28万座杆塔；2021年率先实现企业级"电网一张图"，图形启动时间达毫秒级，录入效率提升70%以上。算力基础设施方面，部署75台GPU服务器、509张高性能算力卡，总算力108PFlops，自主可控算力占比64.4%，建成25G业务网+200G/400G高速无损参数网，具备千卡集群统一接入能力。在变电站数智化领域，宿迁500千伏数智化巡检示范站已投运，苏州供电公司部署347架AI无人机实现全市覆盖，树障识别精度超95%。</w:t>
      </w:r>
    </w:p>
    <w:p w14:paraId="6B8DFBAC">
      <w:r>
        <w:t>然而上述实践的核心瓶颈在于：多源异构数据（影像、点云、传感、气象等）缺乏统一的空间坐标基准与融合算法，感知数据未在GIS维度实现对齐；现有AI应用停留在"视觉识别+规则判断"的浅层阶段，缺乏基于电磁场、热场、机械场等多物理场耦合规律的认知推演能力；各业务系统（操作票、视频监控、入侵检测）数据孤岛严重，无法实现"感知—认知—推演—执行"的算法级闭环。2026年国网印发《关于深化推进"人工智能+"专项行动的意见》，明确推动AI与电网业务深度融合；中国电科院发布世界首个原生电力专业大模型NWHR，提出世界模型与科学智算融合的三层次路线，实现电网状态数十毫秒级推演。上述趋势要求以GIS空间数据为统一底座、以多物理场数字孪生为认知中枢、以算法闭环为执行引擎，构建变电站安全管控的软件定义型下一代技术架构。</w:t>
      </w:r>
    </w:p>
    <w:p w14:paraId="7E6D922F">
      <w:pPr>
        <w:pStyle w:val="2"/>
      </w:pPr>
      <w:r>
        <w:t>二、核心技术架构：基于空间认知的"基座-智脑-执行"（SEF-SCA-CPLE）三层架构</w:t>
      </w:r>
    </w:p>
    <w:p w14:paraId="6310F5CF">
      <w:r>
        <w:t>本项目以亿力吉奥C空间（EPGIS平台）为空间认知根基，构建"基座-智脑-执行"（SEF-SCA-CPLE）三层软件架构，实现从"多源数据融合"到"时空智能认知"再到"算法闭环执行"的完整链路。项目聚焦软件平台、核心算法与数据能力的研发，不涉及硬件设备采购。</w:t>
      </w:r>
    </w:p>
    <w:p w14:paraId="3B3B175E">
      <w:pPr>
        <w:pStyle w:val="3"/>
      </w:pPr>
      <w:r>
        <w:t>（一）第一层：基座（SEF）——时空演化基座（软件平台+数据底座）</w:t>
      </w:r>
    </w:p>
    <w:p w14:paraId="051950DA">
      <w:r>
        <w:t>C空间是国网信通产业集团唯一具备双甲级测绘资质的核心产品，历经二十余年迭代，形成覆盖国家电网三级部署的电网GIS空间信息服务平台，累计为2000余套系统提供空间数据服务。在第一层架构中，C空间作为时空演化基座，核心投入方向包括：一是GIS数据治理与多源异构数据融合算法，实现影像、点云、台账、气象等数据的统一空间坐标对齐与时空关联；二是物理场数字孪生建模算法，将电磁场、热场、机械应力场等科学计算模型与大语言模型语义理解能力深度融合，构建可实时推演的变电站设备孪生体；三是三维点云处理与轻量化算法，支撑大规模变电站场景的快速建模与动态更新。该层输出为上层提供符合真实物理规律的"数据+模型"双基座。</w:t>
      </w:r>
    </w:p>
    <w:p w14:paraId="4171E4E8">
      <w:pPr>
        <w:pStyle w:val="3"/>
      </w:pPr>
      <w:r>
        <w:t>（二）第二层：智脑（SCA）——空间认知智能体（核心算法引擎）</w:t>
      </w:r>
    </w:p>
    <w:p w14:paraId="183DBFA6">
      <w:r>
        <w:t>在第一层孪生基座之上，构建空间认知智能体的核心算法引擎。该引擎以C空间全要素设备拓扑为知识图谱骨架，以多物理场孪生体的实时推演数据为感知输入，融合大模型的逻辑推理能力，实现变电站全域运行状态的深度认知与智能优化。核心算法模块包括：运行状态监测与推演算法、源荷预测与安全边界感知算法、故障反演与根因追溯算法、应急转供与优化决策算法。闭环决策时间达到秒级，AI决策准确率不低于95%。空间认知智能体的本质是将C空间的"空间数据管理"升维为"时空智能认知"，其核心产出为可复用的算法组件与软件模块。</w:t>
      </w:r>
    </w:p>
    <w:p w14:paraId="671554B2">
      <w:pPr>
        <w:pStyle w:val="3"/>
      </w:pPr>
      <w:r>
        <w:t>（三）第三层：执行（CPLE）——认知-物理闭环执行体（算法推演+策略生成）</w:t>
      </w:r>
    </w:p>
    <w:p w14:paraId="24F18685">
      <w:r>
        <w:t>第三层聚焦算法层面的反事实推演与执行策略生成，不涉及硬件设备投入。核心技术包括：反事实推演算法——在C空间的物理场数字孪生体中模拟不同操作路径、巡检策略、反制方案的物理后果，通过虚拟试错选择最优策略；Sim2Real迁移算法——将孪生体中的推演结果映射为现实场景可执行的策略参数；多模态数据融合算法——整合视觉、雷达、定位等多源传感数据的时空对齐与交叉验证；闭环校正算法——基于执行结果的反馈数据持续优化孪生体模型与认知策略。该层输出为可部署的软件算法包与策略决策接口，可与甲方现有硬件设备（无人机、摄像头、传感终端等）通过标准API对接，实现算法驱动的智能化升级。</w:t>
      </w:r>
    </w:p>
    <w:p w14:paraId="6585F97C">
      <w:pPr>
        <w:pStyle w:val="2"/>
      </w:pPr>
      <w:r>
        <w:t>三、研究内容与课题布局</w:t>
      </w:r>
    </w:p>
    <w:p w14:paraId="4F682626">
      <w:r>
        <w:t>基于"基座-智脑-执行"三层软件架构，项目围绕变电站"人—机—物—空"四维威胁设置四个以软件算法为核心的研究课题：</w:t>
      </w:r>
    </w:p>
    <w:p w14:paraId="78694C61">
      <w:r>
        <w:t>课题一：基于SEF的倒闸操作票智能生成与反事实校验软件平台研发。以C空间设备拓扑为数据骨架，融合电力专业知识图谱与大语言模型推理算法，开发操作票智能生成引擎，实现操作前虚拟预演与操作后效果评估的双向闭环。核心产出：软件平台1套、核心算法模块3项。</w:t>
      </w:r>
    </w:p>
    <w:p w14:paraId="73EDEC9F">
      <w:r>
        <w:t>课题二：基于SCA的室内人员行为感知与综合管控算法系统研发。依托北斗/UWB/AI视觉多模态融合定位算法，结合C空间设备图层的空间关联分析，实现人员行为实时认知分析与违规预警算法。核心产出：行为识别算法模型1套、空间关联分析引擎1项。</w:t>
      </w:r>
    </w:p>
    <w:p w14:paraId="46C57A58">
      <w:r>
        <w:t>课题三：基于CPLE的低空威胁智能感知与协同反制算法系统研发。构建变电站空域数字孪生模型，开发无人机轨迹预测、撞击后果推演与反制策略生成的算法引擎。核心产出：空域孪生推演算法1套、威胁评估与策略生成模块1项。</w:t>
      </w:r>
    </w:p>
    <w:p w14:paraId="455CAA34">
      <w:r>
        <w:t>课题四：多模态数据融合的异物入侵检测与GIS联动处置算法研发。基于多源传感数据时空对齐算法与C空间电子围栏的空间计算，实现周界入侵的全天候探测、AI分类识别与处置决策算法。核心产出：多模态融合检测算法1套、GIS联动处置引擎1项。</w:t>
      </w:r>
    </w:p>
    <w:p w14:paraId="4E5BCBC7">
      <w:pPr>
        <w:pStyle w:val="2"/>
      </w:pPr>
      <w:r>
        <w:t>四、预期成果与战略意义</w:t>
      </w:r>
    </w:p>
    <w:p w14:paraId="1410773B">
      <w:r>
        <w:t>项目预期形成发明专利8项、软件著作权4项、高水平论文6篇，核心算法模块4套、</w:t>
      </w:r>
      <w:r>
        <w:rPr>
          <w:rFonts w:hint="eastAsia"/>
          <w:lang w:val="en-US" w:eastAsia="zh-CN"/>
        </w:rPr>
        <w:t>DEMO软件</w:t>
      </w:r>
      <w:bookmarkStart w:id="0" w:name="_GoBack"/>
      <w:bookmarkEnd w:id="0"/>
      <w:r>
        <w:t>1套，在江苏省内4座220千伏及以上变电站完成算法验证与软件部署，连续稳定运行不少于6个月。项目总预算500至600万元，全部投入软件开发、算法研发、数据治理与GIS平台建设，无需硬件设备采购。</w:t>
      </w:r>
    </w:p>
    <w:p w14:paraId="321B0195">
      <w:r>
        <w:t>本项目以C空间时空演化基座（SEF）为数据之根，以空间认知智能体（SCA）为算法之脑，以认知-物理闭环执行体（CPLE）为策略之用，构建变电站安全管控的"软件定义型"技术体系。该体系充分发挥亿力吉奥C空间二十余年的GIS数据与技术积淀，以算法创新替代硬件堆砌，以数据融合打破系统孤岛，以空间认知提升智能高度，为国网"十五五"数智化转型提供轻资产、高复用、可落地的典型示范。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5C958">
    <w:pPr>
      <w:jc w:val="center"/>
    </w:pPr>
    <w:r>
      <w:rPr>
        <w:rFonts w:ascii="Times New Roman" w:hAnsi="Times New Roman" w:eastAsia="宋体"/>
        <w:color w:val="888888"/>
        <w:sz w:val="18"/>
      </w:rPr>
      <w:fldChar w:fldCharType="begin"/>
    </w:r>
    <w:r>
      <w:rPr>
        <w:color w:val="888888"/>
        <w:sz w:val="18"/>
      </w:rPr>
      <w:instrText xml:space="preserve"> PAGE </w:instrText>
    </w:r>
    <w:r>
      <w:rPr>
        <w:color w:val="888888"/>
        <w:sz w:val="18"/>
      </w:rPr>
      <w:fldChar w:fldCharType="separate"/>
    </w:r>
    <w:r>
      <w:rPr>
        <w:color w:val="888888"/>
        <w:sz w:val="18"/>
      </w:rPr>
      <w:t>1</w:t>
    </w:r>
    <w:r>
      <w:rPr>
        <w:color w:val="88888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00" w:lineRule="auto"/>
      </w:pPr>
      <w:r>
        <w:separator/>
      </w:r>
    </w:p>
  </w:footnote>
  <w:footnote w:type="continuationSeparator" w:id="1">
    <w:p>
      <w:pPr>
        <w:spacing w:before="0" w:after="0" w:line="4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6B340">
    <w:pPr>
      <w:jc w:val="center"/>
    </w:pPr>
    <w:r>
      <w:rPr>
        <w:rFonts w:ascii="Times New Roman" w:hAnsi="Times New Roman" w:eastAsia="宋体"/>
        <w:color w:val="888888"/>
        <w:sz w:val="18"/>
      </w:rPr>
      <w:t>项目立项依据（软件算法方向）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D32E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400" w:lineRule="auto"/>
      <w:ind w:firstLine="480"/>
    </w:pPr>
    <w:rPr>
      <w:rFonts w:ascii="Times New Roman" w:hAnsi="Times New Roman" w:eastAsia="宋体"/>
      <w:color w:val="333333"/>
      <w:sz w:val="24"/>
      <w:szCs w:val="22"/>
    </w:rPr>
  </w:style>
  <w:style w:type="paragraph" w:styleId="2">
    <w:name w:val="heading 1"/>
    <w:basedOn w:val="1"/>
    <w:qFormat/>
    <w:uiPriority w:val="0"/>
    <w:pPr>
      <w:keepNext/>
      <w:keepLines/>
      <w:spacing w:before="400" w:after="200"/>
      <w:ind w:firstLine="0"/>
      <w:outlineLvl w:val="0"/>
    </w:pPr>
    <w:rPr>
      <w:rFonts w:ascii="Times New Roman" w:hAnsi="Times New Roman" w:eastAsia="黑体"/>
      <w:b/>
      <w:color w:val="2B5F8A"/>
      <w:sz w:val="28"/>
    </w:rPr>
  </w:style>
  <w:style w:type="paragraph" w:styleId="3">
    <w:name w:val="heading 2"/>
    <w:basedOn w:val="1"/>
    <w:qFormat/>
    <w:uiPriority w:val="0"/>
    <w:pPr>
      <w:keepNext/>
      <w:keepLines/>
      <w:spacing w:before="300" w:after="120"/>
      <w:ind w:firstLine="0"/>
      <w:outlineLvl w:val="1"/>
    </w:pPr>
    <w:rPr>
      <w:rFonts w:ascii="Times New Roman" w:hAnsi="Times New Roman" w:eastAsia="黑体"/>
      <w:b/>
      <w:color w:val="333333"/>
      <w:sz w:val="2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pPr>
      <w:spacing w:before="600" w:after="400"/>
      <w:ind w:firstLine="0"/>
      <w:jc w:val="center"/>
    </w:pPr>
    <w:rPr>
      <w:rFonts w:ascii="Times New Roman" w:hAnsi="Times New Roman" w:eastAsia="黑体"/>
      <w:b/>
      <w:color w:val="2B5F8A"/>
      <w:sz w:val="3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2501</Words>
  <Characters>2656</Characters>
  <TotalTime>1</TotalTime>
  <ScaleCrop>false</ScaleCrop>
  <LinksUpToDate>false</LinksUpToDate>
  <CharactersWithSpaces>2656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2026-07-09T00:18:06Z</dcterms:created>
  <dc:creator>iamaf</dc:creator>
  <cp:lastModifiedBy>林凡</cp:lastModifiedBy>
  <dcterms:modified xsi:type="dcterms:W3CDTF">2026-07-09T00:19:32Z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eyJoZGlkIjoiMjQ4ZDNjYTQyN2ZiM2IzZDgwODM1NDc3OWY1OGRmZGMiLCJ1c2VySWQiOiIzMzUyMDA0NjkifQ==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20E4A93B7BCA41CC886FA848BD6AA634_13</vt:lpwstr>
  </property>
</Properties>
</file>