
<file path=[Content_Types].xml><?xml version="1.0" encoding="utf-8"?>
<Types xmlns="http://schemas.openxmlformats.org/package/2006/content-types">
  <Default Extension="xml" ContentType="application/xml"/>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640"/>
        <w:rPr>
          <w:rFonts w:ascii="方正小标宋简体" w:eastAsia="方正小标宋简体"/>
        </w:rPr>
      </w:pPr>
      <w:bookmarkStart w:id="0" w:name="_Toc28616"/>
    </w:p>
    <w:p>
      <w:pPr>
        <w:ind w:firstLine="640"/>
        <w:rPr>
          <w:rFonts w:ascii="方正小标宋简体" w:eastAsia="方正小标宋简体"/>
        </w:rPr>
      </w:pPr>
    </w:p>
    <w:p>
      <w:pPr>
        <w:ind w:firstLine="0" w:firstLineChars="0"/>
        <w:jc w:val="center"/>
        <w:rPr>
          <w:rFonts w:ascii="方正小标宋简体" w:eastAsia="方正小标宋简体"/>
          <w:sz w:val="72"/>
          <w:szCs w:val="72"/>
        </w:rPr>
      </w:pPr>
    </w:p>
    <w:p>
      <w:pPr>
        <w:ind w:firstLine="0" w:firstLineChars="0"/>
        <w:jc w:val="center"/>
        <w:rPr>
          <w:rFonts w:ascii="方正小标宋简体" w:eastAsia="方正小标宋简体"/>
          <w:sz w:val="72"/>
          <w:szCs w:val="72"/>
        </w:rPr>
      </w:pPr>
    </w:p>
    <w:p>
      <w:pPr>
        <w:pStyle w:val="20"/>
        <w:tabs>
          <w:tab w:val="right" w:leader="dot" w:pos="8834"/>
        </w:tabs>
        <w:ind w:firstLine="0" w:firstLineChars="0"/>
        <w:jc w:val="center"/>
        <w:rPr>
          <w:rFonts w:asciiTheme="majorEastAsia" w:hAnsiTheme="majorEastAsia" w:eastAsiaTheme="majorEastAsia" w:cstheme="majorEastAsia"/>
          <w:b/>
          <w:sz w:val="44"/>
          <w:szCs w:val="44"/>
        </w:rPr>
      </w:pPr>
    </w:p>
    <w:p>
      <w:pPr>
        <w:spacing w:line="240" w:lineRule="auto"/>
        <w:ind w:firstLine="0" w:firstLineChars="0"/>
        <w:jc w:val="center"/>
        <w:rPr>
          <w:rFonts w:ascii="方正小标宋简体" w:eastAsia="方正小标宋简体"/>
          <w:sz w:val="72"/>
          <w:szCs w:val="72"/>
        </w:rPr>
      </w:pPr>
      <w:r>
        <w:rPr>
          <w:rFonts w:hint="eastAsia" w:ascii="方正小标宋简体" w:eastAsia="方正小标宋简体"/>
          <w:sz w:val="72"/>
          <w:szCs w:val="72"/>
        </w:rPr>
        <w:t>特种设备安全综合管理</w:t>
      </w:r>
    </w:p>
    <w:p>
      <w:pPr>
        <w:spacing w:line="240" w:lineRule="auto"/>
        <w:ind w:firstLine="0" w:firstLineChars="0"/>
        <w:jc w:val="center"/>
        <w:rPr>
          <w:rFonts w:ascii="方正小标宋简体" w:eastAsia="方正小标宋简体"/>
          <w:sz w:val="72"/>
          <w:szCs w:val="72"/>
        </w:rPr>
      </w:pPr>
      <w:r>
        <w:rPr>
          <w:rFonts w:hint="eastAsia" w:ascii="方正小标宋简体" w:eastAsia="方正小标宋简体"/>
          <w:sz w:val="72"/>
          <w:szCs w:val="72"/>
        </w:rPr>
        <w:t>系统建设方案</w:t>
      </w:r>
    </w:p>
    <w:p>
      <w:pPr>
        <w:pStyle w:val="15"/>
        <w:spacing w:line="240" w:lineRule="auto"/>
        <w:ind w:firstLine="0" w:firstLineChars="0"/>
        <w:jc w:val="center"/>
        <w:rPr>
          <w:sz w:val="52"/>
          <w:szCs w:val="52"/>
        </w:rPr>
        <w:sectPr>
          <w:headerReference r:id="rId5" w:type="first"/>
          <w:footerReference r:id="rId8" w:type="first"/>
          <w:headerReference r:id="rId3" w:type="default"/>
          <w:footerReference r:id="rId6" w:type="default"/>
          <w:headerReference r:id="rId4" w:type="even"/>
          <w:footerReference r:id="rId7" w:type="even"/>
          <w:pgSz w:w="11906" w:h="16838"/>
          <w:pgMar w:top="2098" w:right="1474" w:bottom="1985" w:left="1588" w:header="851" w:footer="992" w:gutter="0"/>
          <w:pgNumType w:fmt="numberInDash" w:start="0"/>
          <w:cols w:space="425" w:num="1"/>
          <w:docGrid w:type="lines" w:linePitch="312" w:charSpace="0"/>
        </w:sectPr>
      </w:pPr>
    </w:p>
    <w:p>
      <w:pPr>
        <w:pStyle w:val="20"/>
        <w:tabs>
          <w:tab w:val="right" w:leader="dot" w:pos="8834"/>
        </w:tabs>
        <w:ind w:firstLine="0" w:firstLineChars="0"/>
        <w:rPr>
          <w:rFonts w:asciiTheme="majorEastAsia" w:hAnsiTheme="majorEastAsia" w:eastAsiaTheme="majorEastAsia" w:cstheme="majorEastAsia"/>
          <w:b/>
          <w:sz w:val="44"/>
          <w:szCs w:val="44"/>
        </w:rPr>
      </w:pPr>
    </w:p>
    <w:p>
      <w:pPr>
        <w:pStyle w:val="20"/>
        <w:tabs>
          <w:tab w:val="right" w:leader="dot" w:pos="8834"/>
        </w:tabs>
        <w:ind w:firstLine="0" w:firstLineChars="0"/>
        <w:jc w:val="center"/>
      </w:pPr>
      <w:r>
        <w:rPr>
          <w:rFonts w:hint="eastAsia" w:asciiTheme="majorEastAsia" w:hAnsiTheme="majorEastAsia" w:eastAsiaTheme="majorEastAsia" w:cstheme="majorEastAsia"/>
          <w:b/>
          <w:sz w:val="44"/>
          <w:szCs w:val="44"/>
        </w:rPr>
        <w:t xml:space="preserve">目 </w:t>
      </w:r>
      <w:r>
        <w:rPr>
          <w:rFonts w:asciiTheme="majorEastAsia" w:hAnsiTheme="majorEastAsia" w:eastAsiaTheme="majorEastAsia" w:cstheme="majorEastAsia"/>
          <w:b/>
          <w:sz w:val="44"/>
          <w:szCs w:val="44"/>
        </w:rPr>
        <w:t xml:space="preserve"> </w:t>
      </w:r>
      <w:r>
        <w:rPr>
          <w:rFonts w:hint="eastAsia" w:asciiTheme="majorEastAsia" w:hAnsiTheme="majorEastAsia" w:eastAsiaTheme="majorEastAsia" w:cstheme="majorEastAsia"/>
          <w:b/>
          <w:sz w:val="44"/>
          <w:szCs w:val="44"/>
        </w:rPr>
        <w:t xml:space="preserve"> 录</w:t>
      </w:r>
    </w:p>
    <w:sdt>
      <w:sdtPr>
        <w:rPr>
          <w:rFonts w:ascii="宋体" w:hAnsi="宋体" w:eastAsia="宋体"/>
          <w:sz w:val="30"/>
          <w:szCs w:val="30"/>
        </w:rPr>
        <w:id w:val="147460273"/>
        <w:docPartObj>
          <w:docPartGallery w:val="Table of Contents"/>
          <w:docPartUnique/>
        </w:docPartObj>
      </w:sdtPr>
      <w:sdtEndPr>
        <w:rPr>
          <w:rFonts w:asciiTheme="minorHAnsi" w:hAnsiTheme="minorHAnsi" w:eastAsiaTheme="minorEastAsia"/>
          <w:sz w:val="30"/>
          <w:szCs w:val="30"/>
        </w:rPr>
      </w:sdtEndPr>
      <w:sdtContent>
        <w:p>
          <w:pPr>
            <w:ind w:left="141" w:leftChars="44" w:firstLine="1134" w:firstLineChars="378"/>
            <w:jc w:val="center"/>
            <w:rPr>
              <w:sz w:val="24"/>
            </w:rPr>
          </w:pPr>
        </w:p>
        <w:p>
          <w:pPr>
            <w:pStyle w:val="20"/>
            <w:tabs>
              <w:tab w:val="right" w:leader="dot" w:pos="8844"/>
            </w:tabs>
          </w:pPr>
          <w:r>
            <w:rPr>
              <w:sz w:val="28"/>
              <w:szCs w:val="28"/>
            </w:rPr>
            <w:fldChar w:fldCharType="begin"/>
          </w:r>
          <w:r>
            <w:rPr>
              <w:sz w:val="28"/>
              <w:szCs w:val="28"/>
            </w:rPr>
            <w:instrText xml:space="preserve">TOC \o "1-3" \h \u </w:instrText>
          </w:r>
          <w:r>
            <w:rPr>
              <w:sz w:val="28"/>
              <w:szCs w:val="28"/>
            </w:rPr>
            <w:fldChar w:fldCharType="separate"/>
          </w:r>
          <w:r>
            <w:rPr>
              <w:szCs w:val="28"/>
            </w:rPr>
            <w:fldChar w:fldCharType="begin"/>
          </w:r>
          <w:r>
            <w:rPr>
              <w:szCs w:val="28"/>
            </w:rPr>
            <w:instrText xml:space="preserve"> HYPERLINK \l _Toc10563 </w:instrText>
          </w:r>
          <w:r>
            <w:rPr>
              <w:szCs w:val="28"/>
            </w:rPr>
            <w:fldChar w:fldCharType="separate"/>
          </w:r>
          <w:r>
            <w:rPr>
              <w:rFonts w:hint="eastAsia" w:ascii="方正小标宋简体" w:eastAsia="方正小标宋简体"/>
            </w:rPr>
            <w:t xml:space="preserve">前 </w:t>
          </w:r>
          <w:r>
            <w:rPr>
              <w:rFonts w:ascii="方正小标宋简体" w:eastAsia="方正小标宋简体"/>
            </w:rPr>
            <w:t xml:space="preserve"> </w:t>
          </w:r>
          <w:r>
            <w:rPr>
              <w:rFonts w:hint="eastAsia" w:ascii="方正小标宋简体" w:eastAsia="方正小标宋简体"/>
            </w:rPr>
            <w:t>言</w:t>
          </w:r>
          <w:r>
            <w:tab/>
          </w:r>
          <w:r>
            <w:fldChar w:fldCharType="begin"/>
          </w:r>
          <w:r>
            <w:instrText xml:space="preserve"> PAGEREF _Toc10563 </w:instrText>
          </w:r>
          <w:r>
            <w:fldChar w:fldCharType="separate"/>
          </w:r>
          <w:r>
            <w:t>1</w:t>
          </w:r>
          <w:r>
            <w:fldChar w:fldCharType="end"/>
          </w:r>
          <w:r>
            <w:rPr>
              <w:szCs w:val="28"/>
            </w:rPr>
            <w:fldChar w:fldCharType="end"/>
          </w:r>
        </w:p>
        <w:p>
          <w:pPr>
            <w:pStyle w:val="20"/>
            <w:tabs>
              <w:tab w:val="right" w:leader="dot" w:pos="8844"/>
            </w:tabs>
          </w:pPr>
          <w:r>
            <w:rPr>
              <w:szCs w:val="28"/>
            </w:rPr>
            <w:fldChar w:fldCharType="begin"/>
          </w:r>
          <w:r>
            <w:rPr>
              <w:szCs w:val="28"/>
            </w:rPr>
            <w:instrText xml:space="preserve"> HYPERLINK \l _Toc15658 </w:instrText>
          </w:r>
          <w:r>
            <w:rPr>
              <w:szCs w:val="28"/>
            </w:rPr>
            <w:fldChar w:fldCharType="separate"/>
          </w:r>
          <w:r>
            <w:rPr>
              <w:rFonts w:hint="eastAsia" w:ascii="方正小标宋简体" w:eastAsia="方正小标宋简体"/>
            </w:rPr>
            <w:t>总体思路</w:t>
          </w:r>
          <w:r>
            <w:tab/>
          </w:r>
          <w:r>
            <w:fldChar w:fldCharType="begin"/>
          </w:r>
          <w:r>
            <w:instrText xml:space="preserve"> PAGEREF _Toc15658 </w:instrText>
          </w:r>
          <w:r>
            <w:fldChar w:fldCharType="separate"/>
          </w:r>
          <w:r>
            <w:t>2</w:t>
          </w:r>
          <w:r>
            <w:fldChar w:fldCharType="end"/>
          </w:r>
          <w:r>
            <w:rPr>
              <w:szCs w:val="28"/>
            </w:rPr>
            <w:fldChar w:fldCharType="end"/>
          </w:r>
        </w:p>
        <w:p>
          <w:pPr>
            <w:pStyle w:val="23"/>
            <w:tabs>
              <w:tab w:val="right" w:leader="dot" w:pos="8844"/>
            </w:tabs>
          </w:pPr>
          <w:r>
            <w:rPr>
              <w:szCs w:val="28"/>
            </w:rPr>
            <w:fldChar w:fldCharType="begin"/>
          </w:r>
          <w:r>
            <w:rPr>
              <w:szCs w:val="28"/>
            </w:rPr>
            <w:instrText xml:space="preserve"> HYPERLINK \l _Toc5136 </w:instrText>
          </w:r>
          <w:r>
            <w:rPr>
              <w:szCs w:val="28"/>
            </w:rPr>
            <w:fldChar w:fldCharType="separate"/>
          </w:r>
          <w:r>
            <w:rPr>
              <w:rFonts w:hint="eastAsia" w:ascii="黑体" w:hAnsi="黑体"/>
            </w:rPr>
            <w:t>一、 指导思想</w:t>
          </w:r>
          <w:r>
            <w:tab/>
          </w:r>
          <w:r>
            <w:fldChar w:fldCharType="begin"/>
          </w:r>
          <w:r>
            <w:instrText xml:space="preserve"> PAGEREF _Toc5136 </w:instrText>
          </w:r>
          <w:r>
            <w:fldChar w:fldCharType="separate"/>
          </w:r>
          <w:r>
            <w:t>2</w:t>
          </w:r>
          <w:r>
            <w:fldChar w:fldCharType="end"/>
          </w:r>
          <w:r>
            <w:rPr>
              <w:szCs w:val="28"/>
            </w:rPr>
            <w:fldChar w:fldCharType="end"/>
          </w:r>
        </w:p>
        <w:p>
          <w:pPr>
            <w:pStyle w:val="23"/>
            <w:tabs>
              <w:tab w:val="right" w:leader="dot" w:pos="8844"/>
            </w:tabs>
          </w:pPr>
          <w:r>
            <w:rPr>
              <w:szCs w:val="28"/>
            </w:rPr>
            <w:fldChar w:fldCharType="begin"/>
          </w:r>
          <w:r>
            <w:rPr>
              <w:szCs w:val="28"/>
            </w:rPr>
            <w:instrText xml:space="preserve"> HYPERLINK \l _Toc25660 </w:instrText>
          </w:r>
          <w:r>
            <w:rPr>
              <w:szCs w:val="28"/>
            </w:rPr>
            <w:fldChar w:fldCharType="separate"/>
          </w:r>
          <w:r>
            <w:rPr>
              <w:rFonts w:hint="eastAsia" w:ascii="黑体" w:hAnsi="黑体"/>
            </w:rPr>
            <w:t>二、 建设目标</w:t>
          </w:r>
          <w:r>
            <w:tab/>
          </w:r>
          <w:r>
            <w:fldChar w:fldCharType="begin"/>
          </w:r>
          <w:r>
            <w:instrText xml:space="preserve"> PAGEREF _Toc25660 </w:instrText>
          </w:r>
          <w:r>
            <w:fldChar w:fldCharType="separate"/>
          </w:r>
          <w:r>
            <w:t>2</w:t>
          </w:r>
          <w:r>
            <w:fldChar w:fldCharType="end"/>
          </w:r>
          <w:r>
            <w:rPr>
              <w:szCs w:val="28"/>
            </w:rPr>
            <w:fldChar w:fldCharType="end"/>
          </w:r>
        </w:p>
        <w:p>
          <w:pPr>
            <w:pStyle w:val="20"/>
            <w:tabs>
              <w:tab w:val="right" w:leader="dot" w:pos="8844"/>
            </w:tabs>
          </w:pPr>
          <w:r>
            <w:rPr>
              <w:szCs w:val="28"/>
            </w:rPr>
            <w:fldChar w:fldCharType="begin"/>
          </w:r>
          <w:r>
            <w:rPr>
              <w:szCs w:val="28"/>
            </w:rPr>
            <w:instrText xml:space="preserve"> HYPERLINK \l _Toc3854 </w:instrText>
          </w:r>
          <w:r>
            <w:rPr>
              <w:szCs w:val="28"/>
            </w:rPr>
            <w:fldChar w:fldCharType="separate"/>
          </w:r>
          <w:r>
            <w:rPr>
              <w:rFonts w:hint="eastAsia" w:ascii="方正小标宋简体" w:eastAsia="方正小标宋简体"/>
            </w:rPr>
            <w:t>技术架构</w:t>
          </w:r>
          <w:r>
            <w:tab/>
          </w:r>
          <w:r>
            <w:fldChar w:fldCharType="begin"/>
          </w:r>
          <w:r>
            <w:instrText xml:space="preserve"> PAGEREF _Toc3854 </w:instrText>
          </w:r>
          <w:r>
            <w:fldChar w:fldCharType="separate"/>
          </w:r>
          <w:r>
            <w:t>5</w:t>
          </w:r>
          <w:r>
            <w:fldChar w:fldCharType="end"/>
          </w:r>
          <w:r>
            <w:rPr>
              <w:szCs w:val="28"/>
            </w:rPr>
            <w:fldChar w:fldCharType="end"/>
          </w:r>
        </w:p>
        <w:p>
          <w:pPr>
            <w:pStyle w:val="23"/>
            <w:tabs>
              <w:tab w:val="right" w:leader="dot" w:pos="8844"/>
            </w:tabs>
          </w:pPr>
          <w:r>
            <w:rPr>
              <w:szCs w:val="28"/>
            </w:rPr>
            <w:fldChar w:fldCharType="begin"/>
          </w:r>
          <w:r>
            <w:rPr>
              <w:szCs w:val="28"/>
            </w:rPr>
            <w:instrText xml:space="preserve"> HYPERLINK \l _Toc11973 </w:instrText>
          </w:r>
          <w:r>
            <w:rPr>
              <w:szCs w:val="28"/>
            </w:rPr>
            <w:fldChar w:fldCharType="separate"/>
          </w:r>
          <w:r>
            <w:rPr>
              <w:rFonts w:hint="eastAsia" w:ascii="黑体" w:hAnsi="黑体"/>
            </w:rPr>
            <w:t>一、 整体技术框架</w:t>
          </w:r>
          <w:r>
            <w:tab/>
          </w:r>
          <w:r>
            <w:fldChar w:fldCharType="begin"/>
          </w:r>
          <w:r>
            <w:instrText xml:space="preserve"> PAGEREF _Toc11973 </w:instrText>
          </w:r>
          <w:r>
            <w:fldChar w:fldCharType="separate"/>
          </w:r>
          <w:r>
            <w:t>5</w:t>
          </w:r>
          <w:r>
            <w:fldChar w:fldCharType="end"/>
          </w:r>
          <w:r>
            <w:rPr>
              <w:szCs w:val="28"/>
            </w:rPr>
            <w:fldChar w:fldCharType="end"/>
          </w:r>
        </w:p>
        <w:p>
          <w:pPr>
            <w:pStyle w:val="23"/>
            <w:tabs>
              <w:tab w:val="right" w:leader="dot" w:pos="8844"/>
            </w:tabs>
          </w:pPr>
          <w:r>
            <w:rPr>
              <w:szCs w:val="28"/>
            </w:rPr>
            <w:fldChar w:fldCharType="begin"/>
          </w:r>
          <w:r>
            <w:rPr>
              <w:szCs w:val="28"/>
            </w:rPr>
            <w:instrText xml:space="preserve"> HYPERLINK \l _Toc22669 </w:instrText>
          </w:r>
          <w:r>
            <w:rPr>
              <w:szCs w:val="28"/>
            </w:rPr>
            <w:fldChar w:fldCharType="separate"/>
          </w:r>
          <w:r>
            <w:rPr>
              <w:rFonts w:hint="eastAsia" w:ascii="黑体" w:hAnsi="黑体"/>
            </w:rPr>
            <w:t>二、 基本业务架构</w:t>
          </w:r>
          <w:r>
            <w:tab/>
          </w:r>
          <w:r>
            <w:fldChar w:fldCharType="begin"/>
          </w:r>
          <w:r>
            <w:instrText xml:space="preserve"> PAGEREF _Toc22669 </w:instrText>
          </w:r>
          <w:r>
            <w:fldChar w:fldCharType="separate"/>
          </w:r>
          <w:r>
            <w:t>7</w:t>
          </w:r>
          <w:r>
            <w:fldChar w:fldCharType="end"/>
          </w:r>
          <w:r>
            <w:rPr>
              <w:szCs w:val="28"/>
            </w:rPr>
            <w:fldChar w:fldCharType="end"/>
          </w:r>
        </w:p>
        <w:p>
          <w:pPr>
            <w:pStyle w:val="20"/>
            <w:tabs>
              <w:tab w:val="right" w:leader="dot" w:pos="8844"/>
            </w:tabs>
          </w:pPr>
          <w:r>
            <w:rPr>
              <w:szCs w:val="28"/>
            </w:rPr>
            <w:fldChar w:fldCharType="begin"/>
          </w:r>
          <w:r>
            <w:rPr>
              <w:szCs w:val="28"/>
            </w:rPr>
            <w:instrText xml:space="preserve"> HYPERLINK \l _Toc31649 </w:instrText>
          </w:r>
          <w:r>
            <w:rPr>
              <w:szCs w:val="28"/>
            </w:rPr>
            <w:fldChar w:fldCharType="separate"/>
          </w:r>
          <w:r>
            <w:rPr>
              <w:rFonts w:hint="eastAsia" w:ascii="方正小标宋简体" w:eastAsia="方正小标宋简体"/>
            </w:rPr>
            <w:t>建设内容</w:t>
          </w:r>
          <w:r>
            <w:tab/>
          </w:r>
          <w:r>
            <w:fldChar w:fldCharType="begin"/>
          </w:r>
          <w:r>
            <w:instrText xml:space="preserve"> PAGEREF _Toc31649 </w:instrText>
          </w:r>
          <w:r>
            <w:fldChar w:fldCharType="separate"/>
          </w:r>
          <w:r>
            <w:t>9</w:t>
          </w:r>
          <w:r>
            <w:fldChar w:fldCharType="end"/>
          </w:r>
          <w:r>
            <w:rPr>
              <w:szCs w:val="28"/>
            </w:rPr>
            <w:fldChar w:fldCharType="end"/>
          </w:r>
        </w:p>
        <w:p>
          <w:pPr>
            <w:pStyle w:val="23"/>
            <w:tabs>
              <w:tab w:val="right" w:leader="dot" w:pos="8844"/>
            </w:tabs>
          </w:pPr>
          <w:r>
            <w:rPr>
              <w:szCs w:val="28"/>
            </w:rPr>
            <w:fldChar w:fldCharType="begin"/>
          </w:r>
          <w:r>
            <w:rPr>
              <w:szCs w:val="28"/>
            </w:rPr>
            <w:instrText xml:space="preserve"> HYPERLINK \l _Toc1956 </w:instrText>
          </w:r>
          <w:r>
            <w:rPr>
              <w:szCs w:val="28"/>
            </w:rPr>
            <w:fldChar w:fldCharType="separate"/>
          </w:r>
          <w:r>
            <w:rPr>
              <w:rFonts w:hint="eastAsia" w:ascii="黑体" w:hAnsi="黑体"/>
            </w:rPr>
            <w:t>一、 全省特种设备数据库</w:t>
          </w:r>
          <w:r>
            <w:tab/>
          </w:r>
          <w:r>
            <w:fldChar w:fldCharType="begin"/>
          </w:r>
          <w:r>
            <w:instrText xml:space="preserve"> PAGEREF _Toc1956 </w:instrText>
          </w:r>
          <w:r>
            <w:fldChar w:fldCharType="separate"/>
          </w:r>
          <w:r>
            <w:t>9</w:t>
          </w:r>
          <w:r>
            <w:fldChar w:fldCharType="end"/>
          </w:r>
          <w:r>
            <w:rPr>
              <w:szCs w:val="28"/>
            </w:rPr>
            <w:fldChar w:fldCharType="end"/>
          </w:r>
        </w:p>
        <w:p>
          <w:pPr>
            <w:pStyle w:val="14"/>
            <w:tabs>
              <w:tab w:val="right" w:leader="dot" w:pos="8844"/>
            </w:tabs>
          </w:pPr>
          <w:r>
            <w:rPr>
              <w:szCs w:val="28"/>
            </w:rPr>
            <w:fldChar w:fldCharType="begin"/>
          </w:r>
          <w:r>
            <w:rPr>
              <w:szCs w:val="28"/>
            </w:rPr>
            <w:instrText xml:space="preserve"> HYPERLINK \l _Toc10342 </w:instrText>
          </w:r>
          <w:r>
            <w:rPr>
              <w:szCs w:val="28"/>
            </w:rPr>
            <w:fldChar w:fldCharType="separate"/>
          </w:r>
          <w:r>
            <w:rPr>
              <w:rFonts w:hint="eastAsia" w:ascii="楷体_GB2312" w:eastAsia="楷体_GB2312"/>
            </w:rPr>
            <w:t>(一) 单位库</w:t>
          </w:r>
          <w:r>
            <w:tab/>
          </w:r>
          <w:r>
            <w:fldChar w:fldCharType="begin"/>
          </w:r>
          <w:r>
            <w:instrText xml:space="preserve"> PAGEREF _Toc10342 </w:instrText>
          </w:r>
          <w:r>
            <w:fldChar w:fldCharType="separate"/>
          </w:r>
          <w:r>
            <w:t>9</w:t>
          </w:r>
          <w:r>
            <w:fldChar w:fldCharType="end"/>
          </w:r>
          <w:r>
            <w:rPr>
              <w:szCs w:val="28"/>
            </w:rPr>
            <w:fldChar w:fldCharType="end"/>
          </w:r>
        </w:p>
        <w:p>
          <w:pPr>
            <w:pStyle w:val="14"/>
            <w:tabs>
              <w:tab w:val="right" w:leader="dot" w:pos="8844"/>
            </w:tabs>
          </w:pPr>
          <w:r>
            <w:rPr>
              <w:szCs w:val="28"/>
            </w:rPr>
            <w:fldChar w:fldCharType="begin"/>
          </w:r>
          <w:r>
            <w:rPr>
              <w:szCs w:val="28"/>
            </w:rPr>
            <w:instrText xml:space="preserve"> HYPERLINK \l _Toc8815 </w:instrText>
          </w:r>
          <w:r>
            <w:rPr>
              <w:szCs w:val="28"/>
            </w:rPr>
            <w:fldChar w:fldCharType="separate"/>
          </w:r>
          <w:r>
            <w:rPr>
              <w:rFonts w:hint="eastAsia" w:ascii="楷体_GB2312" w:eastAsia="楷体_GB2312"/>
            </w:rPr>
            <w:t>(二) 设备库</w:t>
          </w:r>
          <w:r>
            <w:tab/>
          </w:r>
          <w:r>
            <w:fldChar w:fldCharType="begin"/>
          </w:r>
          <w:r>
            <w:instrText xml:space="preserve"> PAGEREF _Toc8815 </w:instrText>
          </w:r>
          <w:r>
            <w:fldChar w:fldCharType="separate"/>
          </w:r>
          <w:r>
            <w:t>10</w:t>
          </w:r>
          <w:r>
            <w:fldChar w:fldCharType="end"/>
          </w:r>
          <w:r>
            <w:rPr>
              <w:szCs w:val="28"/>
            </w:rPr>
            <w:fldChar w:fldCharType="end"/>
          </w:r>
        </w:p>
        <w:p>
          <w:pPr>
            <w:pStyle w:val="14"/>
            <w:tabs>
              <w:tab w:val="right" w:leader="dot" w:pos="8844"/>
            </w:tabs>
          </w:pPr>
          <w:r>
            <w:rPr>
              <w:szCs w:val="28"/>
            </w:rPr>
            <w:fldChar w:fldCharType="begin"/>
          </w:r>
          <w:r>
            <w:rPr>
              <w:szCs w:val="28"/>
            </w:rPr>
            <w:instrText xml:space="preserve"> HYPERLINK \l _Toc24405 </w:instrText>
          </w:r>
          <w:r>
            <w:rPr>
              <w:szCs w:val="28"/>
            </w:rPr>
            <w:fldChar w:fldCharType="separate"/>
          </w:r>
          <w:r>
            <w:rPr>
              <w:rFonts w:hint="eastAsia" w:ascii="楷体_GB2312" w:eastAsia="楷体_GB2312"/>
            </w:rPr>
            <w:t>(三) 人员库</w:t>
          </w:r>
          <w:r>
            <w:tab/>
          </w:r>
          <w:r>
            <w:fldChar w:fldCharType="begin"/>
          </w:r>
          <w:r>
            <w:instrText xml:space="preserve"> PAGEREF _Toc24405 </w:instrText>
          </w:r>
          <w:r>
            <w:fldChar w:fldCharType="separate"/>
          </w:r>
          <w:r>
            <w:t>12</w:t>
          </w:r>
          <w:r>
            <w:fldChar w:fldCharType="end"/>
          </w:r>
          <w:r>
            <w:rPr>
              <w:szCs w:val="28"/>
            </w:rPr>
            <w:fldChar w:fldCharType="end"/>
          </w:r>
        </w:p>
        <w:p>
          <w:pPr>
            <w:pStyle w:val="14"/>
            <w:tabs>
              <w:tab w:val="right" w:leader="dot" w:pos="8844"/>
            </w:tabs>
          </w:pPr>
          <w:r>
            <w:rPr>
              <w:szCs w:val="28"/>
            </w:rPr>
            <w:fldChar w:fldCharType="begin"/>
          </w:r>
          <w:r>
            <w:rPr>
              <w:szCs w:val="28"/>
            </w:rPr>
            <w:instrText xml:space="preserve"> HYPERLINK \l _Toc10188 </w:instrText>
          </w:r>
          <w:r>
            <w:rPr>
              <w:szCs w:val="28"/>
            </w:rPr>
            <w:fldChar w:fldCharType="separate"/>
          </w:r>
          <w:r>
            <w:rPr>
              <w:rFonts w:hint="eastAsia" w:ascii="楷体_GB2312" w:eastAsia="楷体_GB2312"/>
            </w:rPr>
            <w:t>(四) 数据交换与共享</w:t>
          </w:r>
          <w:r>
            <w:tab/>
          </w:r>
          <w:r>
            <w:fldChar w:fldCharType="begin"/>
          </w:r>
          <w:r>
            <w:instrText xml:space="preserve"> PAGEREF _Toc10188 </w:instrText>
          </w:r>
          <w:r>
            <w:fldChar w:fldCharType="separate"/>
          </w:r>
          <w:r>
            <w:t>13</w:t>
          </w:r>
          <w:r>
            <w:fldChar w:fldCharType="end"/>
          </w:r>
          <w:r>
            <w:rPr>
              <w:szCs w:val="28"/>
            </w:rPr>
            <w:fldChar w:fldCharType="end"/>
          </w:r>
        </w:p>
        <w:p>
          <w:pPr>
            <w:pStyle w:val="23"/>
            <w:tabs>
              <w:tab w:val="right" w:leader="dot" w:pos="8844"/>
            </w:tabs>
          </w:pPr>
          <w:r>
            <w:rPr>
              <w:szCs w:val="28"/>
            </w:rPr>
            <w:fldChar w:fldCharType="begin"/>
          </w:r>
          <w:r>
            <w:rPr>
              <w:szCs w:val="28"/>
            </w:rPr>
            <w:instrText xml:space="preserve"> HYPERLINK \l _Toc4189 </w:instrText>
          </w:r>
          <w:r>
            <w:rPr>
              <w:szCs w:val="28"/>
            </w:rPr>
            <w:fldChar w:fldCharType="separate"/>
          </w:r>
          <w:r>
            <w:rPr>
              <w:rFonts w:hint="eastAsia" w:ascii="黑体" w:hAnsi="黑体"/>
            </w:rPr>
            <w:t>二、 全省监察子系统</w:t>
          </w:r>
          <w:r>
            <w:tab/>
          </w:r>
          <w:r>
            <w:fldChar w:fldCharType="begin"/>
          </w:r>
          <w:r>
            <w:instrText xml:space="preserve"> PAGEREF _Toc4189 </w:instrText>
          </w:r>
          <w:r>
            <w:fldChar w:fldCharType="separate"/>
          </w:r>
          <w:r>
            <w:t>16</w:t>
          </w:r>
          <w:r>
            <w:fldChar w:fldCharType="end"/>
          </w:r>
          <w:r>
            <w:rPr>
              <w:szCs w:val="28"/>
            </w:rPr>
            <w:fldChar w:fldCharType="end"/>
          </w:r>
        </w:p>
        <w:p>
          <w:pPr>
            <w:pStyle w:val="14"/>
            <w:tabs>
              <w:tab w:val="right" w:leader="dot" w:pos="8844"/>
            </w:tabs>
          </w:pPr>
          <w:r>
            <w:rPr>
              <w:szCs w:val="28"/>
            </w:rPr>
            <w:fldChar w:fldCharType="begin"/>
          </w:r>
          <w:r>
            <w:rPr>
              <w:szCs w:val="28"/>
            </w:rPr>
            <w:instrText xml:space="preserve"> HYPERLINK \l _Toc4733 </w:instrText>
          </w:r>
          <w:r>
            <w:rPr>
              <w:szCs w:val="28"/>
            </w:rPr>
            <w:fldChar w:fldCharType="separate"/>
          </w:r>
          <w:r>
            <w:rPr>
              <w:rFonts w:hint="eastAsia" w:ascii="楷体_GB2312" w:eastAsia="楷体_GB2312"/>
            </w:rPr>
            <w:t>(一) 工作桌面</w:t>
          </w:r>
          <w:r>
            <w:tab/>
          </w:r>
          <w:r>
            <w:fldChar w:fldCharType="begin"/>
          </w:r>
          <w:r>
            <w:instrText xml:space="preserve"> PAGEREF _Toc4733 </w:instrText>
          </w:r>
          <w:r>
            <w:fldChar w:fldCharType="separate"/>
          </w:r>
          <w:r>
            <w:t>16</w:t>
          </w:r>
          <w:r>
            <w:fldChar w:fldCharType="end"/>
          </w:r>
          <w:r>
            <w:rPr>
              <w:szCs w:val="28"/>
            </w:rPr>
            <w:fldChar w:fldCharType="end"/>
          </w:r>
        </w:p>
        <w:p>
          <w:pPr>
            <w:pStyle w:val="14"/>
            <w:tabs>
              <w:tab w:val="right" w:leader="dot" w:pos="8844"/>
            </w:tabs>
          </w:pPr>
          <w:r>
            <w:rPr>
              <w:szCs w:val="28"/>
            </w:rPr>
            <w:fldChar w:fldCharType="begin"/>
          </w:r>
          <w:r>
            <w:rPr>
              <w:szCs w:val="28"/>
            </w:rPr>
            <w:instrText xml:space="preserve"> HYPERLINK \l _Toc5013 </w:instrText>
          </w:r>
          <w:r>
            <w:rPr>
              <w:szCs w:val="28"/>
            </w:rPr>
            <w:fldChar w:fldCharType="separate"/>
          </w:r>
          <w:r>
            <w:rPr>
              <w:rFonts w:hint="eastAsia" w:ascii="楷体_GB2312" w:eastAsia="楷体_GB2312"/>
            </w:rPr>
            <w:t>(二) 业务办理</w:t>
          </w:r>
          <w:r>
            <w:tab/>
          </w:r>
          <w:r>
            <w:fldChar w:fldCharType="begin"/>
          </w:r>
          <w:r>
            <w:instrText xml:space="preserve"> PAGEREF _Toc5013 </w:instrText>
          </w:r>
          <w:r>
            <w:fldChar w:fldCharType="separate"/>
          </w:r>
          <w:r>
            <w:t>16</w:t>
          </w:r>
          <w:r>
            <w:fldChar w:fldCharType="end"/>
          </w:r>
          <w:r>
            <w:rPr>
              <w:szCs w:val="28"/>
            </w:rPr>
            <w:fldChar w:fldCharType="end"/>
          </w:r>
        </w:p>
        <w:p>
          <w:pPr>
            <w:pStyle w:val="14"/>
            <w:tabs>
              <w:tab w:val="right" w:leader="dot" w:pos="8844"/>
            </w:tabs>
          </w:pPr>
          <w:r>
            <w:rPr>
              <w:szCs w:val="28"/>
            </w:rPr>
            <w:fldChar w:fldCharType="begin"/>
          </w:r>
          <w:r>
            <w:rPr>
              <w:szCs w:val="28"/>
            </w:rPr>
            <w:instrText xml:space="preserve"> HYPERLINK \l _Toc2319 </w:instrText>
          </w:r>
          <w:r>
            <w:rPr>
              <w:szCs w:val="28"/>
            </w:rPr>
            <w:fldChar w:fldCharType="separate"/>
          </w:r>
          <w:r>
            <w:rPr>
              <w:rFonts w:hint="eastAsia" w:ascii="楷体_GB2312" w:eastAsia="楷体_GB2312"/>
            </w:rPr>
            <w:t>(三) 日常监管</w:t>
          </w:r>
          <w:r>
            <w:tab/>
          </w:r>
          <w:r>
            <w:fldChar w:fldCharType="begin"/>
          </w:r>
          <w:r>
            <w:instrText xml:space="preserve"> PAGEREF _Toc2319 </w:instrText>
          </w:r>
          <w:r>
            <w:fldChar w:fldCharType="separate"/>
          </w:r>
          <w:r>
            <w:t>45</w:t>
          </w:r>
          <w:r>
            <w:fldChar w:fldCharType="end"/>
          </w:r>
          <w:r>
            <w:rPr>
              <w:szCs w:val="28"/>
            </w:rPr>
            <w:fldChar w:fldCharType="end"/>
          </w:r>
        </w:p>
        <w:p>
          <w:pPr>
            <w:pStyle w:val="14"/>
            <w:tabs>
              <w:tab w:val="right" w:leader="dot" w:pos="8844"/>
            </w:tabs>
          </w:pPr>
          <w:r>
            <w:rPr>
              <w:szCs w:val="28"/>
            </w:rPr>
            <w:fldChar w:fldCharType="begin"/>
          </w:r>
          <w:r>
            <w:rPr>
              <w:szCs w:val="28"/>
            </w:rPr>
            <w:instrText xml:space="preserve"> HYPERLINK \l _Toc20685 </w:instrText>
          </w:r>
          <w:r>
            <w:rPr>
              <w:szCs w:val="28"/>
            </w:rPr>
            <w:fldChar w:fldCharType="separate"/>
          </w:r>
          <w:r>
            <w:rPr>
              <w:rFonts w:hint="eastAsia"/>
            </w:rPr>
            <w:t>(四) 监管</w:t>
          </w:r>
          <w:r>
            <w:rPr>
              <w:rFonts w:hint="eastAsia" w:ascii="楷体_GB2312" w:eastAsia="楷体_GB2312"/>
            </w:rPr>
            <w:t>移动</w:t>
          </w:r>
          <w:r>
            <w:rPr>
              <w:rFonts w:hint="eastAsia"/>
            </w:rPr>
            <w:t>端</w:t>
          </w:r>
          <w:r>
            <w:tab/>
          </w:r>
          <w:r>
            <w:fldChar w:fldCharType="begin"/>
          </w:r>
          <w:r>
            <w:instrText xml:space="preserve"> PAGEREF _Toc20685 </w:instrText>
          </w:r>
          <w:r>
            <w:fldChar w:fldCharType="separate"/>
          </w:r>
          <w:r>
            <w:t>54</w:t>
          </w:r>
          <w:r>
            <w:fldChar w:fldCharType="end"/>
          </w:r>
          <w:r>
            <w:rPr>
              <w:szCs w:val="28"/>
            </w:rPr>
            <w:fldChar w:fldCharType="end"/>
          </w:r>
        </w:p>
        <w:p>
          <w:pPr>
            <w:pStyle w:val="23"/>
            <w:tabs>
              <w:tab w:val="right" w:leader="dot" w:pos="8844"/>
            </w:tabs>
          </w:pPr>
          <w:r>
            <w:rPr>
              <w:szCs w:val="28"/>
            </w:rPr>
            <w:fldChar w:fldCharType="begin"/>
          </w:r>
          <w:r>
            <w:rPr>
              <w:szCs w:val="28"/>
            </w:rPr>
            <w:instrText xml:space="preserve"> HYPERLINK \l _Toc2499 </w:instrText>
          </w:r>
          <w:r>
            <w:rPr>
              <w:szCs w:val="28"/>
            </w:rPr>
            <w:fldChar w:fldCharType="separate"/>
          </w:r>
          <w:r>
            <w:rPr>
              <w:rFonts w:hint="eastAsia"/>
            </w:rPr>
            <w:t xml:space="preserve">三、 </w:t>
          </w:r>
          <w:r>
            <w:rPr>
              <w:rFonts w:hint="eastAsia" w:ascii="黑体" w:hAnsi="黑体"/>
            </w:rPr>
            <w:t>全省公共服务模块</w:t>
          </w:r>
          <w:r>
            <w:tab/>
          </w:r>
          <w:r>
            <w:fldChar w:fldCharType="begin"/>
          </w:r>
          <w:r>
            <w:instrText xml:space="preserve"> PAGEREF _Toc2499 </w:instrText>
          </w:r>
          <w:r>
            <w:fldChar w:fldCharType="separate"/>
          </w:r>
          <w:r>
            <w:t>56</w:t>
          </w:r>
          <w:r>
            <w:fldChar w:fldCharType="end"/>
          </w:r>
          <w:r>
            <w:rPr>
              <w:szCs w:val="28"/>
            </w:rPr>
            <w:fldChar w:fldCharType="end"/>
          </w:r>
        </w:p>
        <w:p>
          <w:pPr>
            <w:pStyle w:val="14"/>
            <w:tabs>
              <w:tab w:val="right" w:leader="dot" w:pos="8844"/>
            </w:tabs>
          </w:pPr>
          <w:r>
            <w:rPr>
              <w:szCs w:val="28"/>
            </w:rPr>
            <w:fldChar w:fldCharType="begin"/>
          </w:r>
          <w:r>
            <w:rPr>
              <w:szCs w:val="28"/>
            </w:rPr>
            <w:instrText xml:space="preserve"> HYPERLINK \l _Toc21569 </w:instrText>
          </w:r>
          <w:r>
            <w:rPr>
              <w:szCs w:val="28"/>
            </w:rPr>
            <w:fldChar w:fldCharType="separate"/>
          </w:r>
          <w:r>
            <w:rPr>
              <w:rFonts w:hint="eastAsia" w:ascii="楷体_GB2312" w:eastAsia="楷体_GB2312"/>
            </w:rPr>
            <w:t>(一) 公共服务门户网站</w:t>
          </w:r>
          <w:r>
            <w:tab/>
          </w:r>
          <w:r>
            <w:fldChar w:fldCharType="begin"/>
          </w:r>
          <w:r>
            <w:instrText xml:space="preserve"> PAGEREF _Toc21569 </w:instrText>
          </w:r>
          <w:r>
            <w:fldChar w:fldCharType="separate"/>
          </w:r>
          <w:r>
            <w:t>56</w:t>
          </w:r>
          <w:r>
            <w:fldChar w:fldCharType="end"/>
          </w:r>
          <w:r>
            <w:rPr>
              <w:szCs w:val="28"/>
            </w:rPr>
            <w:fldChar w:fldCharType="end"/>
          </w:r>
        </w:p>
        <w:p>
          <w:pPr>
            <w:pStyle w:val="14"/>
            <w:tabs>
              <w:tab w:val="right" w:leader="dot" w:pos="8844"/>
            </w:tabs>
          </w:pPr>
          <w:r>
            <w:rPr>
              <w:szCs w:val="28"/>
            </w:rPr>
            <w:fldChar w:fldCharType="begin"/>
          </w:r>
          <w:r>
            <w:rPr>
              <w:szCs w:val="28"/>
            </w:rPr>
            <w:instrText xml:space="preserve"> HYPERLINK \l _Toc25309 </w:instrText>
          </w:r>
          <w:r>
            <w:rPr>
              <w:szCs w:val="28"/>
            </w:rPr>
            <w:fldChar w:fldCharType="separate"/>
          </w:r>
          <w:r>
            <w:rPr>
              <w:rFonts w:hint="eastAsia" w:ascii="楷体_GB2312" w:eastAsia="楷体_GB2312"/>
            </w:rPr>
            <w:t>(二) 公共服务企业管理</w:t>
          </w:r>
          <w:r>
            <w:tab/>
          </w:r>
          <w:r>
            <w:fldChar w:fldCharType="begin"/>
          </w:r>
          <w:r>
            <w:instrText xml:space="preserve"> PAGEREF _Toc25309 </w:instrText>
          </w:r>
          <w:r>
            <w:fldChar w:fldCharType="separate"/>
          </w:r>
          <w:r>
            <w:t>59</w:t>
          </w:r>
          <w:r>
            <w:fldChar w:fldCharType="end"/>
          </w:r>
          <w:r>
            <w:rPr>
              <w:szCs w:val="28"/>
            </w:rPr>
            <w:fldChar w:fldCharType="end"/>
          </w:r>
        </w:p>
        <w:p>
          <w:pPr>
            <w:pStyle w:val="14"/>
            <w:tabs>
              <w:tab w:val="right" w:leader="dot" w:pos="8844"/>
            </w:tabs>
          </w:pPr>
          <w:r>
            <w:rPr>
              <w:szCs w:val="28"/>
            </w:rPr>
            <w:fldChar w:fldCharType="begin"/>
          </w:r>
          <w:r>
            <w:rPr>
              <w:szCs w:val="28"/>
            </w:rPr>
            <w:instrText xml:space="preserve"> HYPERLINK \l _Toc16947 </w:instrText>
          </w:r>
          <w:r>
            <w:rPr>
              <w:szCs w:val="28"/>
            </w:rPr>
            <w:fldChar w:fldCharType="separate"/>
          </w:r>
          <w:r>
            <w:rPr>
              <w:rFonts w:hint="eastAsia"/>
            </w:rPr>
            <w:t>(三) 公共服务移动端</w:t>
          </w:r>
          <w:r>
            <w:tab/>
          </w:r>
          <w:r>
            <w:fldChar w:fldCharType="begin"/>
          </w:r>
          <w:r>
            <w:instrText xml:space="preserve"> PAGEREF _Toc16947 </w:instrText>
          </w:r>
          <w:r>
            <w:fldChar w:fldCharType="separate"/>
          </w:r>
          <w:r>
            <w:t>74</w:t>
          </w:r>
          <w:r>
            <w:fldChar w:fldCharType="end"/>
          </w:r>
          <w:r>
            <w:rPr>
              <w:szCs w:val="28"/>
            </w:rPr>
            <w:fldChar w:fldCharType="end"/>
          </w:r>
        </w:p>
        <w:p>
          <w:pPr>
            <w:pStyle w:val="23"/>
            <w:tabs>
              <w:tab w:val="right" w:leader="dot" w:pos="8844"/>
            </w:tabs>
          </w:pPr>
          <w:r>
            <w:rPr>
              <w:szCs w:val="28"/>
            </w:rPr>
            <w:fldChar w:fldCharType="begin"/>
          </w:r>
          <w:r>
            <w:rPr>
              <w:szCs w:val="28"/>
            </w:rPr>
            <w:instrText xml:space="preserve"> HYPERLINK \l _Toc16988 </w:instrText>
          </w:r>
          <w:r>
            <w:rPr>
              <w:szCs w:val="28"/>
            </w:rPr>
            <w:fldChar w:fldCharType="separate"/>
          </w:r>
          <w:r>
            <w:rPr>
              <w:rFonts w:hint="eastAsia" w:ascii="黑体" w:hAnsi="黑体"/>
            </w:rPr>
            <w:t>四、 检索分析子系统</w:t>
          </w:r>
          <w:r>
            <w:tab/>
          </w:r>
          <w:r>
            <w:fldChar w:fldCharType="begin"/>
          </w:r>
          <w:r>
            <w:instrText xml:space="preserve"> PAGEREF _Toc16988 </w:instrText>
          </w:r>
          <w:r>
            <w:fldChar w:fldCharType="separate"/>
          </w:r>
          <w:r>
            <w:t>76</w:t>
          </w:r>
          <w:r>
            <w:fldChar w:fldCharType="end"/>
          </w:r>
          <w:r>
            <w:rPr>
              <w:szCs w:val="28"/>
            </w:rPr>
            <w:fldChar w:fldCharType="end"/>
          </w:r>
        </w:p>
        <w:p>
          <w:pPr>
            <w:pStyle w:val="14"/>
            <w:tabs>
              <w:tab w:val="right" w:leader="dot" w:pos="8844"/>
            </w:tabs>
          </w:pPr>
          <w:r>
            <w:rPr>
              <w:szCs w:val="28"/>
            </w:rPr>
            <w:fldChar w:fldCharType="begin"/>
          </w:r>
          <w:r>
            <w:rPr>
              <w:szCs w:val="28"/>
            </w:rPr>
            <w:instrText xml:space="preserve"> HYPERLINK \l _Toc26703 </w:instrText>
          </w:r>
          <w:r>
            <w:rPr>
              <w:szCs w:val="28"/>
            </w:rPr>
            <w:fldChar w:fldCharType="separate"/>
          </w:r>
          <w:r>
            <w:rPr>
              <w:rFonts w:hint="eastAsia" w:ascii="楷体_GB2312" w:eastAsia="楷体_GB2312"/>
            </w:rPr>
            <w:t>(一) 单位检索</w:t>
          </w:r>
          <w:r>
            <w:tab/>
          </w:r>
          <w:r>
            <w:fldChar w:fldCharType="begin"/>
          </w:r>
          <w:r>
            <w:instrText xml:space="preserve"> PAGEREF _Toc26703 </w:instrText>
          </w:r>
          <w:r>
            <w:fldChar w:fldCharType="separate"/>
          </w:r>
          <w:r>
            <w:t>76</w:t>
          </w:r>
          <w:r>
            <w:fldChar w:fldCharType="end"/>
          </w:r>
          <w:r>
            <w:rPr>
              <w:szCs w:val="28"/>
            </w:rPr>
            <w:fldChar w:fldCharType="end"/>
          </w:r>
        </w:p>
        <w:p>
          <w:pPr>
            <w:pStyle w:val="14"/>
            <w:tabs>
              <w:tab w:val="right" w:leader="dot" w:pos="8844"/>
            </w:tabs>
          </w:pPr>
          <w:r>
            <w:rPr>
              <w:szCs w:val="28"/>
            </w:rPr>
            <w:fldChar w:fldCharType="begin"/>
          </w:r>
          <w:r>
            <w:rPr>
              <w:szCs w:val="28"/>
            </w:rPr>
            <w:instrText xml:space="preserve"> HYPERLINK \l _Toc16477 </w:instrText>
          </w:r>
          <w:r>
            <w:rPr>
              <w:szCs w:val="28"/>
            </w:rPr>
            <w:fldChar w:fldCharType="separate"/>
          </w:r>
          <w:r>
            <w:rPr>
              <w:rFonts w:hint="eastAsia" w:ascii="楷体_GB2312" w:eastAsia="楷体_GB2312"/>
            </w:rPr>
            <w:t>(二) 设备检索</w:t>
          </w:r>
          <w:r>
            <w:tab/>
          </w:r>
          <w:r>
            <w:fldChar w:fldCharType="begin"/>
          </w:r>
          <w:r>
            <w:instrText xml:space="preserve"> PAGEREF _Toc16477 </w:instrText>
          </w:r>
          <w:r>
            <w:fldChar w:fldCharType="separate"/>
          </w:r>
          <w:r>
            <w:t>76</w:t>
          </w:r>
          <w:r>
            <w:fldChar w:fldCharType="end"/>
          </w:r>
          <w:r>
            <w:rPr>
              <w:szCs w:val="28"/>
            </w:rPr>
            <w:fldChar w:fldCharType="end"/>
          </w:r>
        </w:p>
        <w:p>
          <w:pPr>
            <w:pStyle w:val="14"/>
            <w:tabs>
              <w:tab w:val="right" w:leader="dot" w:pos="8844"/>
            </w:tabs>
          </w:pPr>
          <w:r>
            <w:rPr>
              <w:szCs w:val="28"/>
            </w:rPr>
            <w:fldChar w:fldCharType="begin"/>
          </w:r>
          <w:r>
            <w:rPr>
              <w:szCs w:val="28"/>
            </w:rPr>
            <w:instrText xml:space="preserve"> HYPERLINK \l _Toc25326 </w:instrText>
          </w:r>
          <w:r>
            <w:rPr>
              <w:szCs w:val="28"/>
            </w:rPr>
            <w:fldChar w:fldCharType="separate"/>
          </w:r>
          <w:r>
            <w:rPr>
              <w:rFonts w:hint="eastAsia" w:ascii="楷体_GB2312" w:eastAsia="楷体_GB2312"/>
            </w:rPr>
            <w:t>(三) 人员检索</w:t>
          </w:r>
          <w:r>
            <w:tab/>
          </w:r>
          <w:r>
            <w:fldChar w:fldCharType="begin"/>
          </w:r>
          <w:r>
            <w:instrText xml:space="preserve"> PAGEREF _Toc25326 </w:instrText>
          </w:r>
          <w:r>
            <w:fldChar w:fldCharType="separate"/>
          </w:r>
          <w:r>
            <w:t>77</w:t>
          </w:r>
          <w:r>
            <w:fldChar w:fldCharType="end"/>
          </w:r>
          <w:r>
            <w:rPr>
              <w:szCs w:val="28"/>
            </w:rPr>
            <w:fldChar w:fldCharType="end"/>
          </w:r>
        </w:p>
        <w:p>
          <w:pPr>
            <w:pStyle w:val="14"/>
            <w:tabs>
              <w:tab w:val="right" w:leader="dot" w:pos="8844"/>
            </w:tabs>
          </w:pPr>
          <w:r>
            <w:rPr>
              <w:szCs w:val="28"/>
            </w:rPr>
            <w:fldChar w:fldCharType="begin"/>
          </w:r>
          <w:r>
            <w:rPr>
              <w:szCs w:val="28"/>
            </w:rPr>
            <w:instrText xml:space="preserve"> HYPERLINK \l _Toc8638 </w:instrText>
          </w:r>
          <w:r>
            <w:rPr>
              <w:szCs w:val="28"/>
            </w:rPr>
            <w:fldChar w:fldCharType="separate"/>
          </w:r>
          <w:r>
            <w:rPr>
              <w:rFonts w:hint="eastAsia" w:ascii="楷体_GB2312" w:eastAsia="楷体_GB2312"/>
            </w:rPr>
            <w:t>(四) 统计分析</w:t>
          </w:r>
          <w:r>
            <w:tab/>
          </w:r>
          <w:r>
            <w:fldChar w:fldCharType="begin"/>
          </w:r>
          <w:r>
            <w:instrText xml:space="preserve"> PAGEREF _Toc8638 </w:instrText>
          </w:r>
          <w:r>
            <w:fldChar w:fldCharType="separate"/>
          </w:r>
          <w:r>
            <w:t>77</w:t>
          </w:r>
          <w:r>
            <w:fldChar w:fldCharType="end"/>
          </w:r>
          <w:r>
            <w:rPr>
              <w:szCs w:val="28"/>
            </w:rPr>
            <w:fldChar w:fldCharType="end"/>
          </w:r>
        </w:p>
        <w:p>
          <w:pPr>
            <w:pStyle w:val="23"/>
            <w:tabs>
              <w:tab w:val="right" w:leader="dot" w:pos="8844"/>
            </w:tabs>
          </w:pPr>
          <w:r>
            <w:rPr>
              <w:szCs w:val="28"/>
            </w:rPr>
            <w:fldChar w:fldCharType="begin"/>
          </w:r>
          <w:r>
            <w:rPr>
              <w:szCs w:val="28"/>
            </w:rPr>
            <w:instrText xml:space="preserve"> HYPERLINK \l _Toc15800 </w:instrText>
          </w:r>
          <w:r>
            <w:rPr>
              <w:szCs w:val="28"/>
            </w:rPr>
            <w:fldChar w:fldCharType="separate"/>
          </w:r>
          <w:r>
            <w:rPr>
              <w:rFonts w:hint="eastAsia" w:ascii="黑体" w:hAnsi="黑体"/>
            </w:rPr>
            <w:t>五、 检验检测子系统</w:t>
          </w:r>
          <w:r>
            <w:tab/>
          </w:r>
          <w:r>
            <w:fldChar w:fldCharType="begin"/>
          </w:r>
          <w:r>
            <w:instrText xml:space="preserve"> PAGEREF _Toc15800 </w:instrText>
          </w:r>
          <w:r>
            <w:fldChar w:fldCharType="separate"/>
          </w:r>
          <w:r>
            <w:t>79</w:t>
          </w:r>
          <w:r>
            <w:fldChar w:fldCharType="end"/>
          </w:r>
          <w:r>
            <w:rPr>
              <w:szCs w:val="28"/>
            </w:rPr>
            <w:fldChar w:fldCharType="end"/>
          </w:r>
        </w:p>
        <w:p>
          <w:pPr>
            <w:pStyle w:val="23"/>
            <w:tabs>
              <w:tab w:val="right" w:leader="dot" w:pos="8844"/>
            </w:tabs>
          </w:pPr>
          <w:r>
            <w:rPr>
              <w:szCs w:val="28"/>
            </w:rPr>
            <w:fldChar w:fldCharType="begin"/>
          </w:r>
          <w:r>
            <w:rPr>
              <w:szCs w:val="28"/>
            </w:rPr>
            <w:instrText xml:space="preserve"> HYPERLINK \l _Toc15548 </w:instrText>
          </w:r>
          <w:r>
            <w:rPr>
              <w:szCs w:val="28"/>
            </w:rPr>
            <w:fldChar w:fldCharType="separate"/>
          </w:r>
          <w:r>
            <w:rPr>
              <w:rFonts w:hint="eastAsia" w:ascii="黑体" w:hAnsi="黑体"/>
            </w:rPr>
            <w:t>六、 全省安全风险防范预警子系统</w:t>
          </w:r>
          <w:r>
            <w:tab/>
          </w:r>
          <w:r>
            <w:fldChar w:fldCharType="begin"/>
          </w:r>
          <w:r>
            <w:instrText xml:space="preserve"> PAGEREF _Toc15548 </w:instrText>
          </w:r>
          <w:r>
            <w:fldChar w:fldCharType="separate"/>
          </w:r>
          <w:r>
            <w:t>81</w:t>
          </w:r>
          <w:r>
            <w:fldChar w:fldCharType="end"/>
          </w:r>
          <w:r>
            <w:rPr>
              <w:szCs w:val="28"/>
            </w:rPr>
            <w:fldChar w:fldCharType="end"/>
          </w:r>
        </w:p>
        <w:p>
          <w:pPr>
            <w:pStyle w:val="14"/>
            <w:tabs>
              <w:tab w:val="right" w:leader="dot" w:pos="8844"/>
            </w:tabs>
          </w:pPr>
          <w:r>
            <w:rPr>
              <w:szCs w:val="28"/>
            </w:rPr>
            <w:fldChar w:fldCharType="begin"/>
          </w:r>
          <w:r>
            <w:rPr>
              <w:szCs w:val="28"/>
            </w:rPr>
            <w:instrText xml:space="preserve"> HYPERLINK \l _Toc29251 </w:instrText>
          </w:r>
          <w:r>
            <w:rPr>
              <w:szCs w:val="28"/>
            </w:rPr>
            <w:fldChar w:fldCharType="separate"/>
          </w:r>
          <w:r>
            <w:rPr>
              <w:rFonts w:hint="eastAsia" w:ascii="楷体_GB2312" w:eastAsia="楷体_GB2312"/>
            </w:rPr>
            <w:t>(一) 一图</w:t>
          </w:r>
          <w:r>
            <w:tab/>
          </w:r>
          <w:r>
            <w:fldChar w:fldCharType="begin"/>
          </w:r>
          <w:r>
            <w:instrText xml:space="preserve"> PAGEREF _Toc29251 </w:instrText>
          </w:r>
          <w:r>
            <w:fldChar w:fldCharType="separate"/>
          </w:r>
          <w:r>
            <w:t>82</w:t>
          </w:r>
          <w:r>
            <w:fldChar w:fldCharType="end"/>
          </w:r>
          <w:r>
            <w:rPr>
              <w:szCs w:val="28"/>
            </w:rPr>
            <w:fldChar w:fldCharType="end"/>
          </w:r>
        </w:p>
        <w:p>
          <w:pPr>
            <w:pStyle w:val="14"/>
            <w:tabs>
              <w:tab w:val="right" w:leader="dot" w:pos="8844"/>
            </w:tabs>
          </w:pPr>
          <w:r>
            <w:rPr>
              <w:szCs w:val="28"/>
            </w:rPr>
            <w:fldChar w:fldCharType="begin"/>
          </w:r>
          <w:r>
            <w:rPr>
              <w:szCs w:val="28"/>
            </w:rPr>
            <w:instrText xml:space="preserve"> HYPERLINK \l _Toc30628 </w:instrText>
          </w:r>
          <w:r>
            <w:rPr>
              <w:szCs w:val="28"/>
            </w:rPr>
            <w:fldChar w:fldCharType="separate"/>
          </w:r>
          <w:r>
            <w:rPr>
              <w:rFonts w:hint="eastAsia" w:ascii="楷体_GB2312" w:eastAsia="楷体_GB2312"/>
            </w:rPr>
            <w:t>(二) 一指数</w:t>
          </w:r>
          <w:r>
            <w:tab/>
          </w:r>
          <w:r>
            <w:fldChar w:fldCharType="begin"/>
          </w:r>
          <w:r>
            <w:instrText xml:space="preserve"> PAGEREF _Toc30628 </w:instrText>
          </w:r>
          <w:r>
            <w:fldChar w:fldCharType="separate"/>
          </w:r>
          <w:r>
            <w:t>84</w:t>
          </w:r>
          <w:r>
            <w:fldChar w:fldCharType="end"/>
          </w:r>
          <w:r>
            <w:rPr>
              <w:szCs w:val="28"/>
            </w:rPr>
            <w:fldChar w:fldCharType="end"/>
          </w:r>
        </w:p>
        <w:p>
          <w:pPr>
            <w:pStyle w:val="14"/>
            <w:tabs>
              <w:tab w:val="right" w:leader="dot" w:pos="8844"/>
            </w:tabs>
          </w:pPr>
          <w:r>
            <w:rPr>
              <w:szCs w:val="28"/>
            </w:rPr>
            <w:fldChar w:fldCharType="begin"/>
          </w:r>
          <w:r>
            <w:rPr>
              <w:szCs w:val="28"/>
            </w:rPr>
            <w:instrText xml:space="preserve"> HYPERLINK \l _Toc31890 </w:instrText>
          </w:r>
          <w:r>
            <w:rPr>
              <w:szCs w:val="28"/>
            </w:rPr>
            <w:fldChar w:fldCharType="separate"/>
          </w:r>
          <w:r>
            <w:rPr>
              <w:rFonts w:hint="eastAsia" w:ascii="楷体_GB2312" w:eastAsia="楷体_GB2312"/>
            </w:rPr>
            <w:t>(三) 一清单</w:t>
          </w:r>
          <w:r>
            <w:tab/>
          </w:r>
          <w:r>
            <w:fldChar w:fldCharType="begin"/>
          </w:r>
          <w:r>
            <w:instrText xml:space="preserve"> PAGEREF _Toc31890 </w:instrText>
          </w:r>
          <w:r>
            <w:fldChar w:fldCharType="separate"/>
          </w:r>
          <w:r>
            <w:t>89</w:t>
          </w:r>
          <w:r>
            <w:fldChar w:fldCharType="end"/>
          </w:r>
          <w:r>
            <w:rPr>
              <w:szCs w:val="28"/>
            </w:rPr>
            <w:fldChar w:fldCharType="end"/>
          </w:r>
        </w:p>
        <w:p>
          <w:pPr>
            <w:pStyle w:val="14"/>
            <w:tabs>
              <w:tab w:val="right" w:leader="dot" w:pos="8844"/>
            </w:tabs>
          </w:pPr>
          <w:r>
            <w:rPr>
              <w:szCs w:val="28"/>
            </w:rPr>
            <w:fldChar w:fldCharType="begin"/>
          </w:r>
          <w:r>
            <w:rPr>
              <w:szCs w:val="28"/>
            </w:rPr>
            <w:instrText xml:space="preserve"> HYPERLINK \l _Toc22982 </w:instrText>
          </w:r>
          <w:r>
            <w:rPr>
              <w:szCs w:val="28"/>
            </w:rPr>
            <w:fldChar w:fldCharType="separate"/>
          </w:r>
          <w:r>
            <w:rPr>
              <w:rFonts w:hint="eastAsia" w:ascii="楷体_GB2312" w:eastAsia="楷体_GB2312"/>
            </w:rPr>
            <w:t>(四) 协同智治</w:t>
          </w:r>
          <w:r>
            <w:tab/>
          </w:r>
          <w:r>
            <w:fldChar w:fldCharType="begin"/>
          </w:r>
          <w:r>
            <w:instrText xml:space="preserve"> PAGEREF _Toc22982 </w:instrText>
          </w:r>
          <w:r>
            <w:fldChar w:fldCharType="separate"/>
          </w:r>
          <w:r>
            <w:t>90</w:t>
          </w:r>
          <w:r>
            <w:fldChar w:fldCharType="end"/>
          </w:r>
          <w:r>
            <w:rPr>
              <w:szCs w:val="28"/>
            </w:rPr>
            <w:fldChar w:fldCharType="end"/>
          </w:r>
        </w:p>
        <w:p>
          <w:pPr>
            <w:pStyle w:val="14"/>
            <w:tabs>
              <w:tab w:val="right" w:leader="dot" w:pos="8844"/>
            </w:tabs>
          </w:pPr>
          <w:r>
            <w:rPr>
              <w:szCs w:val="28"/>
            </w:rPr>
            <w:fldChar w:fldCharType="begin"/>
          </w:r>
          <w:r>
            <w:rPr>
              <w:szCs w:val="28"/>
            </w:rPr>
            <w:instrText xml:space="preserve"> HYPERLINK \l _Toc15524 </w:instrText>
          </w:r>
          <w:r>
            <w:rPr>
              <w:szCs w:val="28"/>
            </w:rPr>
            <w:fldChar w:fldCharType="separate"/>
          </w:r>
          <w:r>
            <w:rPr>
              <w:rFonts w:hint="eastAsia" w:ascii="楷体_GB2312" w:eastAsia="楷体_GB2312"/>
            </w:rPr>
            <w:t>(五) 一码通用</w:t>
          </w:r>
          <w:r>
            <w:tab/>
          </w:r>
          <w:r>
            <w:fldChar w:fldCharType="begin"/>
          </w:r>
          <w:r>
            <w:instrText xml:space="preserve"> PAGEREF _Toc15524 </w:instrText>
          </w:r>
          <w:r>
            <w:fldChar w:fldCharType="separate"/>
          </w:r>
          <w:r>
            <w:t>94</w:t>
          </w:r>
          <w:r>
            <w:fldChar w:fldCharType="end"/>
          </w:r>
          <w:r>
            <w:rPr>
              <w:szCs w:val="28"/>
            </w:rPr>
            <w:fldChar w:fldCharType="end"/>
          </w:r>
        </w:p>
        <w:p>
          <w:pPr>
            <w:pStyle w:val="23"/>
            <w:tabs>
              <w:tab w:val="right" w:leader="dot" w:pos="8844"/>
            </w:tabs>
          </w:pPr>
          <w:r>
            <w:rPr>
              <w:szCs w:val="28"/>
            </w:rPr>
            <w:fldChar w:fldCharType="begin"/>
          </w:r>
          <w:r>
            <w:rPr>
              <w:szCs w:val="28"/>
            </w:rPr>
            <w:instrText xml:space="preserve"> HYPERLINK \l _Toc10572 </w:instrText>
          </w:r>
          <w:r>
            <w:rPr>
              <w:szCs w:val="28"/>
            </w:rPr>
            <w:fldChar w:fldCharType="separate"/>
          </w:r>
          <w:r>
            <w:rPr>
              <w:rFonts w:hint="eastAsia"/>
            </w:rPr>
            <w:t xml:space="preserve">七、 </w:t>
          </w:r>
          <w:r>
            <w:rPr>
              <w:rFonts w:hint="eastAsia" w:ascii="黑体" w:hAnsi="黑体"/>
            </w:rPr>
            <w:t>八个智控应用场景</w:t>
          </w:r>
          <w:r>
            <w:tab/>
          </w:r>
          <w:r>
            <w:fldChar w:fldCharType="begin"/>
          </w:r>
          <w:r>
            <w:instrText xml:space="preserve"> PAGEREF _Toc10572 </w:instrText>
          </w:r>
          <w:r>
            <w:fldChar w:fldCharType="separate"/>
          </w:r>
          <w:r>
            <w:t>98</w:t>
          </w:r>
          <w:r>
            <w:fldChar w:fldCharType="end"/>
          </w:r>
          <w:r>
            <w:rPr>
              <w:szCs w:val="28"/>
            </w:rPr>
            <w:fldChar w:fldCharType="end"/>
          </w:r>
        </w:p>
        <w:p>
          <w:pPr>
            <w:pStyle w:val="14"/>
            <w:tabs>
              <w:tab w:val="right" w:leader="dot" w:pos="8844"/>
            </w:tabs>
          </w:pPr>
          <w:r>
            <w:rPr>
              <w:szCs w:val="28"/>
            </w:rPr>
            <w:fldChar w:fldCharType="begin"/>
          </w:r>
          <w:r>
            <w:rPr>
              <w:szCs w:val="28"/>
            </w:rPr>
            <w:instrText xml:space="preserve"> HYPERLINK \l _Toc21881 </w:instrText>
          </w:r>
          <w:r>
            <w:rPr>
              <w:szCs w:val="28"/>
            </w:rPr>
            <w:fldChar w:fldCharType="separate"/>
          </w:r>
          <w:r>
            <w:rPr>
              <w:rFonts w:hint="eastAsia" w:ascii="楷体_GB2312" w:eastAsia="楷体_GB2312"/>
            </w:rPr>
            <w:t>(一) 锅炉风险智控应用场景</w:t>
          </w:r>
          <w:r>
            <w:tab/>
          </w:r>
          <w:r>
            <w:fldChar w:fldCharType="begin"/>
          </w:r>
          <w:r>
            <w:instrText xml:space="preserve"> PAGEREF _Toc21881 </w:instrText>
          </w:r>
          <w:r>
            <w:fldChar w:fldCharType="separate"/>
          </w:r>
          <w:r>
            <w:t>98</w:t>
          </w:r>
          <w:r>
            <w:fldChar w:fldCharType="end"/>
          </w:r>
          <w:r>
            <w:rPr>
              <w:szCs w:val="28"/>
            </w:rPr>
            <w:fldChar w:fldCharType="end"/>
          </w:r>
        </w:p>
        <w:p>
          <w:pPr>
            <w:pStyle w:val="14"/>
            <w:tabs>
              <w:tab w:val="right" w:leader="dot" w:pos="8844"/>
            </w:tabs>
          </w:pPr>
          <w:r>
            <w:rPr>
              <w:szCs w:val="28"/>
            </w:rPr>
            <w:fldChar w:fldCharType="begin"/>
          </w:r>
          <w:r>
            <w:rPr>
              <w:szCs w:val="28"/>
            </w:rPr>
            <w:instrText xml:space="preserve"> HYPERLINK \l _Toc9395 </w:instrText>
          </w:r>
          <w:r>
            <w:rPr>
              <w:szCs w:val="28"/>
            </w:rPr>
            <w:fldChar w:fldCharType="separate"/>
          </w:r>
          <w:r>
            <w:rPr>
              <w:rFonts w:hint="eastAsia" w:ascii="楷体_GB2312" w:eastAsia="楷体_GB2312"/>
            </w:rPr>
            <w:t>(二) 压力容器智控系统应用场景</w:t>
          </w:r>
          <w:r>
            <w:tab/>
          </w:r>
          <w:r>
            <w:fldChar w:fldCharType="begin"/>
          </w:r>
          <w:r>
            <w:instrText xml:space="preserve"> PAGEREF _Toc9395 </w:instrText>
          </w:r>
          <w:r>
            <w:fldChar w:fldCharType="separate"/>
          </w:r>
          <w:r>
            <w:t>106</w:t>
          </w:r>
          <w:r>
            <w:fldChar w:fldCharType="end"/>
          </w:r>
          <w:r>
            <w:rPr>
              <w:szCs w:val="28"/>
            </w:rPr>
            <w:fldChar w:fldCharType="end"/>
          </w:r>
        </w:p>
        <w:p>
          <w:pPr>
            <w:pStyle w:val="14"/>
            <w:tabs>
              <w:tab w:val="right" w:leader="dot" w:pos="8844"/>
            </w:tabs>
          </w:pPr>
          <w:r>
            <w:rPr>
              <w:szCs w:val="28"/>
            </w:rPr>
            <w:fldChar w:fldCharType="begin"/>
          </w:r>
          <w:r>
            <w:rPr>
              <w:szCs w:val="28"/>
            </w:rPr>
            <w:instrText xml:space="preserve"> HYPERLINK \l _Toc32050 </w:instrText>
          </w:r>
          <w:r>
            <w:rPr>
              <w:szCs w:val="28"/>
            </w:rPr>
            <w:fldChar w:fldCharType="separate"/>
          </w:r>
          <w:r>
            <w:rPr>
              <w:rFonts w:hint="eastAsia"/>
            </w:rPr>
            <w:t xml:space="preserve">(三) </w:t>
          </w:r>
          <w:r>
            <w:rPr>
              <w:rFonts w:hint="eastAsia" w:ascii="楷体_GB2312" w:eastAsia="楷体_GB2312"/>
            </w:rPr>
            <w:t>压力管道风险智控应用场景</w:t>
          </w:r>
          <w:r>
            <w:tab/>
          </w:r>
          <w:r>
            <w:fldChar w:fldCharType="begin"/>
          </w:r>
          <w:r>
            <w:instrText xml:space="preserve"> PAGEREF _Toc32050 </w:instrText>
          </w:r>
          <w:r>
            <w:fldChar w:fldCharType="separate"/>
          </w:r>
          <w:r>
            <w:t>125</w:t>
          </w:r>
          <w:r>
            <w:fldChar w:fldCharType="end"/>
          </w:r>
          <w:r>
            <w:rPr>
              <w:szCs w:val="28"/>
            </w:rPr>
            <w:fldChar w:fldCharType="end"/>
          </w:r>
        </w:p>
        <w:p>
          <w:pPr>
            <w:pStyle w:val="14"/>
            <w:tabs>
              <w:tab w:val="right" w:leader="dot" w:pos="8844"/>
            </w:tabs>
          </w:pPr>
          <w:r>
            <w:rPr>
              <w:szCs w:val="28"/>
            </w:rPr>
            <w:fldChar w:fldCharType="begin"/>
          </w:r>
          <w:r>
            <w:rPr>
              <w:szCs w:val="28"/>
            </w:rPr>
            <w:instrText xml:space="preserve"> HYPERLINK \l _Toc7395 </w:instrText>
          </w:r>
          <w:r>
            <w:rPr>
              <w:szCs w:val="28"/>
            </w:rPr>
            <w:fldChar w:fldCharType="separate"/>
          </w:r>
          <w:r>
            <w:rPr>
              <w:rFonts w:hint="eastAsia" w:ascii="楷体_GB2312" w:eastAsia="楷体_GB2312"/>
            </w:rPr>
            <w:t>(四) 电梯风险智控应用场景</w:t>
          </w:r>
          <w:r>
            <w:tab/>
          </w:r>
          <w:r>
            <w:fldChar w:fldCharType="begin"/>
          </w:r>
          <w:r>
            <w:instrText xml:space="preserve"> PAGEREF _Toc7395 </w:instrText>
          </w:r>
          <w:r>
            <w:fldChar w:fldCharType="separate"/>
          </w:r>
          <w:r>
            <w:t>133</w:t>
          </w:r>
          <w:r>
            <w:fldChar w:fldCharType="end"/>
          </w:r>
          <w:r>
            <w:rPr>
              <w:szCs w:val="28"/>
            </w:rPr>
            <w:fldChar w:fldCharType="end"/>
          </w:r>
        </w:p>
        <w:p>
          <w:pPr>
            <w:pStyle w:val="14"/>
            <w:tabs>
              <w:tab w:val="right" w:leader="dot" w:pos="8844"/>
            </w:tabs>
          </w:pPr>
          <w:r>
            <w:rPr>
              <w:szCs w:val="28"/>
            </w:rPr>
            <w:fldChar w:fldCharType="begin"/>
          </w:r>
          <w:r>
            <w:rPr>
              <w:szCs w:val="28"/>
            </w:rPr>
            <w:instrText xml:space="preserve"> HYPERLINK \l _Toc3892 </w:instrText>
          </w:r>
          <w:r>
            <w:rPr>
              <w:szCs w:val="28"/>
            </w:rPr>
            <w:fldChar w:fldCharType="separate"/>
          </w:r>
          <w:r>
            <w:rPr>
              <w:rFonts w:hint="eastAsia" w:ascii="楷体_GB2312" w:eastAsia="楷体_GB2312"/>
            </w:rPr>
            <w:t>(五) 起重机械风险智控应用场景</w:t>
          </w:r>
          <w:r>
            <w:tab/>
          </w:r>
          <w:r>
            <w:fldChar w:fldCharType="begin"/>
          </w:r>
          <w:r>
            <w:instrText xml:space="preserve"> PAGEREF _Toc3892 </w:instrText>
          </w:r>
          <w:r>
            <w:fldChar w:fldCharType="separate"/>
          </w:r>
          <w:r>
            <w:t>141</w:t>
          </w:r>
          <w:r>
            <w:fldChar w:fldCharType="end"/>
          </w:r>
          <w:r>
            <w:rPr>
              <w:szCs w:val="28"/>
            </w:rPr>
            <w:fldChar w:fldCharType="end"/>
          </w:r>
        </w:p>
        <w:p>
          <w:pPr>
            <w:pStyle w:val="14"/>
            <w:tabs>
              <w:tab w:val="right" w:leader="dot" w:pos="8844"/>
            </w:tabs>
          </w:pPr>
          <w:r>
            <w:rPr>
              <w:szCs w:val="28"/>
            </w:rPr>
            <w:fldChar w:fldCharType="begin"/>
          </w:r>
          <w:r>
            <w:rPr>
              <w:szCs w:val="28"/>
            </w:rPr>
            <w:instrText xml:space="preserve"> HYPERLINK \l _Toc7491 </w:instrText>
          </w:r>
          <w:r>
            <w:rPr>
              <w:szCs w:val="28"/>
            </w:rPr>
            <w:fldChar w:fldCharType="separate"/>
          </w:r>
          <w:r>
            <w:rPr>
              <w:rFonts w:hint="eastAsia" w:ascii="楷体_GB2312" w:eastAsia="楷体_GB2312"/>
            </w:rPr>
            <w:t>(六) 客运索道风险智控应用场景</w:t>
          </w:r>
          <w:r>
            <w:tab/>
          </w:r>
          <w:r>
            <w:fldChar w:fldCharType="begin"/>
          </w:r>
          <w:r>
            <w:instrText xml:space="preserve"> PAGEREF _Toc7491 </w:instrText>
          </w:r>
          <w:r>
            <w:fldChar w:fldCharType="separate"/>
          </w:r>
          <w:r>
            <w:t>151</w:t>
          </w:r>
          <w:r>
            <w:fldChar w:fldCharType="end"/>
          </w:r>
          <w:r>
            <w:rPr>
              <w:szCs w:val="28"/>
            </w:rPr>
            <w:fldChar w:fldCharType="end"/>
          </w:r>
        </w:p>
        <w:p>
          <w:pPr>
            <w:pStyle w:val="14"/>
            <w:tabs>
              <w:tab w:val="right" w:leader="dot" w:pos="8844"/>
            </w:tabs>
          </w:pPr>
          <w:r>
            <w:rPr>
              <w:szCs w:val="28"/>
            </w:rPr>
            <w:fldChar w:fldCharType="begin"/>
          </w:r>
          <w:r>
            <w:rPr>
              <w:szCs w:val="28"/>
            </w:rPr>
            <w:instrText xml:space="preserve"> HYPERLINK \l _Toc30848 </w:instrText>
          </w:r>
          <w:r>
            <w:rPr>
              <w:szCs w:val="28"/>
            </w:rPr>
            <w:fldChar w:fldCharType="separate"/>
          </w:r>
          <w:r>
            <w:rPr>
              <w:rFonts w:hint="eastAsia" w:ascii="楷体_GB2312" w:eastAsia="楷体_GB2312"/>
            </w:rPr>
            <w:t>(七) 大型游乐设施智控应用场景</w:t>
          </w:r>
          <w:r>
            <w:tab/>
          </w:r>
          <w:r>
            <w:fldChar w:fldCharType="begin"/>
          </w:r>
          <w:r>
            <w:instrText xml:space="preserve"> PAGEREF _Toc30848 </w:instrText>
          </w:r>
          <w:r>
            <w:fldChar w:fldCharType="separate"/>
          </w:r>
          <w:r>
            <w:t>158</w:t>
          </w:r>
          <w:r>
            <w:fldChar w:fldCharType="end"/>
          </w:r>
          <w:r>
            <w:rPr>
              <w:szCs w:val="28"/>
            </w:rPr>
            <w:fldChar w:fldCharType="end"/>
          </w:r>
        </w:p>
        <w:p>
          <w:pPr>
            <w:pStyle w:val="14"/>
            <w:tabs>
              <w:tab w:val="right" w:leader="dot" w:pos="8844"/>
            </w:tabs>
          </w:pPr>
          <w:r>
            <w:rPr>
              <w:szCs w:val="28"/>
            </w:rPr>
            <w:fldChar w:fldCharType="begin"/>
          </w:r>
          <w:r>
            <w:rPr>
              <w:szCs w:val="28"/>
            </w:rPr>
            <w:instrText xml:space="preserve"> HYPERLINK \l _Toc31038 </w:instrText>
          </w:r>
          <w:r>
            <w:rPr>
              <w:szCs w:val="28"/>
            </w:rPr>
            <w:fldChar w:fldCharType="separate"/>
          </w:r>
          <w:r>
            <w:rPr>
              <w:rFonts w:hint="eastAsia" w:ascii="楷体_GB2312" w:eastAsia="楷体_GB2312"/>
            </w:rPr>
            <w:t>(八) 场（厂）内专用机动车辆风险智控应用场景</w:t>
          </w:r>
          <w:r>
            <w:tab/>
          </w:r>
          <w:r>
            <w:fldChar w:fldCharType="begin"/>
          </w:r>
          <w:r>
            <w:instrText xml:space="preserve"> PAGEREF _Toc31038 </w:instrText>
          </w:r>
          <w:r>
            <w:fldChar w:fldCharType="separate"/>
          </w:r>
          <w:r>
            <w:t>168</w:t>
          </w:r>
          <w:r>
            <w:fldChar w:fldCharType="end"/>
          </w:r>
          <w:r>
            <w:rPr>
              <w:szCs w:val="28"/>
            </w:rPr>
            <w:fldChar w:fldCharType="end"/>
          </w:r>
        </w:p>
        <w:p>
          <w:pPr>
            <w:pStyle w:val="20"/>
            <w:tabs>
              <w:tab w:val="right" w:leader="dot" w:pos="8844"/>
            </w:tabs>
          </w:pPr>
          <w:r>
            <w:rPr>
              <w:szCs w:val="28"/>
            </w:rPr>
            <w:fldChar w:fldCharType="begin"/>
          </w:r>
          <w:r>
            <w:rPr>
              <w:szCs w:val="28"/>
            </w:rPr>
            <w:instrText xml:space="preserve"> HYPERLINK \l _Toc6038 </w:instrText>
          </w:r>
          <w:r>
            <w:rPr>
              <w:szCs w:val="28"/>
            </w:rPr>
            <w:fldChar w:fldCharType="separate"/>
          </w:r>
          <w:r>
            <w:rPr>
              <w:rFonts w:hint="eastAsia" w:ascii="方正小标宋简体" w:eastAsia="方正小标宋简体"/>
            </w:rPr>
            <w:t>保障措施</w:t>
          </w:r>
          <w:r>
            <w:tab/>
          </w:r>
          <w:r>
            <w:fldChar w:fldCharType="begin"/>
          </w:r>
          <w:r>
            <w:instrText xml:space="preserve"> PAGEREF _Toc6038 </w:instrText>
          </w:r>
          <w:r>
            <w:fldChar w:fldCharType="separate"/>
          </w:r>
          <w:r>
            <w:t>178</w:t>
          </w:r>
          <w:r>
            <w:fldChar w:fldCharType="end"/>
          </w:r>
          <w:r>
            <w:rPr>
              <w:szCs w:val="28"/>
            </w:rPr>
            <w:fldChar w:fldCharType="end"/>
          </w:r>
        </w:p>
        <w:p>
          <w:pPr>
            <w:pStyle w:val="14"/>
            <w:tabs>
              <w:tab w:val="right" w:leader="dot" w:pos="8844"/>
            </w:tabs>
          </w:pPr>
          <w:r>
            <w:rPr>
              <w:szCs w:val="28"/>
            </w:rPr>
            <w:fldChar w:fldCharType="begin"/>
          </w:r>
          <w:r>
            <w:rPr>
              <w:szCs w:val="28"/>
            </w:rPr>
            <w:instrText xml:space="preserve"> HYPERLINK \l _Toc4877 </w:instrText>
          </w:r>
          <w:r>
            <w:rPr>
              <w:szCs w:val="28"/>
            </w:rPr>
            <w:fldChar w:fldCharType="separate"/>
          </w:r>
          <w:r>
            <w:rPr>
              <w:rFonts w:hint="eastAsia" w:ascii="楷体_GB2312" w:eastAsia="楷体_GB2312"/>
            </w:rPr>
            <w:t>(一) 加强组织领导</w:t>
          </w:r>
          <w:r>
            <w:tab/>
          </w:r>
          <w:r>
            <w:fldChar w:fldCharType="begin"/>
          </w:r>
          <w:r>
            <w:instrText xml:space="preserve"> PAGEREF _Toc4877 </w:instrText>
          </w:r>
          <w:r>
            <w:fldChar w:fldCharType="separate"/>
          </w:r>
          <w:r>
            <w:t>178</w:t>
          </w:r>
          <w:r>
            <w:fldChar w:fldCharType="end"/>
          </w:r>
          <w:r>
            <w:rPr>
              <w:szCs w:val="28"/>
            </w:rPr>
            <w:fldChar w:fldCharType="end"/>
          </w:r>
        </w:p>
        <w:p>
          <w:pPr>
            <w:pStyle w:val="14"/>
            <w:tabs>
              <w:tab w:val="right" w:leader="dot" w:pos="8844"/>
            </w:tabs>
          </w:pPr>
          <w:r>
            <w:rPr>
              <w:szCs w:val="28"/>
            </w:rPr>
            <w:fldChar w:fldCharType="begin"/>
          </w:r>
          <w:r>
            <w:rPr>
              <w:szCs w:val="28"/>
            </w:rPr>
            <w:instrText xml:space="preserve"> HYPERLINK \l _Toc13466 </w:instrText>
          </w:r>
          <w:r>
            <w:rPr>
              <w:szCs w:val="28"/>
            </w:rPr>
            <w:fldChar w:fldCharType="separate"/>
          </w:r>
          <w:r>
            <w:rPr>
              <w:rFonts w:hint="eastAsia" w:ascii="楷体_GB2312" w:eastAsia="楷体_GB2312"/>
            </w:rPr>
            <w:t>(二) 加强顶层设计</w:t>
          </w:r>
          <w:r>
            <w:tab/>
          </w:r>
          <w:r>
            <w:fldChar w:fldCharType="begin"/>
          </w:r>
          <w:r>
            <w:instrText xml:space="preserve"> PAGEREF _Toc13466 </w:instrText>
          </w:r>
          <w:r>
            <w:fldChar w:fldCharType="separate"/>
          </w:r>
          <w:r>
            <w:t>178</w:t>
          </w:r>
          <w:r>
            <w:fldChar w:fldCharType="end"/>
          </w:r>
          <w:r>
            <w:rPr>
              <w:szCs w:val="28"/>
            </w:rPr>
            <w:fldChar w:fldCharType="end"/>
          </w:r>
        </w:p>
        <w:p>
          <w:pPr>
            <w:pStyle w:val="14"/>
            <w:tabs>
              <w:tab w:val="right" w:leader="dot" w:pos="8844"/>
            </w:tabs>
          </w:pPr>
          <w:r>
            <w:rPr>
              <w:szCs w:val="28"/>
            </w:rPr>
            <w:fldChar w:fldCharType="begin"/>
          </w:r>
          <w:r>
            <w:rPr>
              <w:szCs w:val="28"/>
            </w:rPr>
            <w:instrText xml:space="preserve"> HYPERLINK \l _Toc3530 </w:instrText>
          </w:r>
          <w:r>
            <w:rPr>
              <w:szCs w:val="28"/>
            </w:rPr>
            <w:fldChar w:fldCharType="separate"/>
          </w:r>
          <w:r>
            <w:rPr>
              <w:rFonts w:hint="eastAsia" w:ascii="楷体_GB2312" w:eastAsia="楷体_GB2312"/>
            </w:rPr>
            <w:t>(三) 系统协同推进</w:t>
          </w:r>
          <w:r>
            <w:tab/>
          </w:r>
          <w:r>
            <w:fldChar w:fldCharType="begin"/>
          </w:r>
          <w:r>
            <w:instrText xml:space="preserve"> PAGEREF _Toc3530 </w:instrText>
          </w:r>
          <w:r>
            <w:fldChar w:fldCharType="separate"/>
          </w:r>
          <w:r>
            <w:t>178</w:t>
          </w:r>
          <w:r>
            <w:fldChar w:fldCharType="end"/>
          </w:r>
          <w:r>
            <w:rPr>
              <w:szCs w:val="28"/>
            </w:rPr>
            <w:fldChar w:fldCharType="end"/>
          </w:r>
        </w:p>
        <w:p>
          <w:pPr>
            <w:pStyle w:val="14"/>
            <w:tabs>
              <w:tab w:val="right" w:leader="dot" w:pos="8844"/>
            </w:tabs>
          </w:pPr>
          <w:r>
            <w:rPr>
              <w:szCs w:val="28"/>
            </w:rPr>
            <w:fldChar w:fldCharType="begin"/>
          </w:r>
          <w:r>
            <w:rPr>
              <w:szCs w:val="28"/>
            </w:rPr>
            <w:instrText xml:space="preserve"> HYPERLINK \l _Toc7073 </w:instrText>
          </w:r>
          <w:r>
            <w:rPr>
              <w:szCs w:val="28"/>
            </w:rPr>
            <w:fldChar w:fldCharType="separate"/>
          </w:r>
          <w:r>
            <w:rPr>
              <w:rFonts w:hint="eastAsia" w:ascii="楷体_GB2312" w:eastAsia="楷体_GB2312"/>
            </w:rPr>
            <w:t>(四) 强化考核评价</w:t>
          </w:r>
          <w:r>
            <w:tab/>
          </w:r>
          <w:r>
            <w:fldChar w:fldCharType="begin"/>
          </w:r>
          <w:r>
            <w:instrText xml:space="preserve"> PAGEREF _Toc7073 </w:instrText>
          </w:r>
          <w:r>
            <w:fldChar w:fldCharType="separate"/>
          </w:r>
          <w:r>
            <w:t>178</w:t>
          </w:r>
          <w:r>
            <w:fldChar w:fldCharType="end"/>
          </w:r>
          <w:r>
            <w:rPr>
              <w:szCs w:val="28"/>
            </w:rPr>
            <w:fldChar w:fldCharType="end"/>
          </w:r>
        </w:p>
        <w:p>
          <w:pPr>
            <w:pStyle w:val="14"/>
            <w:tabs>
              <w:tab w:val="right" w:leader="dot" w:pos="8844"/>
            </w:tabs>
          </w:pPr>
          <w:r>
            <w:rPr>
              <w:szCs w:val="28"/>
            </w:rPr>
            <w:fldChar w:fldCharType="begin"/>
          </w:r>
          <w:r>
            <w:rPr>
              <w:szCs w:val="28"/>
            </w:rPr>
            <w:instrText xml:space="preserve"> HYPERLINK \l _Toc27923 </w:instrText>
          </w:r>
          <w:r>
            <w:rPr>
              <w:szCs w:val="28"/>
            </w:rPr>
            <w:fldChar w:fldCharType="separate"/>
          </w:r>
          <w:r>
            <w:rPr>
              <w:rFonts w:hint="eastAsia" w:ascii="楷体_GB2312" w:eastAsia="楷体_GB2312"/>
            </w:rPr>
            <w:t>(五) 保障数据质量</w:t>
          </w:r>
          <w:r>
            <w:tab/>
          </w:r>
          <w:r>
            <w:fldChar w:fldCharType="begin"/>
          </w:r>
          <w:r>
            <w:instrText xml:space="preserve"> PAGEREF _Toc27923 </w:instrText>
          </w:r>
          <w:r>
            <w:fldChar w:fldCharType="separate"/>
          </w:r>
          <w:r>
            <w:t>179</w:t>
          </w:r>
          <w:r>
            <w:fldChar w:fldCharType="end"/>
          </w:r>
          <w:r>
            <w:rPr>
              <w:szCs w:val="28"/>
            </w:rPr>
            <w:fldChar w:fldCharType="end"/>
          </w:r>
        </w:p>
        <w:p>
          <w:pPr>
            <w:pStyle w:val="14"/>
            <w:tabs>
              <w:tab w:val="right" w:leader="dot" w:pos="8844"/>
            </w:tabs>
          </w:pPr>
          <w:r>
            <w:rPr>
              <w:szCs w:val="28"/>
            </w:rPr>
            <w:fldChar w:fldCharType="begin"/>
          </w:r>
          <w:r>
            <w:rPr>
              <w:szCs w:val="28"/>
            </w:rPr>
            <w:instrText xml:space="preserve"> HYPERLINK \l _Toc29254 </w:instrText>
          </w:r>
          <w:r>
            <w:rPr>
              <w:szCs w:val="28"/>
            </w:rPr>
            <w:fldChar w:fldCharType="separate"/>
          </w:r>
          <w:r>
            <w:rPr>
              <w:rFonts w:hint="eastAsia" w:ascii="楷体_GB2312" w:eastAsia="楷体_GB2312"/>
            </w:rPr>
            <w:t>(六) 保护数据安全</w:t>
          </w:r>
          <w:r>
            <w:tab/>
          </w:r>
          <w:r>
            <w:fldChar w:fldCharType="begin"/>
          </w:r>
          <w:r>
            <w:instrText xml:space="preserve"> PAGEREF _Toc29254 </w:instrText>
          </w:r>
          <w:r>
            <w:fldChar w:fldCharType="separate"/>
          </w:r>
          <w:r>
            <w:t>179</w:t>
          </w:r>
          <w:r>
            <w:fldChar w:fldCharType="end"/>
          </w:r>
          <w:r>
            <w:rPr>
              <w:szCs w:val="28"/>
            </w:rPr>
            <w:fldChar w:fldCharType="end"/>
          </w:r>
        </w:p>
        <w:p>
          <w:pPr>
            <w:pStyle w:val="20"/>
            <w:tabs>
              <w:tab w:val="right" w:leader="dot" w:pos="8844"/>
            </w:tabs>
          </w:pPr>
          <w:r>
            <w:rPr>
              <w:szCs w:val="28"/>
            </w:rPr>
            <w:fldChar w:fldCharType="begin"/>
          </w:r>
          <w:r>
            <w:rPr>
              <w:szCs w:val="28"/>
            </w:rPr>
            <w:instrText xml:space="preserve"> HYPERLINK \l _Toc30406 </w:instrText>
          </w:r>
          <w:r>
            <w:rPr>
              <w:szCs w:val="28"/>
            </w:rPr>
            <w:fldChar w:fldCharType="separate"/>
          </w:r>
          <w:r>
            <w:rPr>
              <w:rFonts w:hint="eastAsia"/>
            </w:rPr>
            <w:t>实施进度安排</w:t>
          </w:r>
          <w:r>
            <w:tab/>
          </w:r>
          <w:r>
            <w:fldChar w:fldCharType="begin"/>
          </w:r>
          <w:r>
            <w:instrText xml:space="preserve"> PAGEREF _Toc30406 </w:instrText>
          </w:r>
          <w:r>
            <w:fldChar w:fldCharType="separate"/>
          </w:r>
          <w:r>
            <w:t>180</w:t>
          </w:r>
          <w:r>
            <w:fldChar w:fldCharType="end"/>
          </w:r>
          <w:r>
            <w:rPr>
              <w:szCs w:val="28"/>
            </w:rPr>
            <w:fldChar w:fldCharType="end"/>
          </w:r>
        </w:p>
        <w:p>
          <w:pPr>
            <w:ind w:left="141" w:leftChars="44" w:firstLine="1209" w:firstLineChars="378"/>
            <w:rPr>
              <w:sz w:val="24"/>
            </w:rPr>
            <w:sectPr>
              <w:headerReference r:id="rId9" w:type="default"/>
              <w:footerReference r:id="rId10" w:type="default"/>
              <w:pgSz w:w="11906" w:h="16838"/>
              <w:pgMar w:top="2098" w:right="1474" w:bottom="1985" w:left="1588" w:header="851" w:footer="992" w:gutter="0"/>
              <w:pgNumType w:fmt="numberInDash"/>
              <w:cols w:space="425" w:num="1"/>
              <w:docGrid w:type="lines" w:linePitch="312" w:charSpace="0"/>
            </w:sectPr>
          </w:pPr>
          <w:r>
            <w:rPr>
              <w:szCs w:val="28"/>
            </w:rPr>
            <w:fldChar w:fldCharType="end"/>
          </w:r>
        </w:p>
      </w:sdtContent>
    </w:sdt>
    <w:bookmarkEnd w:id="0"/>
    <w:p>
      <w:pPr>
        <w:pStyle w:val="2"/>
        <w:ind w:firstLine="0" w:firstLineChars="0"/>
        <w:rPr>
          <w:rFonts w:ascii="方正小标宋简体" w:eastAsia="方正小标宋简体"/>
          <w:b w:val="0"/>
        </w:rPr>
      </w:pPr>
      <w:bookmarkStart w:id="1" w:name="_Toc5076"/>
      <w:bookmarkStart w:id="2" w:name="_Toc25523"/>
      <w:bookmarkStart w:id="3" w:name="_Toc14798"/>
      <w:bookmarkStart w:id="4" w:name="_Toc10563"/>
      <w:r>
        <w:rPr>
          <w:rFonts w:hint="eastAsia" w:ascii="方正小标宋简体" w:eastAsia="方正小标宋简体"/>
          <w:b w:val="0"/>
        </w:rPr>
        <w:t xml:space="preserve">前 </w:t>
      </w:r>
      <w:r>
        <w:rPr>
          <w:rFonts w:ascii="方正小标宋简体" w:eastAsia="方正小标宋简体"/>
          <w:b w:val="0"/>
        </w:rPr>
        <w:t xml:space="preserve"> </w:t>
      </w:r>
      <w:r>
        <w:rPr>
          <w:rFonts w:hint="eastAsia" w:ascii="方正小标宋简体" w:eastAsia="方正小标宋简体"/>
          <w:b w:val="0"/>
        </w:rPr>
        <w:t>言</w:t>
      </w:r>
      <w:bookmarkEnd w:id="1"/>
      <w:bookmarkEnd w:id="2"/>
      <w:bookmarkEnd w:id="3"/>
      <w:bookmarkEnd w:id="4"/>
    </w:p>
    <w:p>
      <w:pPr>
        <w:ind w:firstLine="640"/>
        <w:rPr>
          <w:rFonts w:ascii="仿宋_GB2312"/>
          <w:color w:val="000000" w:themeColor="text1"/>
          <w:szCs w:val="32"/>
          <w14:textFill>
            <w14:solidFill>
              <w14:schemeClr w14:val="tx1"/>
            </w14:solidFill>
          </w14:textFill>
        </w:rPr>
      </w:pPr>
      <w:r>
        <w:rPr>
          <w:rFonts w:hint="eastAsia" w:ascii="仿宋_GB2312"/>
          <w:color w:val="000000" w:themeColor="text1"/>
          <w:szCs w:val="32"/>
          <w14:textFill>
            <w14:solidFill>
              <w14:schemeClr w14:val="tx1"/>
            </w14:solidFill>
          </w14:textFill>
        </w:rPr>
        <w:t>目前，大型化、高参数、高危险性特种设备不断增加，老旧设备也越来越多，一旦发生事故，后果极其严重。比如，到</w:t>
      </w:r>
      <w:r>
        <w:rPr>
          <w:rFonts w:cs="Times New Roman"/>
          <w:color w:val="000000" w:themeColor="text1"/>
          <w:szCs w:val="32"/>
          <w14:textFill>
            <w14:solidFill>
              <w14:schemeClr w14:val="tx1"/>
            </w14:solidFill>
          </w14:textFill>
        </w:rPr>
        <w:t>2020</w:t>
      </w:r>
      <w:r>
        <w:rPr>
          <w:rFonts w:hint="eastAsia" w:ascii="仿宋_GB2312"/>
          <w:color w:val="000000" w:themeColor="text1"/>
          <w:szCs w:val="32"/>
          <w14:textFill>
            <w14:solidFill>
              <w14:schemeClr w14:val="tx1"/>
            </w14:solidFill>
          </w14:textFill>
        </w:rPr>
        <w:t>年底，我省</w:t>
      </w:r>
      <w:r>
        <w:rPr>
          <w:rFonts w:cs="Times New Roman"/>
          <w:color w:val="000000" w:themeColor="text1"/>
          <w:szCs w:val="32"/>
          <w14:textFill>
            <w14:solidFill>
              <w14:schemeClr w14:val="tx1"/>
            </w14:solidFill>
          </w14:textFill>
        </w:rPr>
        <w:t>15</w:t>
      </w:r>
      <w:r>
        <w:rPr>
          <w:rFonts w:hint="eastAsia" w:ascii="仿宋_GB2312"/>
          <w:color w:val="000000" w:themeColor="text1"/>
          <w:szCs w:val="32"/>
          <w14:textFill>
            <w14:solidFill>
              <w14:schemeClr w14:val="tx1"/>
            </w14:solidFill>
          </w14:textFill>
        </w:rPr>
        <w:t>年以上老旧电梯数量将达到</w:t>
      </w:r>
      <w:r>
        <w:rPr>
          <w:rFonts w:cs="Times New Roman"/>
          <w:color w:val="000000" w:themeColor="text1"/>
          <w:szCs w:val="32"/>
          <w14:textFill>
            <w14:solidFill>
              <w14:schemeClr w14:val="tx1"/>
            </w14:solidFill>
          </w14:textFill>
        </w:rPr>
        <w:t>5.7</w:t>
      </w:r>
      <w:r>
        <w:rPr>
          <w:rFonts w:hint="eastAsia" w:ascii="仿宋_GB2312"/>
          <w:color w:val="000000" w:themeColor="text1"/>
          <w:szCs w:val="32"/>
          <w14:textFill>
            <w14:solidFill>
              <w14:schemeClr w14:val="tx1"/>
            </w14:solidFill>
          </w14:textFill>
        </w:rPr>
        <w:t>万台左右；正在建设中的浙江石化渔山岛千万吨级石化企业，压力容器的规模和数量前所未有；国家支持氢能发展，高压储氢装置的安全性有待进一步验证；大型游乐设施不断推出新、奇、特设备，具有高空、高速、高风险的特点。同时，随着经济发展和人们生活水平的不断提高，特种设备对经济建设和生产生活的覆盖面和影响越来越大，电梯、大型游乐设施等特种设备涉及公共安全，与人民群众利益直接相关，社会敏感度高，容易酿成重大负面影响事件。</w:t>
      </w:r>
    </w:p>
    <w:p>
      <w:pPr>
        <w:ind w:firstLine="640"/>
        <w:rPr>
          <w:rFonts w:ascii="仿宋_GB2312" w:hAnsi="仿宋_GB2312" w:cs="仿宋_GB2312"/>
          <w:szCs w:val="32"/>
        </w:rPr>
      </w:pPr>
      <w:r>
        <w:rPr>
          <w:rFonts w:hint="eastAsia" w:ascii="仿宋_GB2312"/>
          <w:color w:val="000000" w:themeColor="text1"/>
          <w:szCs w:val="32"/>
          <w14:textFill>
            <w14:solidFill>
              <w14:schemeClr w14:val="tx1"/>
            </w14:solidFill>
          </w14:textFill>
        </w:rPr>
        <w:t>近年来，我省乃至全国特种设备安全形势保持总体平稳态势。但是，进入新发展阶段，面对当前我省特种设备安全形势及存在的问题，迫切需要以数字化变革为抓手，进一步完善“系统性、整体性、协同性”的特种设备安全治理体系，逐步提升“内容动态化、方式多样化、手段智慧化”的特种设备安全治理能力，着力解决“设备的不稳定状态、人员的不安全行为、环境的不确定因素”等突出问题，加快推进特种设备安全全周期监管“一件事”改革已势在必行。</w:t>
      </w:r>
      <w:r>
        <w:rPr>
          <w:rFonts w:ascii="仿宋_GB2312" w:hAnsi="仿宋_GB2312" w:cs="仿宋_GB2312"/>
          <w:szCs w:val="32"/>
        </w:rPr>
        <w:br w:type="page"/>
      </w:r>
    </w:p>
    <w:p>
      <w:pPr>
        <w:pStyle w:val="2"/>
        <w:ind w:firstLine="0" w:firstLineChars="0"/>
        <w:rPr>
          <w:rFonts w:ascii="方正小标宋简体" w:eastAsia="方正小标宋简体"/>
          <w:b w:val="0"/>
        </w:rPr>
      </w:pPr>
      <w:bookmarkStart w:id="5" w:name="_Toc26689"/>
      <w:bookmarkStart w:id="6" w:name="_Toc17297"/>
      <w:bookmarkStart w:id="7" w:name="_Toc2584"/>
      <w:bookmarkStart w:id="8" w:name="_Toc15658"/>
      <w:r>
        <w:rPr>
          <w:rFonts w:hint="eastAsia" w:ascii="方正小标宋简体" w:eastAsia="方正小标宋简体"/>
          <w:b w:val="0"/>
        </w:rPr>
        <w:t>总体思路</w:t>
      </w:r>
      <w:bookmarkEnd w:id="5"/>
      <w:bookmarkEnd w:id="6"/>
      <w:bookmarkEnd w:id="7"/>
      <w:bookmarkEnd w:id="8"/>
    </w:p>
    <w:p>
      <w:pPr>
        <w:pStyle w:val="3"/>
        <w:numPr>
          <w:ilvl w:val="1"/>
          <w:numId w:val="3"/>
        </w:numPr>
        <w:ind w:firstLine="640"/>
        <w:rPr>
          <w:rFonts w:ascii="黑体" w:hAnsi="黑体"/>
          <w:b w:val="0"/>
        </w:rPr>
      </w:pPr>
      <w:bookmarkStart w:id="9" w:name="_Toc29318"/>
      <w:bookmarkStart w:id="10" w:name="_Toc18455"/>
      <w:bookmarkStart w:id="11" w:name="_Toc5136"/>
      <w:r>
        <w:rPr>
          <w:rFonts w:hint="eastAsia" w:ascii="黑体" w:hAnsi="黑体"/>
          <w:b w:val="0"/>
        </w:rPr>
        <w:t>指导思想</w:t>
      </w:r>
      <w:bookmarkEnd w:id="9"/>
      <w:bookmarkEnd w:id="10"/>
      <w:bookmarkEnd w:id="11"/>
    </w:p>
    <w:p>
      <w:pPr>
        <w:ind w:firstLine="640"/>
      </w:pPr>
      <w:r>
        <w:rPr>
          <w:rFonts w:hint="eastAsia" w:ascii="仿宋_GB2312" w:hAnsi="宋体" w:cs="Times New Roman"/>
          <w:color w:val="000000" w:themeColor="text1"/>
          <w:szCs w:val="32"/>
          <w14:textFill>
            <w14:solidFill>
              <w14:schemeClr w14:val="tx1"/>
            </w14:solidFill>
          </w14:textFill>
        </w:rPr>
        <w:t>坚持以习近平总书记新时代中国特色社会主义思想为指导，深入学习贯彻落实习近平总书记关于安全生产重要论述和考察浙江重要讲话精神，牢固树立安全发展理念，强化底线思维和红线意识，对标忠实践行“八八战略”、奋力打造“重要窗口”总体要求，进一步完善特种设备安全监管体制机制，扎实推进特种设备安全治理体系和治理能力现代化，全面提升本质安全水平，努力成为展现安全服务高质量发展的一个</w:t>
      </w:r>
      <w:r>
        <w:rPr>
          <w:rFonts w:ascii="仿宋_GB2312" w:hAnsi="宋体" w:cs="Times New Roman"/>
          <w:color w:val="000000" w:themeColor="text1"/>
          <w:szCs w:val="32"/>
          <w14:textFill>
            <w14:solidFill>
              <w14:schemeClr w14:val="tx1"/>
            </w14:solidFill>
          </w14:textFill>
        </w:rPr>
        <w:t>“</w:t>
      </w:r>
      <w:r>
        <w:rPr>
          <w:rFonts w:hint="eastAsia" w:ascii="仿宋_GB2312" w:hAnsi="宋体" w:cs="Times New Roman"/>
          <w:color w:val="000000" w:themeColor="text1"/>
          <w:szCs w:val="32"/>
          <w14:textFill>
            <w14:solidFill>
              <w14:schemeClr w14:val="tx1"/>
            </w14:solidFill>
          </w14:textFill>
        </w:rPr>
        <w:t>重要窗口</w:t>
      </w:r>
      <w:r>
        <w:rPr>
          <w:rFonts w:ascii="仿宋_GB2312" w:hAnsi="宋体" w:cs="Times New Roman"/>
          <w:color w:val="000000" w:themeColor="text1"/>
          <w:szCs w:val="32"/>
          <w14:textFill>
            <w14:solidFill>
              <w14:schemeClr w14:val="tx1"/>
            </w14:solidFill>
          </w14:textFill>
        </w:rPr>
        <w:t>”</w:t>
      </w:r>
      <w:r>
        <w:rPr>
          <w:rFonts w:hint="eastAsia" w:ascii="仿宋_GB2312" w:hAnsi="仿宋_GB2312" w:cs="仿宋_GB2312"/>
          <w:color w:val="000000" w:themeColor="text1"/>
          <w:szCs w:val="32"/>
          <w14:textFill>
            <w14:solidFill>
              <w14:schemeClr w14:val="tx1"/>
            </w14:solidFill>
          </w14:textFill>
        </w:rPr>
        <w:t>。</w:t>
      </w:r>
    </w:p>
    <w:p>
      <w:pPr>
        <w:pStyle w:val="3"/>
        <w:numPr>
          <w:ilvl w:val="1"/>
          <w:numId w:val="3"/>
        </w:numPr>
        <w:ind w:firstLine="640"/>
        <w:rPr>
          <w:rFonts w:ascii="黑体" w:hAnsi="黑体"/>
          <w:b w:val="0"/>
        </w:rPr>
      </w:pPr>
      <w:bookmarkStart w:id="12" w:name="_Toc14269"/>
      <w:bookmarkStart w:id="13" w:name="_Toc23240"/>
      <w:bookmarkStart w:id="14" w:name="_Toc25660"/>
      <w:r>
        <w:rPr>
          <w:rFonts w:hint="eastAsia" w:ascii="黑体" w:hAnsi="黑体"/>
          <w:b w:val="0"/>
        </w:rPr>
        <w:t>建设目标</w:t>
      </w:r>
      <w:bookmarkEnd w:id="12"/>
      <w:bookmarkEnd w:id="13"/>
      <w:bookmarkEnd w:id="14"/>
    </w:p>
    <w:p>
      <w:pPr>
        <w:ind w:firstLine="640"/>
      </w:pPr>
      <w:r>
        <w:rPr>
          <w:rFonts w:hint="eastAsia" w:ascii="仿宋_GB2312" w:hAnsi="宋体" w:cs="Times New Roman"/>
          <w:color w:val="000000" w:themeColor="text1"/>
          <w:szCs w:val="32"/>
          <w14:textFill>
            <w14:solidFill>
              <w14:schemeClr w14:val="tx1"/>
            </w14:solidFill>
          </w14:textFill>
        </w:rPr>
        <w:t>以数字化变革为动力，把特种设备安全监管作为多环节贯通、多部门联动、多场景协同的全周期“一件事”来攻坚，全面推动特种设备从单一“人防”向“物防+技防+人防”并重转变，努力实现“一网打尽全覆盖”，“一码通用全天候”，“一站贯通全过程”，“一键闭环全检索”，开创特种设备安全监管“法治+智治”新局面。</w:t>
      </w:r>
    </w:p>
    <w:p>
      <w:pPr>
        <w:ind w:firstLine="640"/>
        <w:rPr>
          <w:rFonts w:ascii="楷体_GB2312" w:hAnsi="楷体_GB2312" w:eastAsia="楷体_GB2312" w:cs="楷体_GB2312"/>
          <w:szCs w:val="32"/>
        </w:rPr>
      </w:pPr>
      <w:r>
        <w:rPr>
          <w:rFonts w:hint="eastAsia" w:ascii="楷体_GB2312" w:hAnsi="楷体_GB2312" w:eastAsia="楷体_GB2312" w:cs="楷体_GB2312"/>
          <w:szCs w:val="32"/>
        </w:rPr>
        <w:t>（一）一网打尽“全覆盖”，提升安全治理水平。</w:t>
      </w:r>
    </w:p>
    <w:p>
      <w:pPr>
        <w:ind w:firstLine="643"/>
        <w:rPr>
          <w:rFonts w:ascii="仿宋_GB2312" w:hAnsi="宋体" w:cs="Times New Roman"/>
          <w:color w:val="000000" w:themeColor="text1"/>
          <w:szCs w:val="32"/>
          <w14:textFill>
            <w14:solidFill>
              <w14:schemeClr w14:val="tx1"/>
            </w14:solidFill>
          </w14:textFill>
        </w:rPr>
      </w:pPr>
      <w:r>
        <w:rPr>
          <w:rFonts w:hint="eastAsia" w:cs="Times New Roman"/>
          <w:b/>
          <w:bCs/>
          <w:color w:val="000000" w:themeColor="text1"/>
          <w:szCs w:val="32"/>
          <w14:textFill>
            <w14:solidFill>
              <w14:schemeClr w14:val="tx1"/>
            </w14:solidFill>
          </w14:textFill>
        </w:rPr>
        <w:t>1</w:t>
      </w:r>
      <w:r>
        <w:rPr>
          <w:rFonts w:ascii="仿宋_GB2312" w:hAnsi="宋体" w:cs="Times New Roman"/>
          <w:b/>
          <w:bCs/>
          <w:color w:val="000000" w:themeColor="text1"/>
          <w:szCs w:val="32"/>
          <w14:textFill>
            <w14:solidFill>
              <w14:schemeClr w14:val="tx1"/>
            </w14:solidFill>
          </w14:textFill>
        </w:rPr>
        <w:t>.</w:t>
      </w:r>
      <w:r>
        <w:rPr>
          <w:rFonts w:hint="eastAsia" w:ascii="仿宋_GB2312" w:hAnsi="宋体" w:cs="Times New Roman"/>
          <w:b/>
          <w:color w:val="000000" w:themeColor="text1"/>
          <w:szCs w:val="32"/>
          <w14:textFill>
            <w14:solidFill>
              <w14:schemeClr w14:val="tx1"/>
            </w14:solidFill>
          </w14:textFill>
        </w:rPr>
        <w:t>推进设备、单位、人员全覆盖。</w:t>
      </w:r>
      <w:r>
        <w:rPr>
          <w:rFonts w:hint="eastAsia" w:ascii="仿宋_GB2312" w:hAnsi="宋体" w:cs="Times New Roman"/>
          <w:color w:val="000000" w:themeColor="text1"/>
          <w:szCs w:val="32"/>
          <w14:textFill>
            <w14:solidFill>
              <w14:schemeClr w14:val="tx1"/>
            </w14:solidFill>
          </w14:textFill>
        </w:rPr>
        <w:t>建立全省统一的特种设备</w:t>
      </w:r>
      <w:r>
        <w:rPr>
          <w:rFonts w:hint="eastAsia" w:ascii="仿宋_GB2312" w:hAnsi="仿宋_GB2312" w:cs="仿宋_GB2312"/>
          <w:szCs w:val="32"/>
        </w:rPr>
        <w:t>库、单位库、特检机构库、监管机构库、作业人员库、专家人才库等</w:t>
      </w:r>
      <w:r>
        <w:rPr>
          <w:rFonts w:hint="eastAsia" w:ascii="仿宋_GB2312" w:hAnsi="宋体" w:cs="Times New Roman"/>
          <w:color w:val="000000" w:themeColor="text1"/>
          <w:szCs w:val="32"/>
          <w14:textFill>
            <w14:solidFill>
              <w14:schemeClr w14:val="tx1"/>
            </w14:solidFill>
          </w14:textFill>
        </w:rPr>
        <w:t>，方便全省数据统一汇聚交换共享，保证数据的唯一性，对企业、设备及人员主体的特种设备相关安全性进行分级展示及管理。</w:t>
      </w:r>
    </w:p>
    <w:p>
      <w:pPr>
        <w:ind w:firstLine="643"/>
        <w:rPr>
          <w:rFonts w:ascii="仿宋_GB2312" w:hAnsi="宋体" w:cs="Times New Roman"/>
          <w:bCs/>
          <w:color w:val="000000" w:themeColor="text1"/>
          <w:szCs w:val="32"/>
          <w14:textFill>
            <w14:solidFill>
              <w14:schemeClr w14:val="tx1"/>
            </w14:solidFill>
          </w14:textFill>
        </w:rPr>
      </w:pPr>
      <w:r>
        <w:rPr>
          <w:rFonts w:hint="eastAsia" w:cs="Times New Roman"/>
          <w:b/>
          <w:bCs/>
          <w:color w:val="000000" w:themeColor="text1"/>
          <w:szCs w:val="32"/>
          <w14:textFill>
            <w14:solidFill>
              <w14:schemeClr w14:val="tx1"/>
            </w14:solidFill>
          </w14:textFill>
        </w:rPr>
        <w:t>2</w:t>
      </w:r>
      <w:r>
        <w:rPr>
          <w:rFonts w:ascii="仿宋_GB2312" w:hAnsi="宋体" w:cs="Times New Roman"/>
          <w:b/>
          <w:bCs/>
          <w:color w:val="000000" w:themeColor="text1"/>
          <w:szCs w:val="32"/>
          <w14:textFill>
            <w14:solidFill>
              <w14:schemeClr w14:val="tx1"/>
            </w14:solidFill>
          </w14:textFill>
        </w:rPr>
        <w:t>.</w:t>
      </w:r>
      <w:r>
        <w:rPr>
          <w:rFonts w:hint="eastAsia" w:ascii="仿宋_GB2312" w:hAnsi="宋体" w:cs="Times New Roman"/>
          <w:b/>
          <w:bCs/>
          <w:color w:val="000000" w:themeColor="text1"/>
          <w:szCs w:val="32"/>
          <w14:textFill>
            <w14:solidFill>
              <w14:schemeClr w14:val="tx1"/>
            </w14:solidFill>
          </w14:textFill>
        </w:rPr>
        <w:t>推进省、市、县、站（所）全覆盖。</w:t>
      </w:r>
      <w:r>
        <w:rPr>
          <w:rFonts w:hint="eastAsia" w:ascii="仿宋_GB2312" w:hAnsi="宋体" w:cs="Times New Roman"/>
          <w:color w:val="000000" w:themeColor="text1"/>
          <w:szCs w:val="32"/>
          <w14:textFill>
            <w14:solidFill>
              <w14:schemeClr w14:val="tx1"/>
            </w14:solidFill>
          </w14:textFill>
        </w:rPr>
        <w:t>构建纵向一体化管理体系，明确各层级职责分工，分配不同管理权限，实现所有特种设备安全监察人员应用数字化平台。</w:t>
      </w:r>
    </w:p>
    <w:p>
      <w:pPr>
        <w:ind w:firstLine="643"/>
        <w:rPr>
          <w:rFonts w:ascii="仿宋_GB2312" w:hAnsi="宋体" w:cs="Times New Roman"/>
          <w:color w:val="000000" w:themeColor="text1"/>
          <w:szCs w:val="32"/>
          <w14:textFill>
            <w14:solidFill>
              <w14:schemeClr w14:val="tx1"/>
            </w14:solidFill>
          </w14:textFill>
        </w:rPr>
      </w:pPr>
      <w:r>
        <w:rPr>
          <w:rFonts w:hint="eastAsia" w:cs="Times New Roman"/>
          <w:b/>
          <w:bCs/>
          <w:color w:val="000000" w:themeColor="text1"/>
          <w:szCs w:val="32"/>
          <w14:textFill>
            <w14:solidFill>
              <w14:schemeClr w14:val="tx1"/>
            </w14:solidFill>
          </w14:textFill>
        </w:rPr>
        <w:t>3</w:t>
      </w:r>
      <w:r>
        <w:rPr>
          <w:rFonts w:ascii="仿宋_GB2312" w:hAnsi="宋体" w:cs="Times New Roman"/>
          <w:b/>
          <w:bCs/>
          <w:color w:val="000000" w:themeColor="text1"/>
          <w:szCs w:val="32"/>
          <w14:textFill>
            <w14:solidFill>
              <w14:schemeClr w14:val="tx1"/>
            </w14:solidFill>
          </w14:textFill>
        </w:rPr>
        <w:t>.</w:t>
      </w:r>
      <w:r>
        <w:rPr>
          <w:rFonts w:hint="eastAsia" w:ascii="仿宋_GB2312" w:hAnsi="宋体" w:cs="Times New Roman"/>
          <w:b/>
          <w:bCs/>
          <w:color w:val="000000" w:themeColor="text1"/>
          <w:szCs w:val="32"/>
          <w14:textFill>
            <w14:solidFill>
              <w14:schemeClr w14:val="tx1"/>
            </w14:solidFill>
          </w14:textFill>
        </w:rPr>
        <w:t>推进责任落实全覆盖。</w:t>
      </w:r>
      <w:r>
        <w:rPr>
          <w:rFonts w:hint="eastAsia" w:ascii="仿宋_GB2312" w:hAnsi="宋体" w:cs="Times New Roman"/>
          <w:color w:val="000000" w:themeColor="text1"/>
          <w:szCs w:val="32"/>
          <w14:textFill>
            <w14:solidFill>
              <w14:schemeClr w14:val="tx1"/>
            </w14:solidFill>
          </w14:textFill>
        </w:rPr>
        <w:t>构建特种设备安全隐患实时推送给企业、严重事故隐患通报乡镇（街道）和行业部门的横向信息互通机制，通过数字化平台实现全链条协同，厘清职责边界，消除监管盲区，</w:t>
      </w:r>
      <w:r>
        <w:rPr>
          <w:rFonts w:hint="eastAsia" w:ascii="仿宋_GB2312"/>
          <w:color w:val="000000" w:themeColor="text1"/>
          <w:szCs w:val="32"/>
          <w14:textFill>
            <w14:solidFill>
              <w14:schemeClr w14:val="tx1"/>
            </w14:solidFill>
          </w14:textFill>
        </w:rPr>
        <w:t>落实基层政府监管责任、行业主管责任、企业主体责任</w:t>
      </w:r>
      <w:r>
        <w:rPr>
          <w:rFonts w:hint="eastAsia" w:ascii="仿宋_GB2312" w:hAnsi="宋体" w:cs="Times New Roman"/>
          <w:color w:val="000000" w:themeColor="text1"/>
          <w:szCs w:val="32"/>
          <w14:textFill>
            <w14:solidFill>
              <w14:schemeClr w14:val="tx1"/>
            </w14:solidFill>
          </w14:textFill>
        </w:rPr>
        <w:t>。</w:t>
      </w:r>
    </w:p>
    <w:p>
      <w:pPr>
        <w:ind w:firstLine="640"/>
        <w:rPr>
          <w:rFonts w:ascii="仿宋_GB2312" w:hAnsi="仿宋_GB2312" w:cs="仿宋_GB2312"/>
          <w:b/>
          <w:color w:val="000000" w:themeColor="text1"/>
          <w:szCs w:val="32"/>
          <w14:textFill>
            <w14:solidFill>
              <w14:schemeClr w14:val="tx1"/>
            </w14:solidFill>
          </w14:textFill>
        </w:rPr>
      </w:pPr>
      <w:r>
        <w:rPr>
          <w:rFonts w:hint="eastAsia" w:ascii="楷体_GB2312" w:hAnsi="楷体_GB2312" w:eastAsia="楷体_GB2312" w:cs="楷体_GB2312"/>
          <w:szCs w:val="32"/>
        </w:rPr>
        <w:t>（二）</w:t>
      </w:r>
      <w:r>
        <w:rPr>
          <w:rFonts w:hint="eastAsia" w:ascii="仿宋_GB2312" w:hAnsi="仿宋_GB2312" w:cs="仿宋_GB2312"/>
          <w:b/>
          <w:color w:val="000000" w:themeColor="text1"/>
          <w:szCs w:val="32"/>
          <w14:textFill>
            <w14:solidFill>
              <w14:schemeClr w14:val="tx1"/>
            </w14:solidFill>
          </w14:textFill>
        </w:rPr>
        <w:t>一码通用“全天候”，动态管控安全风险。</w:t>
      </w:r>
    </w:p>
    <w:p>
      <w:pPr>
        <w:ind w:firstLine="643"/>
        <w:rPr>
          <w:rFonts w:ascii="仿宋_GB2312" w:hAnsi="宋体" w:cs="Times New Roman"/>
          <w:color w:val="000000" w:themeColor="text1"/>
          <w:szCs w:val="32"/>
          <w14:textFill>
            <w14:solidFill>
              <w14:schemeClr w14:val="tx1"/>
            </w14:solidFill>
          </w14:textFill>
        </w:rPr>
      </w:pPr>
      <w:r>
        <w:rPr>
          <w:rFonts w:hint="eastAsia" w:cs="Times New Roman"/>
          <w:b/>
          <w:bCs/>
          <w:color w:val="000000" w:themeColor="text1"/>
          <w:szCs w:val="32"/>
          <w14:textFill>
            <w14:solidFill>
              <w14:schemeClr w14:val="tx1"/>
            </w14:solidFill>
          </w14:textFill>
        </w:rPr>
        <w:t>４</w:t>
      </w:r>
      <w:r>
        <w:rPr>
          <w:rFonts w:hint="eastAsia" w:ascii="仿宋_GB2312" w:hAnsi="宋体" w:cs="Times New Roman"/>
          <w:b/>
          <w:bCs/>
          <w:color w:val="000000" w:themeColor="text1"/>
          <w:szCs w:val="32"/>
          <w14:textFill>
            <w14:solidFill>
              <w14:schemeClr w14:val="tx1"/>
            </w14:solidFill>
          </w14:textFill>
        </w:rPr>
        <w:t>.实施安全码管理。</w:t>
      </w:r>
      <w:r>
        <w:rPr>
          <w:rFonts w:hint="eastAsia" w:ascii="仿宋_GB2312" w:hAnsi="宋体" w:cs="Times New Roman"/>
          <w:color w:val="000000" w:themeColor="text1"/>
          <w:szCs w:val="32"/>
          <w14:textFill>
            <w14:solidFill>
              <w14:schemeClr w14:val="tx1"/>
            </w14:solidFill>
          </w14:textFill>
        </w:rPr>
        <w:t>对特种设备、企业、人员进行赋码，实现基础数据、风险隐患等相关信息动态关联。通过风险监测、智能研判、自动预警功能，形成纵横到底的特种设备风险防控体系，做到风险隐患早发现、早识别、早预警、早遏制。</w:t>
      </w:r>
    </w:p>
    <w:p>
      <w:pPr>
        <w:ind w:firstLine="643"/>
        <w:rPr>
          <w:rFonts w:ascii="仿宋_GB2312" w:hAnsi="宋体" w:cs="Times New Roman"/>
          <w:bCs/>
          <w:color w:val="000000" w:themeColor="text1"/>
          <w:szCs w:val="32"/>
          <w14:textFill>
            <w14:solidFill>
              <w14:schemeClr w14:val="tx1"/>
            </w14:solidFill>
          </w14:textFill>
        </w:rPr>
      </w:pPr>
      <w:r>
        <w:rPr>
          <w:rFonts w:hint="eastAsia" w:cs="Times New Roman"/>
          <w:b/>
          <w:bCs/>
          <w:color w:val="000000" w:themeColor="text1"/>
          <w:szCs w:val="32"/>
          <w14:textFill>
            <w14:solidFill>
              <w14:schemeClr w14:val="tx1"/>
            </w14:solidFill>
          </w14:textFill>
        </w:rPr>
        <w:t>５</w:t>
      </w:r>
      <w:r>
        <w:rPr>
          <w:rFonts w:hint="eastAsia" w:ascii="仿宋_GB2312" w:hAnsi="宋体" w:cs="Times New Roman"/>
          <w:b/>
          <w:bCs/>
          <w:color w:val="000000" w:themeColor="text1"/>
          <w:szCs w:val="32"/>
          <w14:textFill>
            <w14:solidFill>
              <w14:schemeClr w14:val="tx1"/>
            </w14:solidFill>
          </w14:textFill>
        </w:rPr>
        <w:t>.推进物联智控。</w:t>
      </w:r>
      <w:r>
        <w:rPr>
          <w:rFonts w:hint="eastAsia" w:ascii="仿宋_GB2312" w:hAnsi="宋体" w:cs="Times New Roman"/>
          <w:color w:val="000000" w:themeColor="text1"/>
          <w:szCs w:val="32"/>
          <w14:textFill>
            <w14:solidFill>
              <w14:schemeClr w14:val="tx1"/>
            </w14:solidFill>
          </w14:textFill>
        </w:rPr>
        <w:t>应用云计算、物联网、</w:t>
      </w:r>
      <w:r>
        <w:rPr>
          <w:rFonts w:cs="Times New Roman"/>
          <w:color w:val="000000" w:themeColor="text1"/>
          <w:szCs w:val="32"/>
          <w14:textFill>
            <w14:solidFill>
              <w14:schemeClr w14:val="tx1"/>
            </w14:solidFill>
          </w14:textFill>
        </w:rPr>
        <w:t>5G</w:t>
      </w:r>
      <w:r>
        <w:rPr>
          <w:rFonts w:hint="eastAsia" w:ascii="仿宋_GB2312" w:hAnsi="宋体" w:cs="Times New Roman"/>
          <w:color w:val="000000" w:themeColor="text1"/>
          <w:szCs w:val="32"/>
          <w14:textFill>
            <w14:solidFill>
              <w14:schemeClr w14:val="tx1"/>
            </w14:solidFill>
          </w14:textFill>
        </w:rPr>
        <w:t>等技术，覆盖锅炉、压力容器、压力管道、电梯、起重机械、大型游乐设施、客运索道、场（厂）内专用机动车辆八大类特种设备，实时监控特种设备使用安全状态，实现全天候精密智控。</w:t>
      </w:r>
    </w:p>
    <w:p>
      <w:pPr>
        <w:ind w:firstLine="643"/>
        <w:rPr>
          <w:rFonts w:ascii="仿宋_GB2312" w:hAnsi="宋体" w:cs="Times New Roman"/>
          <w:color w:val="000000" w:themeColor="text1"/>
          <w:szCs w:val="32"/>
          <w14:textFill>
            <w14:solidFill>
              <w14:schemeClr w14:val="tx1"/>
            </w14:solidFill>
          </w14:textFill>
        </w:rPr>
      </w:pPr>
      <w:r>
        <w:rPr>
          <w:rFonts w:hint="eastAsia" w:cs="Times New Roman"/>
          <w:b/>
          <w:bCs/>
          <w:color w:val="000000" w:themeColor="text1"/>
          <w:szCs w:val="32"/>
          <w14:textFill>
            <w14:solidFill>
              <w14:schemeClr w14:val="tx1"/>
            </w14:solidFill>
          </w14:textFill>
        </w:rPr>
        <w:t>６</w:t>
      </w:r>
      <w:r>
        <w:rPr>
          <w:rFonts w:hint="eastAsia" w:ascii="仿宋_GB2312" w:hAnsi="宋体" w:cs="Times New Roman"/>
          <w:b/>
          <w:bCs/>
          <w:color w:val="000000" w:themeColor="text1"/>
          <w:szCs w:val="32"/>
          <w14:textFill>
            <w14:solidFill>
              <w14:schemeClr w14:val="tx1"/>
            </w14:solidFill>
          </w14:textFill>
        </w:rPr>
        <w:t>.加快双重预防体系建设。</w:t>
      </w:r>
      <w:r>
        <w:rPr>
          <w:rFonts w:hint="eastAsia" w:ascii="仿宋_GB2312" w:hAnsi="宋体" w:cs="Times New Roman"/>
          <w:color w:val="000000" w:themeColor="text1"/>
          <w:szCs w:val="32"/>
          <w14:textFill>
            <w14:solidFill>
              <w14:schemeClr w14:val="tx1"/>
            </w14:solidFill>
          </w14:textFill>
        </w:rPr>
        <w:t>推进特种设备安全风险分级管控与隐患排查治理双重预防体系建设，全面实施特种设备使用单位分类评价制度和重大风险隐患排查日志制、严重事故隐患报告制和安全责任事故举一反三制等安全防范三项制度，提升使用单位风险自辨自控、隐患自查自改能力。</w:t>
      </w:r>
    </w:p>
    <w:p>
      <w:pPr>
        <w:ind w:firstLine="640"/>
        <w:rPr>
          <w:rFonts w:ascii="楷体_GB2312" w:hAnsi="楷体_GB2312" w:eastAsia="楷体_GB2312" w:cs="楷体_GB2312"/>
          <w:szCs w:val="32"/>
        </w:rPr>
      </w:pPr>
      <w:r>
        <w:rPr>
          <w:rFonts w:hint="eastAsia" w:ascii="楷体_GB2312" w:hAnsi="楷体_GB2312" w:eastAsia="楷体_GB2312" w:cs="楷体_GB2312"/>
          <w:szCs w:val="32"/>
        </w:rPr>
        <w:t>（三）一站贯通“全过程”，多环节集成运用。</w:t>
      </w:r>
    </w:p>
    <w:p>
      <w:pPr>
        <w:ind w:firstLine="643"/>
        <w:rPr>
          <w:rFonts w:ascii="仿宋_GB2312" w:hAnsi="宋体" w:cs="Times New Roman"/>
          <w:color w:val="000000" w:themeColor="text1"/>
          <w:szCs w:val="32"/>
          <w14:textFill>
            <w14:solidFill>
              <w14:schemeClr w14:val="tx1"/>
            </w14:solidFill>
          </w14:textFill>
        </w:rPr>
      </w:pPr>
      <w:r>
        <w:rPr>
          <w:rFonts w:hint="eastAsia" w:cs="Times New Roman"/>
          <w:b/>
          <w:bCs/>
          <w:color w:val="000000" w:themeColor="text1"/>
          <w:szCs w:val="32"/>
          <w14:textFill>
            <w14:solidFill>
              <w14:schemeClr w14:val="tx1"/>
            </w14:solidFill>
          </w14:textFill>
        </w:rPr>
        <w:t>７</w:t>
      </w:r>
      <w:r>
        <w:rPr>
          <w:rFonts w:hint="eastAsia" w:ascii="仿宋_GB2312" w:hAnsi="宋体" w:cs="Times New Roman"/>
          <w:b/>
          <w:bCs/>
          <w:color w:val="000000" w:themeColor="text1"/>
          <w:szCs w:val="32"/>
          <w14:textFill>
            <w14:solidFill>
              <w14:schemeClr w14:val="tx1"/>
            </w14:solidFill>
          </w14:textFill>
        </w:rPr>
        <w:t>.安全监管全过程线上应用。</w:t>
      </w:r>
      <w:r>
        <w:rPr>
          <w:rFonts w:hint="eastAsia" w:ascii="仿宋_GB2312" w:hAnsi="宋体" w:cs="Times New Roman"/>
          <w:color w:val="000000" w:themeColor="text1"/>
          <w:szCs w:val="32"/>
          <w14:textFill>
            <w14:solidFill>
              <w14:schemeClr w14:val="tx1"/>
            </w14:solidFill>
          </w14:textFill>
        </w:rPr>
        <w:t>协同行政执法平台和有关部门，建设全省统一的特种设备安全监管系统，实现生产单位行政许可、日常监督检查、隐患闭环管控、应急信息处置等全过程一站式管理。</w:t>
      </w:r>
    </w:p>
    <w:p>
      <w:pPr>
        <w:ind w:firstLine="643"/>
        <w:rPr>
          <w:rFonts w:ascii="仿宋_GB2312" w:hAnsi="宋体" w:cs="Times New Roman"/>
          <w:color w:val="000000" w:themeColor="text1"/>
          <w:szCs w:val="32"/>
          <w14:textFill>
            <w14:solidFill>
              <w14:schemeClr w14:val="tx1"/>
            </w14:solidFill>
          </w14:textFill>
        </w:rPr>
      </w:pPr>
      <w:r>
        <w:rPr>
          <w:rFonts w:hint="eastAsia" w:cs="Times New Roman"/>
          <w:b/>
          <w:bCs/>
          <w:color w:val="000000" w:themeColor="text1"/>
          <w:szCs w:val="32"/>
          <w14:textFill>
            <w14:solidFill>
              <w14:schemeClr w14:val="tx1"/>
            </w14:solidFill>
          </w14:textFill>
        </w:rPr>
        <w:t>８</w:t>
      </w:r>
      <w:r>
        <w:rPr>
          <w:rFonts w:hint="eastAsia" w:ascii="仿宋_GB2312" w:hAnsi="宋体" w:cs="Times New Roman"/>
          <w:b/>
          <w:bCs/>
          <w:color w:val="000000" w:themeColor="text1"/>
          <w:szCs w:val="32"/>
          <w14:textFill>
            <w14:solidFill>
              <w14:schemeClr w14:val="tx1"/>
            </w14:solidFill>
          </w14:textFill>
        </w:rPr>
        <w:t>.服务事项全过程线上办理。</w:t>
      </w:r>
      <w:r>
        <w:rPr>
          <w:rFonts w:hint="eastAsia" w:ascii="仿宋_GB2312" w:hAnsi="宋体" w:cs="Times New Roman"/>
          <w:color w:val="000000" w:themeColor="text1"/>
          <w:szCs w:val="32"/>
          <w14:textFill>
            <w14:solidFill>
              <w14:schemeClr w14:val="tx1"/>
            </w14:solidFill>
          </w14:textFill>
        </w:rPr>
        <w:t>全面梳理特种设备企业服务管理事项，搭建企业管理服务平台，打通特种设备制造、安装、改造、修理、使用、检验等各个环节，实现申请许可、施工告知、申报检验、使用登记、分类评价、隐患自查、事故报送等全过程一站式办理。</w:t>
      </w:r>
    </w:p>
    <w:p>
      <w:pPr>
        <w:ind w:firstLine="640"/>
        <w:rPr>
          <w:rFonts w:ascii="楷体_GB2312" w:hAnsi="楷体_GB2312" w:eastAsia="楷体_GB2312" w:cs="楷体_GB2312"/>
          <w:szCs w:val="32"/>
        </w:rPr>
      </w:pPr>
      <w:r>
        <w:rPr>
          <w:rFonts w:hint="eastAsia" w:ascii="楷体_GB2312" w:hAnsi="楷体_GB2312" w:eastAsia="楷体_GB2312" w:cs="楷体_GB2312"/>
          <w:szCs w:val="32"/>
        </w:rPr>
        <w:t>（四）一键闭环“全检索”，全周期追溯管理。</w:t>
      </w:r>
    </w:p>
    <w:p>
      <w:pPr>
        <w:ind w:firstLine="643"/>
        <w:rPr>
          <w:rFonts w:ascii="仿宋_GB2312" w:hAnsi="宋体" w:cs="Times New Roman"/>
          <w:color w:val="000000" w:themeColor="text1"/>
          <w:szCs w:val="32"/>
          <w14:textFill>
            <w14:solidFill>
              <w14:schemeClr w14:val="tx1"/>
            </w14:solidFill>
          </w14:textFill>
        </w:rPr>
        <w:sectPr>
          <w:footerReference r:id="rId11" w:type="default"/>
          <w:pgSz w:w="11906" w:h="16838"/>
          <w:pgMar w:top="2098" w:right="1474" w:bottom="1985" w:left="1588" w:header="851" w:footer="992" w:gutter="0"/>
          <w:pgNumType w:start="1"/>
          <w:cols w:space="425" w:num="1"/>
          <w:docGrid w:type="lines" w:linePitch="312" w:charSpace="0"/>
        </w:sectPr>
      </w:pPr>
      <w:r>
        <w:rPr>
          <w:rFonts w:hint="eastAsia" w:cs="Times New Roman"/>
          <w:b/>
          <w:bCs/>
          <w:color w:val="000000" w:themeColor="text1"/>
          <w:szCs w:val="32"/>
          <w14:textFill>
            <w14:solidFill>
              <w14:schemeClr w14:val="tx1"/>
            </w14:solidFill>
          </w14:textFill>
        </w:rPr>
        <w:t>９</w:t>
      </w:r>
      <w:r>
        <w:rPr>
          <w:rFonts w:hint="eastAsia" w:ascii="仿宋_GB2312" w:hAnsi="宋体" w:cs="Times New Roman"/>
          <w:b/>
          <w:bCs/>
          <w:color w:val="000000" w:themeColor="text1"/>
          <w:szCs w:val="32"/>
          <w14:textFill>
            <w14:solidFill>
              <w14:schemeClr w14:val="tx1"/>
            </w14:solidFill>
          </w14:textFill>
        </w:rPr>
        <w:t>.构建全量数据统计分析和检索系统。</w:t>
      </w:r>
      <w:r>
        <w:rPr>
          <w:rFonts w:hint="eastAsia" w:ascii="仿宋_GB2312" w:hAnsi="宋体" w:cs="Times New Roman"/>
          <w:color w:val="000000" w:themeColor="text1"/>
          <w:szCs w:val="32"/>
          <w14:textFill>
            <w14:solidFill>
              <w14:schemeClr w14:val="tx1"/>
            </w14:solidFill>
          </w14:textFill>
        </w:rPr>
        <w:t>建立数据分析模型，记录每台特种设备的安装、改造、修理、使用登记、检验、监督检查、隐患整治、行政执法、事故等信息，实现特种设备全生命周期追溯管理，保障安全监管决策的科学性和正确性。</w:t>
      </w:r>
    </w:p>
    <w:p>
      <w:pPr>
        <w:pStyle w:val="2"/>
        <w:ind w:firstLine="880"/>
        <w:rPr>
          <w:rFonts w:ascii="方正小标宋简体" w:eastAsia="方正小标宋简体"/>
          <w:b w:val="0"/>
        </w:rPr>
      </w:pPr>
      <w:bookmarkStart w:id="15" w:name="_Toc3077"/>
      <w:bookmarkStart w:id="16" w:name="_Toc30243"/>
      <w:bookmarkStart w:id="17" w:name="_Toc1754"/>
      <w:bookmarkStart w:id="18" w:name="_Toc3854"/>
      <w:r>
        <w:rPr>
          <w:rFonts w:hint="eastAsia" w:ascii="方正小标宋简体" w:eastAsia="方正小标宋简体"/>
          <w:b w:val="0"/>
        </w:rPr>
        <w:t>技术架构</w:t>
      </w:r>
      <w:bookmarkEnd w:id="15"/>
      <w:bookmarkEnd w:id="16"/>
      <w:bookmarkEnd w:id="17"/>
      <w:bookmarkEnd w:id="18"/>
    </w:p>
    <w:p>
      <w:pPr>
        <w:pStyle w:val="3"/>
        <w:numPr>
          <w:ilvl w:val="1"/>
          <w:numId w:val="4"/>
        </w:numPr>
        <w:ind w:firstLine="640"/>
        <w:rPr>
          <w:rFonts w:ascii="黑体" w:hAnsi="黑体"/>
          <w:b w:val="0"/>
        </w:rPr>
      </w:pPr>
      <w:bookmarkStart w:id="19" w:name="_Toc18165"/>
      <w:bookmarkStart w:id="20" w:name="_Toc1303"/>
      <w:bookmarkStart w:id="21" w:name="_Toc11973"/>
      <w:r>
        <w:rPr>
          <w:rFonts w:hint="eastAsia" w:ascii="黑体" w:hAnsi="黑体"/>
          <w:b w:val="0"/>
        </w:rPr>
        <w:t>整体技术框架</w:t>
      </w:r>
      <w:bookmarkEnd w:id="19"/>
      <w:bookmarkEnd w:id="20"/>
      <w:bookmarkEnd w:id="21"/>
    </w:p>
    <w:p>
      <w:pPr>
        <w:ind w:firstLine="640"/>
        <w:rPr>
          <w:rFonts w:ascii="仿宋_GB2312" w:hAnsi="仿宋_GB2312" w:cs="仿宋_GB2312"/>
          <w:szCs w:val="32"/>
        </w:rPr>
      </w:pPr>
      <w:r>
        <w:drawing>
          <wp:anchor distT="0" distB="0" distL="114300" distR="114300" simplePos="0" relativeHeight="251653120" behindDoc="0" locked="0" layoutInCell="1" allowOverlap="1">
            <wp:simplePos x="0" y="0"/>
            <wp:positionH relativeFrom="column">
              <wp:posOffset>93345</wp:posOffset>
            </wp:positionH>
            <wp:positionV relativeFrom="paragraph">
              <wp:posOffset>2066290</wp:posOffset>
            </wp:positionV>
            <wp:extent cx="5699125" cy="287909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699125" cy="2879090"/>
                    </a:xfrm>
                    <a:prstGeom prst="rect">
                      <a:avLst/>
                    </a:prstGeom>
                    <a:noFill/>
                  </pic:spPr>
                </pic:pic>
              </a:graphicData>
            </a:graphic>
          </wp:anchor>
        </w:drawing>
      </w:r>
      <w:r>
        <w:rPr>
          <w:rFonts w:hint="eastAsia" w:ascii="仿宋_GB2312" w:hAnsi="仿宋_GB2312" w:cs="仿宋_GB2312"/>
          <w:szCs w:val="32"/>
        </w:rPr>
        <w:t>以</w:t>
      </w:r>
      <w:r>
        <w:rPr>
          <w:rFonts w:hint="eastAsia" w:ascii="仿宋_GB2312" w:hAnsi="宋体" w:cs="Times New Roman"/>
          <w:color w:val="000000" w:themeColor="text1"/>
          <w:szCs w:val="32"/>
          <w14:textFill>
            <w14:solidFill>
              <w14:schemeClr w14:val="tx1"/>
            </w14:solidFill>
          </w14:textFill>
        </w:rPr>
        <w:t>“一网打尽全覆盖”，“一码通用全天候”，“一站贯通全过程”，“一键闭环全检索</w:t>
      </w:r>
      <w:r>
        <w:rPr>
          <w:rFonts w:hint="eastAsia" w:ascii="仿宋_GB2312" w:hAnsi="仿宋_GB2312" w:cs="仿宋_GB2312"/>
          <w:szCs w:val="32"/>
        </w:rPr>
        <w:t>”为建设目标，</w:t>
      </w:r>
      <w:r>
        <w:rPr>
          <w:rFonts w:ascii="仿宋_GB2312" w:hAnsi="仿宋_GB2312" w:cs="仿宋_GB2312"/>
          <w:szCs w:val="32"/>
        </w:rPr>
        <w:t>依托数字化转型“四横三纵”总体框架，</w:t>
      </w:r>
      <w:r>
        <w:rPr>
          <w:rFonts w:hint="eastAsia" w:ascii="仿宋_GB2312" w:hAnsi="仿宋_GB2312" w:cs="仿宋_GB2312"/>
          <w:szCs w:val="32"/>
        </w:rPr>
        <w:t>基于“政务一朵云”，</w:t>
      </w:r>
      <w:r>
        <w:rPr>
          <w:rFonts w:ascii="仿宋_GB2312" w:hAnsi="仿宋_GB2312" w:cs="仿宋_GB2312"/>
          <w:szCs w:val="32"/>
        </w:rPr>
        <w:t>利用基础设施体系、数据资源体系、应用支撑体系提供的各类资源，</w:t>
      </w:r>
      <w:r>
        <w:rPr>
          <w:rFonts w:hint="eastAsia" w:ascii="仿宋_GB2312" w:hAnsi="仿宋_GB2312" w:cs="仿宋_GB2312"/>
          <w:szCs w:val="32"/>
        </w:rPr>
        <w:t>构建“</w:t>
      </w:r>
      <w:r>
        <w:rPr>
          <w:rFonts w:cs="Times New Roman"/>
          <w:szCs w:val="32"/>
        </w:rPr>
        <w:t>1+</w:t>
      </w:r>
      <w:r>
        <w:rPr>
          <w:rFonts w:hint="eastAsia" w:cs="Times New Roman"/>
          <w:szCs w:val="32"/>
        </w:rPr>
        <w:t>5</w:t>
      </w:r>
      <w:r>
        <w:rPr>
          <w:rFonts w:cs="Times New Roman"/>
          <w:szCs w:val="32"/>
        </w:rPr>
        <w:t>+8</w:t>
      </w:r>
      <w:r>
        <w:rPr>
          <w:rFonts w:hint="eastAsia" w:ascii="仿宋_GB2312" w:hAnsi="仿宋_GB2312" w:cs="仿宋_GB2312"/>
          <w:szCs w:val="32"/>
        </w:rPr>
        <w:t>”架构体系：</w:t>
      </w:r>
    </w:p>
    <w:p>
      <w:pPr>
        <w:numPr>
          <w:ilvl w:val="0"/>
          <w:numId w:val="5"/>
        </w:numPr>
        <w:ind w:firstLine="640"/>
      </w:pPr>
      <w:r>
        <w:rPr>
          <w:rFonts w:hint="eastAsia"/>
        </w:rPr>
        <w:t>“</w:t>
      </w:r>
      <w:r>
        <w:rPr>
          <w:rFonts w:cs="Times New Roman"/>
        </w:rPr>
        <w:t>1</w:t>
      </w:r>
      <w:r>
        <w:rPr>
          <w:rFonts w:hint="eastAsia"/>
        </w:rPr>
        <w:t>”是全省统一特种设备数据库。建立全省统一单位库、设备库、人员库，建立三库之间的业务关系，并产生唯一代码，做到每家单位、每台设备、每个人员在数据库中是唯一的，同时做到每台设备从生产、经营、使用过程中相关信息全生命周期可追溯。所有检验机构检验时需即时获取设备的基础信息，同时检验完后，检验信息及时入库。</w:t>
      </w:r>
    </w:p>
    <w:p>
      <w:pPr>
        <w:numPr>
          <w:ilvl w:val="0"/>
          <w:numId w:val="5"/>
        </w:numPr>
        <w:ind w:firstLine="640"/>
      </w:pPr>
      <w:r>
        <w:rPr>
          <w:rFonts w:hint="eastAsia"/>
        </w:rPr>
        <w:t>“</w:t>
      </w:r>
      <w:r>
        <w:rPr>
          <w:rFonts w:hint="eastAsia" w:cs="Times New Roman"/>
        </w:rPr>
        <w:t>５</w:t>
      </w:r>
      <w:r>
        <w:rPr>
          <w:rFonts w:hint="eastAsia"/>
        </w:rPr>
        <w:t>”是五大子系统，即全省监察子系统，全省公共服务子系统，全省检验检测子系统，检索分析子系统，全省安全风险防范预警子系统。</w:t>
      </w:r>
    </w:p>
    <w:p>
      <w:pPr>
        <w:ind w:firstLine="643"/>
        <w:rPr>
          <w:rFonts w:ascii="仿宋_GB2312" w:hAnsi="仿宋_GB2312" w:cs="仿宋_GB2312"/>
          <w:szCs w:val="32"/>
        </w:rPr>
      </w:pPr>
      <w:r>
        <w:rPr>
          <w:rFonts w:hint="eastAsia" w:cs="仿宋_GB2312"/>
          <w:b/>
          <w:szCs w:val="32"/>
        </w:rPr>
        <w:t>1</w:t>
      </w:r>
      <w:r>
        <w:rPr>
          <w:rFonts w:hint="eastAsia" w:ascii="仿宋_GB2312" w:hAnsi="仿宋_GB2312" w:cs="仿宋_GB2312"/>
          <w:b/>
          <w:szCs w:val="32"/>
        </w:rPr>
        <w:t>.全省监察子系统：</w:t>
      </w:r>
      <w:r>
        <w:rPr>
          <w:rFonts w:hint="eastAsia" w:ascii="仿宋_GB2312" w:hAnsi="仿宋_GB2312" w:cs="仿宋_GB2312"/>
          <w:szCs w:val="32"/>
        </w:rPr>
        <w:t>主要包括设备监管、人员监管、单位监管、业务办理（施工告知接收、设备使用登记受理）、安全监管（安全隐患、监督检查、监察指令书、文书打印、法规查询、分类评价、三项制度、事故管理）、统计分析、综合检索等功能实现特种设备全生命周期安全监管。</w:t>
      </w:r>
    </w:p>
    <w:p>
      <w:pPr>
        <w:ind w:firstLine="643"/>
        <w:rPr>
          <w:rFonts w:ascii="仿宋_GB2312" w:hAnsi="宋体" w:cs="Times New Roman"/>
          <w:color w:val="000000" w:themeColor="text1"/>
          <w:szCs w:val="32"/>
          <w14:textFill>
            <w14:solidFill>
              <w14:schemeClr w14:val="tx1"/>
            </w14:solidFill>
          </w14:textFill>
        </w:rPr>
      </w:pPr>
      <w:r>
        <w:rPr>
          <w:rFonts w:hint="eastAsia" w:cs="仿宋_GB2312"/>
          <w:b/>
          <w:szCs w:val="32"/>
        </w:rPr>
        <w:t>2</w:t>
      </w:r>
      <w:r>
        <w:rPr>
          <w:rFonts w:hint="eastAsia" w:ascii="仿宋_GB2312" w:hAnsi="仿宋_GB2312" w:cs="仿宋_GB2312"/>
          <w:b/>
          <w:szCs w:val="32"/>
        </w:rPr>
        <w:t>.全省公共服务子系统：</w:t>
      </w:r>
      <w:r>
        <w:rPr>
          <w:rFonts w:hint="eastAsia" w:ascii="仿宋_GB2312" w:hAnsi="宋体" w:cs="Times New Roman"/>
          <w:color w:val="000000" w:themeColor="text1"/>
          <w:szCs w:val="32"/>
          <w14:textFill>
            <w14:solidFill>
              <w14:schemeClr w14:val="tx1"/>
            </w14:solidFill>
          </w14:textFill>
        </w:rPr>
        <w:t>打通特种设备制造、安装、运行、维保、改造、停用、检验、报废等各个环节，实现施工告知、申报检验、使用登记、分类评价、隐患自查、事故报送等全过程一站式办理。</w:t>
      </w:r>
    </w:p>
    <w:p>
      <w:pPr>
        <w:ind w:firstLine="643"/>
        <w:rPr>
          <w:rFonts w:ascii="仿宋_GB2312" w:hAnsi="仿宋_GB2312" w:cs="仿宋_GB2312"/>
          <w:szCs w:val="32"/>
        </w:rPr>
      </w:pPr>
      <w:r>
        <w:rPr>
          <w:rFonts w:cs="仿宋_GB2312"/>
          <w:b/>
          <w:szCs w:val="32"/>
        </w:rPr>
        <w:t>3</w:t>
      </w:r>
      <w:r>
        <w:rPr>
          <w:rFonts w:hint="eastAsia" w:ascii="仿宋_GB2312" w:hAnsi="仿宋_GB2312" w:cs="仿宋_GB2312"/>
          <w:b/>
          <w:szCs w:val="32"/>
        </w:rPr>
        <w:t>.全省检验检测子系统</w:t>
      </w:r>
      <w:r>
        <w:rPr>
          <w:rFonts w:hint="eastAsia" w:ascii="仿宋_GB2312" w:hAnsi="仿宋_GB2312" w:cs="仿宋_GB2312"/>
          <w:szCs w:val="32"/>
        </w:rPr>
        <w:t>：依照特种设备检规要求，构建检验检测全过程核心标准功能，供我省检验的检验机构灵活选择系统使用。同时未使用该子系统的机构，需要参照监察与检验数据交换标准实施信息互连互通。</w:t>
      </w:r>
    </w:p>
    <w:p>
      <w:pPr>
        <w:ind w:firstLine="643"/>
        <w:rPr>
          <w:rFonts w:cs="仿宋_GB2312"/>
          <w:b/>
          <w:szCs w:val="32"/>
        </w:rPr>
      </w:pPr>
      <w:r>
        <w:rPr>
          <w:rFonts w:cs="仿宋_GB2312"/>
          <w:b/>
          <w:szCs w:val="32"/>
        </w:rPr>
        <w:t>4</w:t>
      </w:r>
      <w:r>
        <w:rPr>
          <w:rFonts w:hint="eastAsia" w:cs="仿宋_GB2312"/>
          <w:b/>
          <w:szCs w:val="32"/>
        </w:rPr>
        <w:t>.检索分析子系统：</w:t>
      </w:r>
      <w:r>
        <w:rPr>
          <w:rFonts w:hint="eastAsia" w:cs="仿宋_GB2312"/>
          <w:szCs w:val="32"/>
        </w:rPr>
        <w:t>基于全省特种设备数据库的基础上，采用数据挖掘与分析、检索等技术，建立方便快捷、强大灵活的一键检索与统计决策分析。这些功能提供丰富、深入、详尽、有价值的信息，为特种设备监管及决策提供强有力的支持，提高监管质量和效率。</w:t>
      </w:r>
    </w:p>
    <w:p>
      <w:pPr>
        <w:ind w:firstLine="643"/>
        <w:rPr>
          <w:rFonts w:ascii="仿宋_GB2312" w:hAnsi="仿宋_GB2312" w:cs="仿宋_GB2312"/>
          <w:szCs w:val="32"/>
        </w:rPr>
      </w:pPr>
      <w:r>
        <w:rPr>
          <w:rFonts w:cs="仿宋_GB2312"/>
          <w:b/>
          <w:szCs w:val="32"/>
        </w:rPr>
        <w:t>5</w:t>
      </w:r>
      <w:r>
        <w:rPr>
          <w:rFonts w:hint="eastAsia" w:ascii="仿宋_GB2312" w:hAnsi="仿宋_GB2312" w:cs="仿宋_GB2312"/>
          <w:b/>
          <w:szCs w:val="32"/>
        </w:rPr>
        <w:t>.全省</w:t>
      </w:r>
      <w:r>
        <w:rPr>
          <w:rFonts w:hint="eastAsia" w:ascii="仿宋_GB2312" w:hAnsi="宋体" w:cs="Times New Roman"/>
          <w:b/>
          <w:color w:val="000000" w:themeColor="text1"/>
          <w:szCs w:val="32"/>
          <w14:textFill>
            <w14:solidFill>
              <w14:schemeClr w14:val="tx1"/>
            </w14:solidFill>
          </w14:textFill>
        </w:rPr>
        <w:t>安全风险防范预警子系统：</w:t>
      </w:r>
      <w:r>
        <w:rPr>
          <w:rFonts w:hint="eastAsia" w:ascii="仿宋_GB2312" w:hAnsi="宋体" w:cs="Times New Roman"/>
          <w:color w:val="000000" w:themeColor="text1"/>
          <w:szCs w:val="32"/>
          <w14:textFill>
            <w14:solidFill>
              <w14:schemeClr w14:val="tx1"/>
            </w14:solidFill>
          </w14:textFill>
        </w:rPr>
        <w:t>采用“互联网+物联网”技术，通过全网监测、智能研判、自动预警、分类处置等方法，形成纵横到底的特种设备风险防控体系，实现全省特种设备的全天候、全领域、全覆盖风险监测防控，提高全省特种设备风险早识别、早预警、早发现、早遏制的能力，达到降低全省特种设备事故风险的目标。</w:t>
      </w:r>
    </w:p>
    <w:p>
      <w:pPr>
        <w:numPr>
          <w:ilvl w:val="0"/>
          <w:numId w:val="5"/>
        </w:numPr>
        <w:ind w:firstLineChars="0"/>
      </w:pPr>
      <w:r>
        <w:rPr>
          <w:rFonts w:hint="eastAsia" w:ascii="楷体_GB2312" w:hAnsi="楷体_GB2312" w:eastAsia="楷体_GB2312" w:cs="楷体_GB2312"/>
          <w:bCs/>
          <w:color w:val="000000" w:themeColor="text1"/>
          <w:szCs w:val="32"/>
          <w14:textFill>
            <w14:solidFill>
              <w14:schemeClr w14:val="tx1"/>
            </w14:solidFill>
          </w14:textFill>
        </w:rPr>
        <w:t>特种设备</w:t>
      </w:r>
      <w:r>
        <w:rPr>
          <w:rFonts w:hint="eastAsia" w:ascii="楷体_GB2312" w:hAnsi="楷体_GB2312" w:eastAsia="楷体_GB2312" w:cs="楷体_GB2312"/>
          <w:bCs/>
          <w:szCs w:val="32"/>
        </w:rPr>
        <w:t>“</w:t>
      </w:r>
      <w:r>
        <w:rPr>
          <w:rFonts w:eastAsia="楷体_GB2312" w:cs="Times New Roman"/>
          <w:bCs/>
          <w:szCs w:val="32"/>
        </w:rPr>
        <w:t>8</w:t>
      </w:r>
      <w:r>
        <w:rPr>
          <w:rFonts w:hint="eastAsia" w:ascii="楷体_GB2312" w:hAnsi="楷体_GB2312" w:eastAsia="楷体_GB2312" w:cs="楷体_GB2312"/>
          <w:bCs/>
          <w:szCs w:val="32"/>
        </w:rPr>
        <w:t>”是八大类特种设备智控应用场景：</w:t>
      </w:r>
      <w:r>
        <w:rPr>
          <w:rFonts w:hint="eastAsia" w:ascii="仿宋_GB2312" w:hAnsi="仿宋_GB2312" w:cs="仿宋_GB2312"/>
          <w:szCs w:val="32"/>
        </w:rPr>
        <w:t>即锅炉智控应用场景、压力容器智控应用场景、压力管道智控应用场景、电梯智控应用场景、客运索道智控应用场景、大型游乐设施智控应用场景、起重机械智控应用场景、场（厂）内专用机动车辆智控应用场景。</w:t>
      </w:r>
    </w:p>
    <w:p>
      <w:pPr>
        <w:pStyle w:val="3"/>
        <w:numPr>
          <w:ilvl w:val="1"/>
          <w:numId w:val="4"/>
        </w:numPr>
        <w:ind w:firstLine="640"/>
        <w:rPr>
          <w:rFonts w:ascii="黑体" w:hAnsi="黑体"/>
          <w:b w:val="0"/>
        </w:rPr>
      </w:pPr>
      <w:bookmarkStart w:id="22" w:name="_Toc22669"/>
      <w:r>
        <w:rPr>
          <w:rFonts w:hint="eastAsia" w:ascii="黑体" w:hAnsi="黑体"/>
          <w:b w:val="0"/>
        </w:rPr>
        <w:t>基本业务架构</w:t>
      </w:r>
      <w:bookmarkEnd w:id="22"/>
    </w:p>
    <w:p>
      <w:pPr>
        <w:ind w:firstLine="640"/>
        <w:rPr>
          <w:rFonts w:ascii="仿宋_GB2312" w:hAnsi="仿宋_GB2312" w:cs="仿宋_GB2312"/>
          <w:szCs w:val="32"/>
        </w:rPr>
      </w:pPr>
      <w:r>
        <w:rPr>
          <w:rFonts w:hint="eastAsia" w:ascii="仿宋_GB2312" w:hAnsi="仿宋_GB2312" w:cs="仿宋_GB2312"/>
          <w:szCs w:val="32"/>
        </w:rPr>
        <w:t>以特种设备全生命周期为中心，串起制造、安装、运行、维保、改造、停用、报废全生命周期。</w:t>
      </w:r>
      <w:r>
        <w:rPr>
          <w:rFonts w:hint="eastAsia"/>
        </w:rPr>
        <w:t>围绕特种设备安全监管，开展使用、维保、检验检测、监察等业务。特种</w:t>
      </w:r>
      <w:r>
        <w:rPr>
          <w:rFonts w:hint="eastAsia" w:ascii="仿宋_GB2312" w:hAnsi="仿宋_GB2312" w:cs="仿宋_GB2312"/>
          <w:szCs w:val="32"/>
        </w:rPr>
        <w:t>设备全生命周期监管业务架构图如下：</w:t>
      </w:r>
    </w:p>
    <w:p>
      <w:pPr>
        <w:ind w:firstLine="640"/>
        <w:rPr>
          <w:rFonts w:ascii="仿宋_GB2312" w:hAnsi="仿宋_GB2312" w:cs="仿宋_GB2312"/>
          <w:szCs w:val="32"/>
        </w:rPr>
      </w:pPr>
      <w:r>
        <w:rPr>
          <w:rFonts w:hint="eastAsia"/>
        </w:rPr>
        <w:t>以使用单位、监察机构、检验检测机构、制造/安改维单位为四条主线，覆盖特种设备全业务环节。</w:t>
      </w:r>
    </w:p>
    <w:p>
      <w:pPr>
        <w:ind w:firstLine="640"/>
        <w:rPr>
          <w:rFonts w:ascii="仿宋_GB2312" w:hAnsi="仿宋_GB2312" w:cs="仿宋_GB2312"/>
          <w:szCs w:val="32"/>
        </w:rPr>
      </w:pPr>
    </w:p>
    <w:p>
      <w:pPr>
        <w:ind w:firstLine="640"/>
        <w:rPr>
          <w:rFonts w:ascii="仿宋_GB2312" w:hAnsi="仿宋_GB2312" w:cs="仿宋_GB2312"/>
          <w:szCs w:val="32"/>
        </w:rPr>
      </w:pPr>
    </w:p>
    <w:p>
      <w:pPr>
        <w:ind w:firstLine="640"/>
        <w:rPr>
          <w:rFonts w:ascii="仿宋_GB2312" w:hAnsi="仿宋_GB2312" w:cs="仿宋_GB2312"/>
          <w:szCs w:val="32"/>
        </w:rPr>
      </w:pPr>
    </w:p>
    <w:p>
      <w:pPr>
        <w:ind w:firstLine="640"/>
        <w:rPr>
          <w:rFonts w:ascii="仿宋_GB2312" w:hAnsi="仿宋_GB2312" w:cs="仿宋_GB2312"/>
          <w:szCs w:val="32"/>
        </w:rPr>
      </w:pPr>
      <w:r>
        <w:drawing>
          <wp:anchor distT="0" distB="0" distL="114300" distR="114300" simplePos="0" relativeHeight="251678720" behindDoc="0" locked="0" layoutInCell="1" allowOverlap="1">
            <wp:simplePos x="0" y="0"/>
            <wp:positionH relativeFrom="column">
              <wp:posOffset>146685</wp:posOffset>
            </wp:positionH>
            <wp:positionV relativeFrom="paragraph">
              <wp:posOffset>212725</wp:posOffset>
            </wp:positionV>
            <wp:extent cx="4970145" cy="2755265"/>
            <wp:effectExtent l="0" t="0" r="13335" b="3175"/>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4970145" cy="2755265"/>
                    </a:xfrm>
                    <a:prstGeom prst="rect">
                      <a:avLst/>
                    </a:prstGeom>
                    <a:noFill/>
                  </pic:spPr>
                </pic:pic>
              </a:graphicData>
            </a:graphic>
          </wp:anchor>
        </w:drawing>
      </w:r>
    </w:p>
    <w:p>
      <w:pPr>
        <w:ind w:firstLine="640"/>
        <w:rPr>
          <w:rFonts w:ascii="仿宋_GB2312" w:hAnsi="仿宋_GB2312" w:cs="仿宋_GB2312"/>
          <w:szCs w:val="32"/>
        </w:rPr>
      </w:pPr>
    </w:p>
    <w:p>
      <w:pPr>
        <w:ind w:firstLine="640"/>
        <w:rPr>
          <w:rFonts w:ascii="仿宋_GB2312" w:hAnsi="仿宋_GB2312" w:cs="仿宋_GB2312"/>
          <w:szCs w:val="32"/>
        </w:rPr>
      </w:pPr>
    </w:p>
    <w:p>
      <w:pPr>
        <w:rPr>
          <w:rFonts w:ascii="仿宋_GB2312" w:hAnsi="仿宋_GB2312" w:cs="仿宋_GB2312"/>
          <w:szCs w:val="32"/>
        </w:rPr>
        <w:sectPr>
          <w:pgSz w:w="11906" w:h="16838"/>
          <w:pgMar w:top="2098" w:right="1474" w:bottom="1985" w:left="1588" w:header="851" w:footer="992" w:gutter="0"/>
          <w:cols w:space="425" w:num="1"/>
          <w:docGrid w:type="lines" w:linePitch="312" w:charSpace="0"/>
        </w:sectPr>
      </w:pPr>
    </w:p>
    <w:p>
      <w:pPr>
        <w:pStyle w:val="2"/>
        <w:ind w:firstLine="880"/>
        <w:rPr>
          <w:rFonts w:ascii="方正小标宋简体" w:eastAsia="方正小标宋简体"/>
          <w:b w:val="0"/>
        </w:rPr>
      </w:pPr>
      <w:bookmarkStart w:id="23" w:name="_Toc1545"/>
      <w:bookmarkStart w:id="24" w:name="_Toc13521"/>
      <w:bookmarkStart w:id="25" w:name="_Toc23157"/>
      <w:bookmarkStart w:id="26" w:name="_Toc31649"/>
      <w:r>
        <w:rPr>
          <w:rFonts w:hint="eastAsia" w:ascii="方正小标宋简体" w:eastAsia="方正小标宋简体"/>
          <w:b w:val="0"/>
        </w:rPr>
        <w:t>建设内容</w:t>
      </w:r>
      <w:bookmarkEnd w:id="23"/>
      <w:bookmarkEnd w:id="24"/>
      <w:bookmarkEnd w:id="25"/>
      <w:bookmarkEnd w:id="26"/>
    </w:p>
    <w:p>
      <w:pPr>
        <w:pStyle w:val="3"/>
        <w:numPr>
          <w:ilvl w:val="1"/>
          <w:numId w:val="6"/>
        </w:numPr>
        <w:ind w:firstLine="640"/>
        <w:rPr>
          <w:rFonts w:ascii="黑体" w:hAnsi="黑体"/>
          <w:b w:val="0"/>
        </w:rPr>
      </w:pPr>
      <w:bookmarkStart w:id="27" w:name="_Toc5847"/>
      <w:bookmarkStart w:id="28" w:name="_Toc28142"/>
      <w:bookmarkStart w:id="29" w:name="_Toc1956"/>
      <w:r>
        <w:rPr>
          <w:rFonts w:hint="eastAsia" w:ascii="黑体" w:hAnsi="黑体"/>
          <w:b w:val="0"/>
        </w:rPr>
        <w:t>全省特种设备数据</w:t>
      </w:r>
      <w:bookmarkEnd w:id="27"/>
      <w:bookmarkEnd w:id="28"/>
      <w:r>
        <w:rPr>
          <w:rFonts w:hint="eastAsia" w:ascii="黑体" w:hAnsi="黑体"/>
          <w:b w:val="0"/>
        </w:rPr>
        <w:t>库</w:t>
      </w:r>
      <w:bookmarkEnd w:id="29"/>
    </w:p>
    <w:p>
      <w:pPr>
        <w:pStyle w:val="4"/>
        <w:numPr>
          <w:ilvl w:val="2"/>
          <w:numId w:val="7"/>
        </w:numPr>
        <w:spacing w:before="0" w:after="0" w:line="580" w:lineRule="exact"/>
        <w:ind w:firstLine="640"/>
        <w:rPr>
          <w:rFonts w:ascii="楷体_GB2312" w:eastAsia="楷体_GB2312"/>
        </w:rPr>
      </w:pPr>
      <w:bookmarkStart w:id="30" w:name="_Toc10342"/>
      <w:r>
        <w:rPr>
          <w:rFonts w:hint="eastAsia" w:ascii="楷体_GB2312" w:eastAsia="楷体_GB2312"/>
        </w:rPr>
        <w:t>单位库</w:t>
      </w:r>
      <w:bookmarkEnd w:id="30"/>
    </w:p>
    <w:p>
      <w:pPr>
        <w:pStyle w:val="5"/>
        <w:ind w:firstLine="643"/>
      </w:pPr>
      <w:r>
        <w:rPr>
          <w:rFonts w:hint="eastAsia" w:ascii="Times New Roman" w:hAnsi="Times New Roman"/>
        </w:rPr>
        <w:t>1</w:t>
      </w:r>
      <w:r>
        <w:rPr>
          <w:rFonts w:hint="eastAsia"/>
        </w:rPr>
        <w:t>.单位数据标准规范</w:t>
      </w:r>
    </w:p>
    <w:p>
      <w:pPr>
        <w:ind w:firstLine="640"/>
      </w:pPr>
      <w:r>
        <w:rPr>
          <w:rFonts w:hint="eastAsia"/>
        </w:rPr>
        <w:t>制定单位信息数据标准规范，根据单位业务类型，对制造单位、设计单位、安装单位、改造单位、维保单位、检验检测单位、使用单位的基本信息进行统一管理。形成全省特种设备统一单位信息库。</w:t>
      </w:r>
    </w:p>
    <w:p>
      <w:pPr>
        <w:pStyle w:val="5"/>
        <w:ind w:firstLine="643"/>
        <w:rPr>
          <w:rFonts w:ascii="仿宋_GB2312"/>
          <w:szCs w:val="32"/>
        </w:rPr>
      </w:pPr>
      <w:r>
        <w:rPr>
          <w:rFonts w:hint="eastAsia" w:ascii="Times New Roman" w:hAnsi="Times New Roman"/>
          <w:szCs w:val="32"/>
        </w:rPr>
        <w:t>2</w:t>
      </w:r>
      <w:r>
        <w:rPr>
          <w:rFonts w:hint="eastAsia" w:ascii="仿宋_GB2312"/>
          <w:szCs w:val="32"/>
        </w:rPr>
        <w:t>.单位信息管理</w:t>
      </w:r>
    </w:p>
    <w:p>
      <w:pPr>
        <w:ind w:firstLine="640"/>
      </w:pPr>
      <w:r>
        <w:rPr>
          <w:rFonts w:hint="eastAsia"/>
        </w:rPr>
        <w:t>一是系统直接使用单位的统一社会信用代码作为系统的全局唯一标识，信息具体包括：单位名称、行政区域、统一社会信用代码、地址、法人代表等内容。</w:t>
      </w:r>
    </w:p>
    <w:p>
      <w:pPr>
        <w:ind w:firstLine="640"/>
      </w:pPr>
      <w:r>
        <w:rPr>
          <w:rFonts w:hint="eastAsia"/>
        </w:rPr>
        <w:t>二是标签化管理，如：单位的黑白名单、所属行业、单位风险画像等。</w:t>
      </w:r>
    </w:p>
    <w:p>
      <w:pPr>
        <w:pStyle w:val="5"/>
        <w:ind w:firstLine="643"/>
        <w:rPr>
          <w:rFonts w:ascii="仿宋_GB2312"/>
          <w:szCs w:val="32"/>
        </w:rPr>
      </w:pPr>
      <w:r>
        <w:rPr>
          <w:rFonts w:hint="eastAsia" w:ascii="Times New Roman" w:hAnsi="Times New Roman"/>
          <w:szCs w:val="32"/>
        </w:rPr>
        <w:t>3</w:t>
      </w:r>
      <w:r>
        <w:rPr>
          <w:rFonts w:hint="eastAsia" w:ascii="仿宋_GB2312"/>
          <w:szCs w:val="32"/>
        </w:rPr>
        <w:t>.业务关系信息管理</w:t>
      </w:r>
    </w:p>
    <w:p>
      <w:pPr>
        <w:ind w:firstLine="640"/>
      </w:pPr>
      <w:r>
        <w:rPr>
          <w:rFonts w:hint="eastAsia"/>
        </w:rPr>
        <w:t>以单位基本信息为主体，建立单位与人员库、设备库之间的对应关系，支持查看单位下的人员信息和设备信息。同时，建立单位与其业务数据之间的对应关系，通过单位基本，查看其下的业务数据，包括：单位持证、单位人员、人员持证、设备情况、设备风险情况、分类评价、三项制度、检验信息、日常检查、风险隐患等业务信息。实现通过一个功能把握单位整体信息，在设计上改变传统的一个业务数据一个功能菜单的情况，简化操作步骤，结构化数据关系，提供更加合理便捷的业务功能。</w:t>
      </w:r>
    </w:p>
    <w:p>
      <w:pPr>
        <w:pStyle w:val="4"/>
        <w:numPr>
          <w:ilvl w:val="2"/>
          <w:numId w:val="7"/>
        </w:numPr>
        <w:spacing w:before="0" w:after="0" w:line="580" w:lineRule="exact"/>
        <w:ind w:firstLine="640"/>
        <w:rPr>
          <w:rFonts w:ascii="楷体_GB2312" w:eastAsia="楷体_GB2312"/>
        </w:rPr>
      </w:pPr>
      <w:bookmarkStart w:id="31" w:name="_Toc8815"/>
      <w:r>
        <w:rPr>
          <w:rFonts w:hint="eastAsia" w:ascii="楷体_GB2312" w:eastAsia="楷体_GB2312"/>
        </w:rPr>
        <w:t>设备库</w:t>
      </w:r>
      <w:bookmarkEnd w:id="31"/>
    </w:p>
    <w:p>
      <w:pPr>
        <w:pStyle w:val="5"/>
        <w:ind w:firstLine="643"/>
        <w:rPr>
          <w:rFonts w:ascii="仿宋_GB2312"/>
          <w:szCs w:val="32"/>
        </w:rPr>
      </w:pPr>
      <w:r>
        <w:rPr>
          <w:rFonts w:hint="eastAsia" w:ascii="Times New Roman" w:hAnsi="Times New Roman"/>
          <w:szCs w:val="32"/>
        </w:rPr>
        <w:t>1</w:t>
      </w:r>
      <w:r>
        <w:rPr>
          <w:rFonts w:hint="eastAsia" w:ascii="仿宋_GB2312"/>
          <w:szCs w:val="32"/>
        </w:rPr>
        <w:t>.设备数据标准规范</w:t>
      </w:r>
    </w:p>
    <w:p>
      <w:pPr>
        <w:ind w:firstLine="640"/>
      </w:pPr>
      <w:r>
        <w:rPr>
          <w:rFonts w:hint="eastAsia" w:ascii="仿宋_GB2312" w:hAnsi="仿宋_GB2312" w:cs="仿宋_GB2312"/>
          <w:szCs w:val="32"/>
        </w:rPr>
        <w:t>制定设备的数据标准规范，针对全省范围内八大类特种设备，制定相应设备的使用登记信息规范、设备基本信息规范、设备参数信息规范进行统一管理，形成全省特种设备统一设备信息库。</w:t>
      </w:r>
    </w:p>
    <w:p>
      <w:pPr>
        <w:pStyle w:val="5"/>
        <w:ind w:firstLine="643"/>
        <w:rPr>
          <w:rFonts w:ascii="仿宋_GB2312"/>
          <w:szCs w:val="32"/>
        </w:rPr>
      </w:pPr>
      <w:r>
        <w:rPr>
          <w:rFonts w:hint="eastAsia" w:ascii="Times New Roman" w:hAnsi="Times New Roman"/>
          <w:szCs w:val="32"/>
        </w:rPr>
        <w:t>2</w:t>
      </w:r>
      <w:r>
        <w:rPr>
          <w:rFonts w:hint="eastAsia" w:ascii="仿宋_GB2312"/>
          <w:szCs w:val="32"/>
        </w:rPr>
        <w:t>.设备信息管理</w:t>
      </w:r>
    </w:p>
    <w:p>
      <w:pPr>
        <w:ind w:right="240" w:firstLine="640"/>
        <w:jc w:val="left"/>
        <w:rPr>
          <w:rFonts w:ascii="仿宋_GB2312" w:hAnsi="仿宋_GB2312" w:cs="仿宋_GB2312"/>
          <w:szCs w:val="32"/>
        </w:rPr>
      </w:pPr>
      <w:r>
        <w:rPr>
          <w:rFonts w:hint="eastAsia" w:ascii="仿宋_GB2312" w:hAnsi="仿宋_GB2312" w:cs="仿宋_GB2312"/>
          <w:szCs w:val="32"/>
        </w:rPr>
        <w:t>一是制定全省八大类特种设备的唯一代码，系统使用“设备代码”作为设备唯一代码，设备具体信息参照设备数据标准获取。二是每台设备地址需要定位到街道层级。三是实现设备的标签化管理，如：设备的风险等级、设备所在场所、设备的危害程度等。</w:t>
      </w:r>
    </w:p>
    <w:p>
      <w:pPr>
        <w:pStyle w:val="5"/>
        <w:ind w:firstLine="643"/>
        <w:rPr>
          <w:rFonts w:ascii="仿宋_GB2312"/>
          <w:szCs w:val="32"/>
        </w:rPr>
      </w:pPr>
      <w:r>
        <w:rPr>
          <w:rFonts w:hint="eastAsia" w:ascii="Times New Roman" w:hAnsi="Times New Roman"/>
          <w:szCs w:val="32"/>
        </w:rPr>
        <w:t>3</w:t>
      </w:r>
      <w:r>
        <w:rPr>
          <w:rFonts w:hint="eastAsia" w:ascii="仿宋_GB2312"/>
          <w:szCs w:val="32"/>
        </w:rPr>
        <w:t>.业务关系信息管理</w:t>
      </w:r>
    </w:p>
    <w:p>
      <w:pPr>
        <w:ind w:firstLine="640"/>
      </w:pPr>
      <w:r>
        <w:rPr>
          <w:rFonts w:hint="eastAsia"/>
        </w:rPr>
        <w:t>以设备为管理主体，将系统中提供的设备信息和检验检测等业务信息，通过唯一代码进行关联，实现设备库与业务数据的关系管理，形成对八大类设备综合信息的查询入口，管理的信息包括：设备基本信息、设备参数信息、设备检验信息、设备变更数据上报等内容</w:t>
      </w:r>
    </w:p>
    <w:p>
      <w:pPr>
        <w:pStyle w:val="5"/>
        <w:ind w:firstLine="643"/>
      </w:pPr>
      <w:r>
        <w:rPr>
          <w:rFonts w:hint="eastAsia"/>
        </w:rPr>
        <w:t>4.设备参数及字段管理</w:t>
      </w:r>
    </w:p>
    <w:p>
      <w:pPr>
        <w:ind w:firstLine="640"/>
      </w:pPr>
      <w:r>
        <w:rPr>
          <w:rFonts w:hint="eastAsia"/>
        </w:rPr>
        <w:t>设备参数信息分为设备基本信息及设备专项参数。其中包括参数名称及参数要求。</w:t>
      </w:r>
    </w:p>
    <w:p>
      <w:pPr>
        <w:ind w:firstLine="640"/>
        <w:sectPr>
          <w:pgSz w:w="11906" w:h="16838"/>
          <w:pgMar w:top="2098" w:right="1474" w:bottom="1985" w:left="1588" w:header="851" w:footer="992" w:gutter="0"/>
          <w:cols w:space="425" w:num="1"/>
          <w:docGrid w:type="lines" w:linePitch="312" w:charSpace="0"/>
        </w:sectPr>
      </w:pPr>
      <w:r>
        <w:rPr>
          <w:rFonts w:hint="eastAsia"/>
        </w:rPr>
        <w:t>内容详见附件《设备参数信息整理初稿20210113》</w:t>
      </w:r>
    </w:p>
    <w:p>
      <w:pPr>
        <w:pStyle w:val="4"/>
        <w:numPr>
          <w:ilvl w:val="2"/>
          <w:numId w:val="7"/>
        </w:numPr>
        <w:spacing w:before="0" w:after="0" w:line="580" w:lineRule="exact"/>
        <w:ind w:firstLine="640"/>
        <w:rPr>
          <w:rFonts w:ascii="楷体_GB2312" w:eastAsia="楷体_GB2312"/>
        </w:rPr>
      </w:pPr>
      <w:bookmarkStart w:id="32" w:name="_Toc24405"/>
      <w:r>
        <w:rPr>
          <w:rFonts w:hint="eastAsia" w:ascii="楷体_GB2312" w:eastAsia="楷体_GB2312"/>
        </w:rPr>
        <w:t>人员库</w:t>
      </w:r>
      <w:bookmarkEnd w:id="32"/>
    </w:p>
    <w:p>
      <w:pPr>
        <w:pStyle w:val="5"/>
        <w:ind w:firstLine="643"/>
        <w:rPr>
          <w:rFonts w:ascii="仿宋_GB2312"/>
          <w:szCs w:val="32"/>
        </w:rPr>
      </w:pPr>
      <w:r>
        <w:rPr>
          <w:rFonts w:hint="eastAsia" w:ascii="Times New Roman" w:hAnsi="Times New Roman"/>
          <w:szCs w:val="32"/>
        </w:rPr>
        <w:t>1</w:t>
      </w:r>
      <w:r>
        <w:rPr>
          <w:rFonts w:hint="eastAsia" w:ascii="仿宋_GB2312"/>
          <w:szCs w:val="32"/>
        </w:rPr>
        <w:t>.人员数据标准规范</w:t>
      </w:r>
    </w:p>
    <w:p>
      <w:pPr>
        <w:ind w:firstLine="640"/>
      </w:pPr>
      <w:r>
        <w:rPr>
          <w:rFonts w:hint="eastAsia" w:ascii="仿宋_GB2312" w:hAnsi="仿宋_GB2312" w:cs="仿宋_GB2312"/>
          <w:szCs w:val="32"/>
        </w:rPr>
        <w:t>制定人员的数据标准规范，针对从业人员的业务服务类型和八大类作业设备类型进行划分，制定相应人员信息规范进行统一管理。形成全省特种设备统一人员信息库。</w:t>
      </w:r>
    </w:p>
    <w:p>
      <w:pPr>
        <w:pStyle w:val="5"/>
        <w:ind w:firstLine="643"/>
        <w:rPr>
          <w:rFonts w:ascii="仿宋_GB2312"/>
          <w:szCs w:val="32"/>
        </w:rPr>
      </w:pPr>
      <w:r>
        <w:rPr>
          <w:rFonts w:hint="eastAsia" w:ascii="Times New Roman" w:hAnsi="Times New Roman"/>
          <w:szCs w:val="32"/>
        </w:rPr>
        <w:t>2</w:t>
      </w:r>
      <w:r>
        <w:rPr>
          <w:rFonts w:hint="eastAsia" w:ascii="仿宋_GB2312"/>
          <w:szCs w:val="32"/>
        </w:rPr>
        <w:t>.人员信息管理</w:t>
      </w:r>
    </w:p>
    <w:p>
      <w:pPr>
        <w:ind w:firstLine="640"/>
        <w:rPr>
          <w:rFonts w:ascii="仿宋_GB2312" w:hAnsi="仿宋_GB2312" w:cs="仿宋_GB2312"/>
          <w:szCs w:val="32"/>
        </w:rPr>
      </w:pPr>
      <w:r>
        <w:rPr>
          <w:rFonts w:hint="eastAsia" w:ascii="仿宋_GB2312" w:hAnsi="仿宋_GB2312" w:cs="仿宋_GB2312"/>
          <w:szCs w:val="32"/>
        </w:rPr>
        <w:t>一是系统直接使用“个人身份证”作为人员的唯一代码。二是根据从业人员类型，将人员基本信息进行分类管理，人员包括：安全监察人员、鉴定评审人员、检验检测人员、作业人员，基本信息包括人员姓名、性别、身份证号码、所在省市等内容。三是系统自动检测单位人员的从业证书情况，需确保证书的真实性以及从业人员所属单位情况的准确性。</w:t>
      </w:r>
    </w:p>
    <w:p>
      <w:pPr>
        <w:pStyle w:val="5"/>
        <w:ind w:firstLine="643"/>
        <w:rPr>
          <w:rFonts w:ascii="仿宋_GB2312"/>
          <w:szCs w:val="32"/>
        </w:rPr>
      </w:pPr>
      <w:r>
        <w:rPr>
          <w:rFonts w:hint="eastAsia" w:ascii="Times New Roman" w:hAnsi="Times New Roman"/>
          <w:szCs w:val="32"/>
        </w:rPr>
        <w:t>3</w:t>
      </w:r>
      <w:r>
        <w:rPr>
          <w:rFonts w:hint="eastAsia" w:ascii="仿宋_GB2312"/>
          <w:szCs w:val="32"/>
        </w:rPr>
        <w:t>.业务关系信息管理</w:t>
      </w:r>
    </w:p>
    <w:p>
      <w:pPr>
        <w:ind w:firstLine="640"/>
        <w:rPr>
          <w:rFonts w:ascii="仿宋_GB2312" w:hAnsi="仿宋_GB2312" w:cs="仿宋_GB2312"/>
          <w:szCs w:val="32"/>
        </w:rPr>
      </w:pPr>
      <w:r>
        <w:rPr>
          <w:rFonts w:hint="eastAsia" w:ascii="仿宋_GB2312" w:hAnsi="仿宋_GB2312" w:cs="仿宋_GB2312"/>
          <w:szCs w:val="32"/>
        </w:rPr>
        <w:t>以人员基本信息为主体，建立人员与单位库之间的对应关系，支持人员与单位对应关系、人员与资质信息的对应。</w:t>
      </w:r>
    </w:p>
    <w:p>
      <w:pPr>
        <w:pStyle w:val="4"/>
        <w:numPr>
          <w:ilvl w:val="2"/>
          <w:numId w:val="7"/>
        </w:numPr>
        <w:spacing w:before="0" w:after="0" w:line="580" w:lineRule="exact"/>
        <w:ind w:firstLine="640"/>
        <w:rPr>
          <w:rFonts w:ascii="楷体_GB2312" w:eastAsia="楷体_GB2312"/>
        </w:rPr>
      </w:pPr>
      <w:bookmarkStart w:id="33" w:name="_Toc10188"/>
      <w:r>
        <w:rPr>
          <w:rFonts w:hint="eastAsia" w:ascii="楷体_GB2312" w:eastAsia="楷体_GB2312"/>
        </w:rPr>
        <w:t>数据交换与共享</w:t>
      </w:r>
      <w:bookmarkEnd w:id="33"/>
    </w:p>
    <w:p>
      <w:pPr>
        <w:pStyle w:val="5"/>
        <w:ind w:firstLine="643"/>
        <w:rPr>
          <w:rFonts w:ascii="仿宋_GB2312"/>
          <w:szCs w:val="32"/>
        </w:rPr>
      </w:pPr>
      <w:r>
        <w:drawing>
          <wp:anchor distT="0" distB="0" distL="114300" distR="114300" simplePos="0" relativeHeight="251666432" behindDoc="0" locked="0" layoutInCell="1" allowOverlap="1">
            <wp:simplePos x="0" y="0"/>
            <wp:positionH relativeFrom="column">
              <wp:posOffset>-113030</wp:posOffset>
            </wp:positionH>
            <wp:positionV relativeFrom="paragraph">
              <wp:posOffset>450850</wp:posOffset>
            </wp:positionV>
            <wp:extent cx="5446395" cy="2483485"/>
            <wp:effectExtent l="0" t="0" r="1905"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446395" cy="2483485"/>
                    </a:xfrm>
                    <a:prstGeom prst="rect">
                      <a:avLst/>
                    </a:prstGeom>
                    <a:noFill/>
                  </pic:spPr>
                </pic:pic>
              </a:graphicData>
            </a:graphic>
          </wp:anchor>
        </w:drawing>
      </w:r>
      <w:r>
        <w:rPr>
          <w:rFonts w:hint="eastAsia" w:ascii="Times New Roman" w:hAnsi="Times New Roman"/>
          <w:szCs w:val="32"/>
        </w:rPr>
        <w:t>1</w:t>
      </w:r>
      <w:r>
        <w:rPr>
          <w:rFonts w:hint="eastAsia" w:ascii="仿宋_GB2312"/>
          <w:szCs w:val="32"/>
        </w:rPr>
        <w:t>.数据交换模式</w:t>
      </w:r>
    </w:p>
    <w:p>
      <w:pPr>
        <w:ind w:firstLine="640"/>
      </w:pPr>
      <w:r>
        <w:rPr>
          <w:rFonts w:cs="Times New Roman"/>
        </w:rPr>
        <w:t>(1)</w:t>
      </w:r>
      <w:r>
        <w:rPr>
          <w:rFonts w:hint="eastAsia"/>
        </w:rPr>
        <w:t>依照特种设备检规要求，制定检验数据归集标准，并明确哪些字段以数据库为准，哪些字段以检验机构归集的检验数据为准进行覆盖。全省特种设备数据库交换系统采用Http接口方式，实时与各地市检验检测系统进行实时交换，各检验机构检测前必须先获取数据库的最新设备等信息，检验后要实时向数据库归集检验信息。</w:t>
      </w:r>
    </w:p>
    <w:p>
      <w:pPr>
        <w:ind w:firstLine="640"/>
      </w:pPr>
      <w:r>
        <w:rPr>
          <w:rFonts w:cs="Times New Roman"/>
        </w:rPr>
        <w:t>(2)</w:t>
      </w:r>
      <w:r>
        <w:rPr>
          <w:rFonts w:hint="eastAsia"/>
        </w:rPr>
        <w:t>建立数据质量监控体系，数据合理性判断规则库，对交换上来的数据进行合理性指标判断，包括设备类型（设备主体信息、参数信息、检验信息）设定记录的合理性判断规则、记录的更新情况、检验信息的更新情况。</w:t>
      </w:r>
    </w:p>
    <w:p>
      <w:pPr>
        <w:ind w:firstLine="640"/>
        <w:rPr>
          <w:rFonts w:ascii="仿宋_GB2312" w:hAnsi="仿宋_GB2312" w:cs="仿宋_GB2312"/>
        </w:rPr>
      </w:pPr>
      <w:r>
        <w:rPr>
          <w:rFonts w:cs="Times New Roman"/>
        </w:rPr>
        <w:t>(3)</w:t>
      </w:r>
      <w:r>
        <w:rPr>
          <w:rFonts w:hint="eastAsia" w:ascii="仿宋_GB2312" w:hAnsi="仿宋_GB2312" w:cs="仿宋_GB2312"/>
        </w:rPr>
        <w:t>各地检验检测系统需要为省局提供反查的接口。</w:t>
      </w:r>
    </w:p>
    <w:p>
      <w:pPr>
        <w:pStyle w:val="5"/>
        <w:ind w:firstLine="643"/>
        <w:rPr>
          <w:rFonts w:ascii="仿宋_GB2312"/>
          <w:szCs w:val="32"/>
        </w:rPr>
      </w:pPr>
      <w:r>
        <w:rPr>
          <w:rFonts w:hint="eastAsia" w:ascii="Times New Roman" w:hAnsi="Times New Roman"/>
          <w:szCs w:val="32"/>
        </w:rPr>
        <w:t>2</w:t>
      </w:r>
      <w:r>
        <w:rPr>
          <w:rFonts w:hint="eastAsia" w:ascii="仿宋_GB2312"/>
          <w:szCs w:val="32"/>
        </w:rPr>
        <w:t>.数据质量管理</w:t>
      </w:r>
    </w:p>
    <w:p>
      <w:pPr>
        <w:ind w:firstLine="640"/>
      </w:pPr>
      <w:r>
        <w:rPr>
          <w:rFonts w:hint="eastAsia"/>
        </w:rPr>
        <w:t>数据质量管理主要包括建立规则库和监控机制，出现故障，能及时发现问题对不能解决的问题及时告警，并提供整体系统运营的情况分析。建立规则库，要对数据质量进行诊断与控制，除了了解并能访问到数据之外，必须要建立一组可靠的规则。规则描述了业务对数据的内在要求，也描述了数据的内在特征，规则是数据质量检查的具体标准，主要包括数据完整性规则、数据准确性规则、数据及时性规则，系统提供相应的功能用于用户按照各种风格的模版手工录入数据质量控制规则。规则采用xml文件存储。系统同时提供相应的功能用于从一个数据对象的样本数据中自动提取出参考规则供用户选择。所有规则统一入库，形成知识库。</w:t>
      </w:r>
      <w:bookmarkStart w:id="34" w:name="_Toc492993520"/>
    </w:p>
    <w:p>
      <w:pPr>
        <w:ind w:firstLine="643"/>
      </w:pPr>
      <w:r>
        <w:rPr>
          <w:rFonts w:cs="Times New Roman"/>
          <w:b/>
          <w:bCs/>
        </w:rPr>
        <w:t>（1）</w:t>
      </w:r>
      <w:r>
        <w:rPr>
          <w:rFonts w:hint="eastAsia"/>
          <w:b/>
          <w:bCs/>
        </w:rPr>
        <w:t>数据完整性规则</w:t>
      </w:r>
      <w:bookmarkEnd w:id="34"/>
      <w:r>
        <w:rPr>
          <w:rFonts w:hint="eastAsia"/>
          <w:b/>
          <w:bCs/>
        </w:rPr>
        <w:t>：</w:t>
      </w:r>
      <w:r>
        <w:rPr>
          <w:rFonts w:hint="eastAsia"/>
        </w:rPr>
        <w:t>通过系统界面设置各类数据在每个采集周期的监控粒度、系统进行数据完整性检查的时间周期后，可以看到该采集源下数据完整性监控的矩阵图，该界面提供具体采集信息，包括完整率、采集条数、经验值、完整率阈值等，并形成告警，提供可视界面对告警信息的详情查看的辅助功能。</w:t>
      </w:r>
      <w:bookmarkStart w:id="35" w:name="_Toc492993521"/>
    </w:p>
    <w:p>
      <w:pPr>
        <w:ind w:firstLine="643"/>
      </w:pPr>
      <w:r>
        <w:rPr>
          <w:rFonts w:cs="Times New Roman"/>
          <w:b/>
          <w:bCs/>
        </w:rPr>
        <w:t>（2）</w:t>
      </w:r>
      <w:r>
        <w:rPr>
          <w:rFonts w:hint="eastAsia"/>
          <w:b/>
          <w:bCs/>
        </w:rPr>
        <w:t>数据准确性规则</w:t>
      </w:r>
      <w:bookmarkEnd w:id="35"/>
      <w:r>
        <w:rPr>
          <w:rFonts w:hint="eastAsia"/>
          <w:b/>
          <w:bCs/>
        </w:rPr>
        <w:t>：</w:t>
      </w:r>
      <w:r>
        <w:rPr>
          <w:rFonts w:hint="eastAsia"/>
        </w:rPr>
        <w:t>主要是针对重点考核的指标进行正确性、有效性的分析。根据同期或历史经验值</w:t>
      </w:r>
      <w:r>
        <w:t>(</w:t>
      </w:r>
      <w:r>
        <w:rPr>
          <w:rFonts w:hint="eastAsia"/>
        </w:rPr>
        <w:t>可设置</w:t>
      </w:r>
      <w:r>
        <w:t>)</w:t>
      </w:r>
      <w:r>
        <w:rPr>
          <w:rFonts w:hint="eastAsia"/>
        </w:rPr>
        <w:t>进行重点采集和指标合理性对比分析，能够自动对那些超出阈值的重点指标进行筛选，以及同一指标在不同报表或报告中是否一致对比等。另外，系统支持对异常值的原因分析并形成告警，并在可视界面上提供对告警信息的详情查看的辅助功能，运维人员可及时对这些异常指标进行数据处理和采取相应补救措施，避免这些不合理的采集数据对上层应用决策和分析造成负面影响。</w:t>
      </w:r>
    </w:p>
    <w:p>
      <w:pPr>
        <w:ind w:firstLine="643"/>
      </w:pPr>
      <w:r>
        <w:rPr>
          <w:rFonts w:cs="Times New Roman"/>
          <w:b/>
          <w:bCs/>
        </w:rPr>
        <w:t>（3）</w:t>
      </w:r>
      <w:r>
        <w:rPr>
          <w:rFonts w:hint="eastAsia"/>
          <w:b/>
          <w:bCs/>
        </w:rPr>
        <w:t>数据及时性规则：</w:t>
      </w:r>
      <w:r>
        <w:rPr>
          <w:rFonts w:hint="eastAsia"/>
        </w:rPr>
        <w:t>应具备对上报接口是否及时上报或数据处理过程是否在规定的时间内处理完成进行规则制定。在数据可视矩阵图上应能够清晰地标注出采集及时的数据、延时的数据、采集异常的数据，以及处理延时、异常的数据。同时，该功能能够对不及时或异常的数据形成告警，并提供可视界面对告警信息的详情查看的辅助功能。</w:t>
      </w:r>
    </w:p>
    <w:p>
      <w:pPr>
        <w:pStyle w:val="15"/>
        <w:ind w:firstLine="480"/>
        <w:sectPr>
          <w:pgSz w:w="11906" w:h="16838"/>
          <w:pgMar w:top="2098" w:right="1474" w:bottom="1985" w:left="1588" w:header="851" w:footer="992" w:gutter="0"/>
          <w:cols w:space="425" w:num="1"/>
          <w:docGrid w:type="lines" w:linePitch="312" w:charSpace="0"/>
        </w:sectPr>
      </w:pPr>
    </w:p>
    <w:p>
      <w:pPr>
        <w:pStyle w:val="3"/>
        <w:numPr>
          <w:ilvl w:val="1"/>
          <w:numId w:val="6"/>
        </w:numPr>
        <w:ind w:firstLine="640"/>
        <w:rPr>
          <w:rFonts w:ascii="黑体" w:hAnsi="黑体"/>
          <w:b w:val="0"/>
        </w:rPr>
      </w:pPr>
      <w:bookmarkStart w:id="36" w:name="_Toc20286"/>
      <w:bookmarkStart w:id="37" w:name="_Toc8890"/>
      <w:bookmarkStart w:id="38" w:name="_Toc4189"/>
      <w:r>
        <w:rPr>
          <w:rFonts w:hint="eastAsia" w:ascii="黑体" w:hAnsi="黑体"/>
          <w:b w:val="0"/>
        </w:rPr>
        <w:t>全省监察子系统</w:t>
      </w:r>
      <w:bookmarkEnd w:id="36"/>
      <w:bookmarkEnd w:id="37"/>
      <w:bookmarkEnd w:id="38"/>
    </w:p>
    <w:p>
      <w:pPr>
        <w:ind w:firstLine="640"/>
      </w:pPr>
      <w:r>
        <w:drawing>
          <wp:anchor distT="0" distB="0" distL="114300" distR="114300" simplePos="0" relativeHeight="251667456" behindDoc="0" locked="0" layoutInCell="1" allowOverlap="1">
            <wp:simplePos x="0" y="0"/>
            <wp:positionH relativeFrom="column">
              <wp:posOffset>207010</wp:posOffset>
            </wp:positionH>
            <wp:positionV relativeFrom="paragraph">
              <wp:posOffset>1670685</wp:posOffset>
            </wp:positionV>
            <wp:extent cx="5610860" cy="3208020"/>
            <wp:effectExtent l="0" t="0" r="12700" b="7620"/>
            <wp:wrapTopAndBottom/>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16"/>
                    <a:stretch>
                      <a:fillRect/>
                    </a:stretch>
                  </pic:blipFill>
                  <pic:spPr>
                    <a:xfrm>
                      <a:off x="0" y="0"/>
                      <a:ext cx="5610860" cy="3208020"/>
                    </a:xfrm>
                    <a:prstGeom prst="rect">
                      <a:avLst/>
                    </a:prstGeom>
                    <a:noFill/>
                    <a:ln>
                      <a:noFill/>
                    </a:ln>
                  </pic:spPr>
                </pic:pic>
              </a:graphicData>
            </a:graphic>
          </wp:anchor>
        </w:drawing>
      </w:r>
      <w:r>
        <w:rPr>
          <w:rFonts w:hint="eastAsia"/>
        </w:rPr>
        <w:t>全省统一监察子系统完成对全省特种设备相关单位、设备、人员监督管理。完成单位、设备、人员三要素及设备检验、安全隐患、风险预警及其他监管事务在线服务受理。全省监察子系统需要开发平台和移动端，基本功能业务模块如下图所示。</w:t>
      </w:r>
    </w:p>
    <w:p>
      <w:pPr>
        <w:pStyle w:val="4"/>
        <w:numPr>
          <w:ilvl w:val="2"/>
          <w:numId w:val="8"/>
        </w:numPr>
        <w:spacing w:before="0" w:after="0" w:line="580" w:lineRule="exact"/>
        <w:ind w:firstLine="640"/>
        <w:rPr>
          <w:rFonts w:ascii="楷体_GB2312" w:eastAsia="楷体_GB2312"/>
        </w:rPr>
      </w:pPr>
      <w:bookmarkStart w:id="39" w:name="_Toc4733"/>
      <w:r>
        <w:rPr>
          <w:rFonts w:hint="eastAsia" w:ascii="楷体_GB2312" w:eastAsia="楷体_GB2312"/>
        </w:rPr>
        <w:t>工作桌面</w:t>
      </w:r>
      <w:bookmarkEnd w:id="39"/>
    </w:p>
    <w:p>
      <w:pPr>
        <w:ind w:firstLine="640"/>
      </w:pPr>
      <w:r>
        <w:rPr>
          <w:rFonts w:hint="eastAsia"/>
        </w:rPr>
        <w:t>工作桌面是监察人员登录系统后首先看到的页面，主要包含几部分内容主要包括部分区域统计、待办事项列表、通知公告、事故快报、全检索搜索栏等其显示内容根据当前账户级情况有所不同。</w:t>
      </w:r>
    </w:p>
    <w:p>
      <w:pPr>
        <w:pStyle w:val="4"/>
        <w:numPr>
          <w:ilvl w:val="2"/>
          <w:numId w:val="8"/>
        </w:numPr>
        <w:spacing w:before="0" w:after="0" w:line="580" w:lineRule="exact"/>
        <w:ind w:firstLine="640"/>
        <w:rPr>
          <w:rFonts w:ascii="楷体_GB2312" w:eastAsia="楷体_GB2312"/>
        </w:rPr>
      </w:pPr>
      <w:bookmarkStart w:id="40" w:name="_Toc5013"/>
      <w:r>
        <w:rPr>
          <w:rFonts w:hint="eastAsia" w:ascii="楷体_GB2312" w:eastAsia="楷体_GB2312"/>
        </w:rPr>
        <w:t>业务办理</w:t>
      </w:r>
      <w:bookmarkEnd w:id="40"/>
    </w:p>
    <w:p>
      <w:pPr>
        <w:ind w:firstLine="640"/>
      </w:pPr>
      <w:r>
        <w:rPr>
          <w:rFonts w:hint="eastAsia"/>
        </w:rPr>
        <w:t>业务办理主要指监察人员的常用办理业务包括：施工告知、设备使用登记、检验检测机构告知、电梯检测维保管理等监管业务的办理。</w:t>
      </w:r>
    </w:p>
    <w:p>
      <w:pPr>
        <w:pStyle w:val="5"/>
        <w:ind w:firstLine="643"/>
      </w:pPr>
      <w:r>
        <w:rPr>
          <w:rFonts w:ascii="Times New Roman" w:hAnsi="Times New Roman" w:cs="Times New Roman"/>
          <w:szCs w:val="32"/>
        </w:rPr>
        <w:t>1.</w:t>
      </w:r>
      <w:r>
        <w:rPr>
          <w:rFonts w:hint="eastAsia" w:ascii="仿宋_GB2312" w:hAnsi="仿宋_GB2312" w:cs="仿宋_GB2312"/>
          <w:szCs w:val="32"/>
        </w:rPr>
        <w:t>施工告知</w:t>
      </w:r>
    </w:p>
    <w:p>
      <w:pPr>
        <w:ind w:firstLine="640"/>
      </w:pPr>
      <w:r>
        <w:rPr>
          <w:rFonts w:hint="eastAsia"/>
        </w:rPr>
        <w:t>主要是完成施工告知的在线审核受理，以及相关信息的提取等完成设备施工告知相关业务受理。</w:t>
      </w:r>
    </w:p>
    <w:p>
      <w:pPr>
        <w:ind w:firstLine="640"/>
      </w:pPr>
      <w:r>
        <w:rPr>
          <w:rFonts w:hint="eastAsia"/>
        </w:rPr>
        <w:t>一是告知受理，完成安装告知的接收、受理和查询。实现通过时间段、按区域、按设备类型、按受理机构等进行筛选查询，以及对告知的修改、退回、受理、列表导出等操作管理。</w:t>
      </w:r>
    </w:p>
    <w:p>
      <w:pPr>
        <w:ind w:firstLine="640"/>
      </w:pPr>
      <w:r>
        <w:rPr>
          <w:rFonts w:hint="eastAsia"/>
        </w:rPr>
        <w:t>二是信息提取，对施工告知中的信息进行有效提取记录，包括但不限于设备类型、设备属性信息、施工信息、相关文件等。</w:t>
      </w:r>
    </w:p>
    <w:p>
      <w:pPr>
        <w:ind w:firstLine="640"/>
      </w:pPr>
      <w:r>
        <w:rPr>
          <w:rFonts w:hint="eastAsia"/>
        </w:rPr>
        <w:t>施工告知的种类包括安装告知、改造告知、维修告知和移装告知。其中设备种类与施工告知类型关系如下表所示：</w:t>
      </w:r>
    </w:p>
    <w:tbl>
      <w:tblPr>
        <w:tblStyle w:val="27"/>
        <w:tblW w:w="4998" w:type="pct"/>
        <w:tblInd w:w="0" w:type="dxa"/>
        <w:tblLayout w:type="autofit"/>
        <w:tblCellMar>
          <w:top w:w="0" w:type="dxa"/>
          <w:left w:w="0" w:type="dxa"/>
          <w:bottom w:w="0" w:type="dxa"/>
          <w:right w:w="0" w:type="dxa"/>
        </w:tblCellMar>
      </w:tblPr>
      <w:tblGrid>
        <w:gridCol w:w="2027"/>
        <w:gridCol w:w="787"/>
        <w:gridCol w:w="738"/>
        <w:gridCol w:w="1222"/>
        <w:gridCol w:w="1236"/>
        <w:gridCol w:w="1243"/>
        <w:gridCol w:w="1611"/>
      </w:tblGrid>
      <w:tr>
        <w:tblPrEx>
          <w:tblCellMar>
            <w:top w:w="0" w:type="dxa"/>
            <w:left w:w="0" w:type="dxa"/>
            <w:bottom w:w="0" w:type="dxa"/>
            <w:right w:w="0" w:type="dxa"/>
          </w:tblCellMar>
        </w:tblPrEx>
        <w:trPr>
          <w:trHeight w:val="414" w:hRule="atLeast"/>
        </w:trPr>
        <w:tc>
          <w:tcPr>
            <w:tcW w:w="1143" w:type="pct"/>
            <w:vMerge w:val="restart"/>
            <w:tcBorders>
              <w:top w:val="single" w:color="000000" w:sz="8" w:space="0"/>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widowControl/>
              <w:ind w:firstLine="0" w:firstLineChars="0"/>
              <w:textAlignment w:val="center"/>
              <w:rPr>
                <w:rFonts w:ascii="宋体" w:hAnsi="宋体" w:eastAsia="宋体" w:cs="宋体"/>
                <w:color w:val="000000"/>
                <w:sz w:val="30"/>
                <w:szCs w:val="30"/>
              </w:rPr>
            </w:pPr>
            <w:r>
              <w:rPr>
                <w:rFonts w:hint="eastAsia" w:ascii="宋体" w:hAnsi="宋体" w:eastAsia="宋体" w:cs="宋体"/>
                <w:color w:val="000000"/>
                <w:kern w:val="0"/>
                <w:sz w:val="30"/>
                <w:szCs w:val="30"/>
                <w:lang w:bidi="ar"/>
              </w:rPr>
              <w:t>设备种类</w:t>
            </w:r>
          </w:p>
        </w:tc>
        <w:tc>
          <w:tcPr>
            <w:tcW w:w="444" w:type="pct"/>
            <w:vMerge w:val="restart"/>
            <w:tcBorders>
              <w:top w:val="single" w:color="000000" w:sz="8" w:space="0"/>
              <w:left w:val="nil"/>
              <w:bottom w:val="single" w:color="000000" w:sz="8" w:space="0"/>
              <w:right w:val="single" w:color="000000" w:sz="8" w:space="0"/>
            </w:tcBorders>
            <w:shd w:val="clear" w:color="auto" w:fill="auto"/>
            <w:tcMar>
              <w:top w:w="12" w:type="dxa"/>
              <w:left w:w="12" w:type="dxa"/>
              <w:right w:w="12" w:type="dxa"/>
            </w:tcMar>
            <w:vAlign w:val="center"/>
          </w:tcPr>
          <w:p>
            <w:pPr>
              <w:widowControl/>
              <w:ind w:firstLine="0" w:firstLineChars="0"/>
              <w:jc w:val="center"/>
              <w:textAlignment w:val="center"/>
              <w:rPr>
                <w:rFonts w:ascii="宋体" w:hAnsi="宋体" w:eastAsia="宋体" w:cs="宋体"/>
                <w:color w:val="000000"/>
                <w:sz w:val="30"/>
                <w:szCs w:val="30"/>
              </w:rPr>
            </w:pPr>
            <w:r>
              <w:rPr>
                <w:rFonts w:hint="eastAsia" w:ascii="宋体" w:hAnsi="宋体" w:eastAsia="宋体" w:cs="宋体"/>
                <w:color w:val="000000"/>
                <w:kern w:val="0"/>
                <w:sz w:val="30"/>
                <w:szCs w:val="30"/>
                <w:lang w:bidi="ar"/>
              </w:rPr>
              <w:t>安装</w:t>
            </w:r>
          </w:p>
        </w:tc>
        <w:tc>
          <w:tcPr>
            <w:tcW w:w="416" w:type="pct"/>
            <w:vMerge w:val="restart"/>
            <w:tcBorders>
              <w:top w:val="single" w:color="000000" w:sz="8" w:space="0"/>
              <w:left w:val="nil"/>
              <w:bottom w:val="single" w:color="000000" w:sz="8" w:space="0"/>
              <w:right w:val="single" w:color="000000" w:sz="8" w:space="0"/>
            </w:tcBorders>
            <w:shd w:val="clear" w:color="auto" w:fill="auto"/>
            <w:tcMar>
              <w:top w:w="12" w:type="dxa"/>
              <w:left w:w="12" w:type="dxa"/>
              <w:right w:w="12" w:type="dxa"/>
            </w:tcMar>
            <w:vAlign w:val="center"/>
          </w:tcPr>
          <w:p>
            <w:pPr>
              <w:widowControl/>
              <w:ind w:firstLine="0" w:firstLineChars="0"/>
              <w:jc w:val="center"/>
              <w:textAlignment w:val="center"/>
              <w:rPr>
                <w:rFonts w:ascii="宋体" w:hAnsi="宋体" w:eastAsia="宋体" w:cs="宋体"/>
                <w:color w:val="000000"/>
                <w:sz w:val="30"/>
                <w:szCs w:val="30"/>
              </w:rPr>
            </w:pPr>
            <w:r>
              <w:rPr>
                <w:rFonts w:hint="eastAsia" w:ascii="宋体" w:hAnsi="宋体" w:eastAsia="宋体" w:cs="宋体"/>
                <w:color w:val="000000"/>
                <w:kern w:val="0"/>
                <w:sz w:val="30"/>
                <w:szCs w:val="30"/>
                <w:lang w:bidi="ar"/>
              </w:rPr>
              <w:t>改造</w:t>
            </w:r>
          </w:p>
        </w:tc>
        <w:tc>
          <w:tcPr>
            <w:tcW w:w="1386" w:type="pct"/>
            <w:gridSpan w:val="2"/>
            <w:tcBorders>
              <w:top w:val="single" w:color="000000" w:sz="8" w:space="0"/>
              <w:left w:val="nil"/>
              <w:bottom w:val="single" w:color="000000" w:sz="8" w:space="0"/>
              <w:right w:val="single" w:color="000000" w:sz="8" w:space="0"/>
            </w:tcBorders>
            <w:shd w:val="clear" w:color="auto" w:fill="auto"/>
            <w:tcMar>
              <w:top w:w="12" w:type="dxa"/>
              <w:left w:w="12" w:type="dxa"/>
              <w:right w:w="12" w:type="dxa"/>
            </w:tcMar>
          </w:tcPr>
          <w:p>
            <w:pPr>
              <w:widowControl/>
              <w:ind w:firstLine="0" w:firstLineChars="0"/>
              <w:jc w:val="center"/>
              <w:textAlignment w:val="top"/>
              <w:rPr>
                <w:rFonts w:ascii="宋体" w:hAnsi="宋体" w:eastAsia="宋体" w:cs="宋体"/>
                <w:color w:val="000000"/>
                <w:sz w:val="30"/>
                <w:szCs w:val="30"/>
              </w:rPr>
            </w:pPr>
            <w:r>
              <w:rPr>
                <w:rFonts w:hint="eastAsia" w:ascii="宋体" w:hAnsi="宋体" w:eastAsia="宋体" w:cs="宋体"/>
                <w:color w:val="000000"/>
                <w:kern w:val="0"/>
                <w:sz w:val="30"/>
                <w:szCs w:val="30"/>
                <w:lang w:bidi="ar"/>
              </w:rPr>
              <w:t>维修</w:t>
            </w:r>
          </w:p>
        </w:tc>
        <w:tc>
          <w:tcPr>
            <w:tcW w:w="1609" w:type="pct"/>
            <w:gridSpan w:val="2"/>
            <w:tcBorders>
              <w:top w:val="single" w:color="000000" w:sz="8" w:space="0"/>
              <w:left w:val="nil"/>
              <w:bottom w:val="single" w:color="000000" w:sz="8" w:space="0"/>
              <w:right w:val="single" w:color="000000" w:sz="8" w:space="0"/>
            </w:tcBorders>
            <w:shd w:val="clear" w:color="auto" w:fill="auto"/>
            <w:tcMar>
              <w:top w:w="12" w:type="dxa"/>
              <w:left w:w="12" w:type="dxa"/>
              <w:right w:w="12" w:type="dxa"/>
            </w:tcMar>
          </w:tcPr>
          <w:p>
            <w:pPr>
              <w:widowControl/>
              <w:ind w:firstLine="0" w:firstLineChars="0"/>
              <w:jc w:val="center"/>
              <w:textAlignment w:val="top"/>
              <w:rPr>
                <w:rFonts w:ascii="宋体" w:hAnsi="宋体" w:eastAsia="宋体" w:cs="宋体"/>
                <w:color w:val="000000"/>
                <w:sz w:val="30"/>
                <w:szCs w:val="30"/>
              </w:rPr>
            </w:pPr>
            <w:r>
              <w:rPr>
                <w:rFonts w:hint="eastAsia" w:ascii="宋体" w:hAnsi="宋体" w:eastAsia="宋体" w:cs="宋体"/>
                <w:color w:val="000000"/>
                <w:kern w:val="0"/>
                <w:sz w:val="30"/>
                <w:szCs w:val="30"/>
                <w:lang w:bidi="ar"/>
              </w:rPr>
              <w:t>移装</w:t>
            </w:r>
          </w:p>
        </w:tc>
      </w:tr>
      <w:tr>
        <w:tblPrEx>
          <w:tblCellMar>
            <w:top w:w="0" w:type="dxa"/>
            <w:left w:w="0" w:type="dxa"/>
            <w:bottom w:w="0" w:type="dxa"/>
            <w:right w:w="0" w:type="dxa"/>
          </w:tblCellMar>
        </w:tblPrEx>
        <w:trPr>
          <w:trHeight w:val="783" w:hRule="atLeast"/>
        </w:trPr>
        <w:tc>
          <w:tcPr>
            <w:tcW w:w="1143" w:type="pct"/>
            <w:vMerge w:val="continue"/>
            <w:tcBorders>
              <w:top w:val="single" w:color="000000" w:sz="8" w:space="0"/>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ind w:firstLine="600"/>
              <w:jc w:val="center"/>
              <w:rPr>
                <w:rFonts w:ascii="宋体" w:hAnsi="宋体" w:eastAsia="宋体" w:cs="宋体"/>
                <w:color w:val="000000"/>
                <w:sz w:val="30"/>
                <w:szCs w:val="30"/>
              </w:rPr>
            </w:pPr>
          </w:p>
        </w:tc>
        <w:tc>
          <w:tcPr>
            <w:tcW w:w="444" w:type="pct"/>
            <w:vMerge w:val="continue"/>
            <w:tcBorders>
              <w:top w:val="single" w:color="000000" w:sz="8" w:space="0"/>
              <w:left w:val="nil"/>
              <w:bottom w:val="single" w:color="000000" w:sz="8" w:space="0"/>
              <w:right w:val="single" w:color="000000" w:sz="8" w:space="0"/>
            </w:tcBorders>
            <w:shd w:val="clear" w:color="auto" w:fill="auto"/>
            <w:tcMar>
              <w:top w:w="12" w:type="dxa"/>
              <w:left w:w="12" w:type="dxa"/>
              <w:right w:w="12" w:type="dxa"/>
            </w:tcMar>
            <w:vAlign w:val="center"/>
          </w:tcPr>
          <w:p>
            <w:pPr>
              <w:ind w:firstLine="600"/>
              <w:jc w:val="center"/>
              <w:rPr>
                <w:rFonts w:ascii="宋体" w:hAnsi="宋体" w:eastAsia="宋体" w:cs="宋体"/>
                <w:color w:val="000000"/>
                <w:sz w:val="30"/>
                <w:szCs w:val="30"/>
              </w:rPr>
            </w:pPr>
          </w:p>
        </w:tc>
        <w:tc>
          <w:tcPr>
            <w:tcW w:w="416" w:type="pct"/>
            <w:vMerge w:val="continue"/>
            <w:tcBorders>
              <w:top w:val="single" w:color="000000" w:sz="8" w:space="0"/>
              <w:left w:val="nil"/>
              <w:bottom w:val="single" w:color="000000" w:sz="8" w:space="0"/>
              <w:right w:val="single" w:color="000000" w:sz="8" w:space="0"/>
            </w:tcBorders>
            <w:shd w:val="clear" w:color="auto" w:fill="auto"/>
            <w:tcMar>
              <w:top w:w="12" w:type="dxa"/>
              <w:left w:w="12" w:type="dxa"/>
              <w:right w:w="12" w:type="dxa"/>
            </w:tcMar>
            <w:vAlign w:val="center"/>
          </w:tcPr>
          <w:p>
            <w:pPr>
              <w:ind w:firstLine="600"/>
              <w:jc w:val="center"/>
              <w:rPr>
                <w:rFonts w:ascii="宋体" w:hAnsi="宋体" w:eastAsia="宋体" w:cs="宋体"/>
                <w:color w:val="000000"/>
                <w:sz w:val="30"/>
                <w:szCs w:val="30"/>
              </w:rPr>
            </w:pPr>
          </w:p>
        </w:tc>
        <w:tc>
          <w:tcPr>
            <w:tcW w:w="689" w:type="pct"/>
            <w:tcBorders>
              <w:top w:val="nil"/>
              <w:left w:val="nil"/>
              <w:bottom w:val="single" w:color="000000" w:sz="8" w:space="0"/>
              <w:right w:val="single" w:color="000000" w:sz="8" w:space="0"/>
            </w:tcBorders>
            <w:shd w:val="clear" w:color="auto" w:fill="auto"/>
            <w:tcMar>
              <w:top w:w="12" w:type="dxa"/>
              <w:left w:w="12" w:type="dxa"/>
              <w:right w:w="12" w:type="dxa"/>
            </w:tcMar>
          </w:tcPr>
          <w:p>
            <w:pPr>
              <w:widowControl/>
              <w:ind w:firstLine="0" w:firstLineChars="0"/>
              <w:jc w:val="center"/>
              <w:textAlignment w:val="top"/>
              <w:rPr>
                <w:rFonts w:ascii="宋体" w:hAnsi="宋体" w:eastAsia="宋体" w:cs="宋体"/>
                <w:color w:val="000000"/>
                <w:sz w:val="30"/>
                <w:szCs w:val="30"/>
              </w:rPr>
            </w:pPr>
            <w:r>
              <w:rPr>
                <w:rFonts w:hint="eastAsia" w:ascii="宋体" w:hAnsi="宋体" w:eastAsia="宋体" w:cs="宋体"/>
                <w:color w:val="000000"/>
                <w:kern w:val="0"/>
                <w:sz w:val="30"/>
                <w:szCs w:val="30"/>
                <w:lang w:bidi="ar"/>
              </w:rPr>
              <w:t>一般维修</w:t>
            </w:r>
          </w:p>
        </w:tc>
        <w:tc>
          <w:tcPr>
            <w:tcW w:w="697" w:type="pct"/>
            <w:tcBorders>
              <w:top w:val="nil"/>
              <w:left w:val="nil"/>
              <w:bottom w:val="single" w:color="000000" w:sz="8" w:space="0"/>
              <w:right w:val="single" w:color="000000" w:sz="8" w:space="0"/>
            </w:tcBorders>
            <w:shd w:val="clear" w:color="auto" w:fill="auto"/>
            <w:tcMar>
              <w:top w:w="12" w:type="dxa"/>
              <w:left w:w="12" w:type="dxa"/>
              <w:right w:w="12" w:type="dxa"/>
            </w:tcMar>
          </w:tcPr>
          <w:p>
            <w:pPr>
              <w:widowControl/>
              <w:ind w:firstLine="0" w:firstLineChars="0"/>
              <w:jc w:val="center"/>
              <w:textAlignment w:val="top"/>
              <w:rPr>
                <w:rFonts w:ascii="宋体" w:hAnsi="宋体" w:eastAsia="宋体" w:cs="宋体"/>
                <w:color w:val="000000"/>
                <w:sz w:val="30"/>
                <w:szCs w:val="30"/>
              </w:rPr>
            </w:pPr>
            <w:r>
              <w:rPr>
                <w:rFonts w:hint="eastAsia" w:ascii="宋体" w:hAnsi="宋体" w:eastAsia="宋体" w:cs="宋体"/>
                <w:color w:val="000000"/>
                <w:kern w:val="0"/>
                <w:sz w:val="30"/>
                <w:szCs w:val="30"/>
                <w:lang w:bidi="ar"/>
              </w:rPr>
              <w:t>重大维修</w:t>
            </w:r>
          </w:p>
        </w:tc>
        <w:tc>
          <w:tcPr>
            <w:tcW w:w="701" w:type="pct"/>
            <w:tcBorders>
              <w:top w:val="single" w:color="000000" w:sz="8" w:space="0"/>
              <w:left w:val="nil"/>
              <w:bottom w:val="single" w:color="000000" w:sz="8" w:space="0"/>
              <w:right w:val="single" w:color="000000" w:sz="8" w:space="0"/>
            </w:tcBorders>
            <w:shd w:val="clear" w:color="auto" w:fill="auto"/>
            <w:tcMar>
              <w:top w:w="12" w:type="dxa"/>
              <w:left w:w="12" w:type="dxa"/>
              <w:right w:w="12" w:type="dxa"/>
            </w:tcMar>
          </w:tcPr>
          <w:p>
            <w:pPr>
              <w:widowControl/>
              <w:ind w:firstLine="0" w:firstLineChars="0"/>
              <w:jc w:val="center"/>
              <w:textAlignment w:val="top"/>
              <w:rPr>
                <w:rFonts w:ascii="宋体" w:hAnsi="宋体" w:eastAsia="宋体" w:cs="宋体"/>
                <w:color w:val="000000"/>
                <w:sz w:val="30"/>
                <w:szCs w:val="30"/>
              </w:rPr>
            </w:pPr>
            <w:r>
              <w:rPr>
                <w:rFonts w:hint="eastAsia" w:ascii="宋体" w:hAnsi="宋体" w:eastAsia="宋体" w:cs="宋体"/>
                <w:color w:val="000000"/>
                <w:kern w:val="0"/>
                <w:sz w:val="30"/>
                <w:szCs w:val="30"/>
                <w:lang w:bidi="ar"/>
              </w:rPr>
              <w:t>省外移装</w:t>
            </w:r>
          </w:p>
        </w:tc>
        <w:tc>
          <w:tcPr>
            <w:tcW w:w="907" w:type="pct"/>
            <w:tcBorders>
              <w:top w:val="single" w:color="000000" w:sz="8" w:space="0"/>
              <w:left w:val="nil"/>
              <w:bottom w:val="single" w:color="000000" w:sz="8" w:space="0"/>
              <w:right w:val="single" w:color="000000" w:sz="8" w:space="0"/>
            </w:tcBorders>
            <w:shd w:val="clear" w:color="auto" w:fill="auto"/>
            <w:tcMar>
              <w:top w:w="12" w:type="dxa"/>
              <w:left w:w="12" w:type="dxa"/>
              <w:right w:w="12" w:type="dxa"/>
            </w:tcMar>
          </w:tcPr>
          <w:p>
            <w:pPr>
              <w:widowControl/>
              <w:ind w:firstLine="0" w:firstLineChars="0"/>
              <w:jc w:val="center"/>
              <w:textAlignment w:val="top"/>
              <w:rPr>
                <w:rFonts w:ascii="宋体" w:hAnsi="宋体" w:eastAsia="宋体" w:cs="宋体"/>
                <w:color w:val="000000"/>
                <w:sz w:val="30"/>
                <w:szCs w:val="30"/>
              </w:rPr>
            </w:pPr>
            <w:r>
              <w:rPr>
                <w:rFonts w:hint="eastAsia" w:ascii="宋体" w:hAnsi="宋体" w:eastAsia="宋体" w:cs="宋体"/>
                <w:color w:val="000000"/>
                <w:kern w:val="0"/>
                <w:sz w:val="30"/>
                <w:szCs w:val="30"/>
                <w:lang w:bidi="ar"/>
              </w:rPr>
              <w:t>省内移装</w:t>
            </w:r>
          </w:p>
        </w:tc>
      </w:tr>
      <w:tr>
        <w:tblPrEx>
          <w:tblCellMar>
            <w:top w:w="0" w:type="dxa"/>
            <w:left w:w="0" w:type="dxa"/>
            <w:bottom w:w="0" w:type="dxa"/>
            <w:right w:w="0" w:type="dxa"/>
          </w:tblCellMar>
        </w:tblPrEx>
        <w:trPr>
          <w:trHeight w:val="399" w:hRule="atLeast"/>
        </w:trPr>
        <w:tc>
          <w:tcPr>
            <w:tcW w:w="1143" w:type="pct"/>
            <w:tcBorders>
              <w:top w:val="nil"/>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ind w:firstLine="0" w:firstLineChars="0"/>
              <w:rPr>
                <w:rFonts w:ascii="宋体" w:hAnsi="宋体" w:eastAsia="宋体" w:cs="宋体"/>
                <w:color w:val="000000"/>
                <w:sz w:val="30"/>
                <w:szCs w:val="30"/>
              </w:rPr>
            </w:pPr>
            <w:r>
              <w:rPr>
                <w:rFonts w:hint="eastAsia" w:ascii="宋体" w:hAnsi="宋体" w:eastAsia="宋体" w:cs="宋体"/>
                <w:color w:val="000000"/>
                <w:sz w:val="30"/>
                <w:szCs w:val="30"/>
              </w:rPr>
              <w:t>锅炉</w:t>
            </w:r>
          </w:p>
        </w:tc>
        <w:tc>
          <w:tcPr>
            <w:tcW w:w="444" w:type="pct"/>
            <w:tcBorders>
              <w:top w:val="nil"/>
              <w:left w:val="nil"/>
              <w:bottom w:val="single" w:color="000000" w:sz="8" w:space="0"/>
              <w:right w:val="single" w:color="000000" w:sz="8" w:space="0"/>
            </w:tcBorders>
            <w:shd w:val="clear" w:color="auto" w:fill="auto"/>
            <w:tcMar>
              <w:top w:w="12" w:type="dxa"/>
              <w:left w:w="12" w:type="dxa"/>
              <w:right w:w="12" w:type="dxa"/>
            </w:tcMar>
            <w:vAlign w:val="center"/>
          </w:tcPr>
          <w:p>
            <w:pPr>
              <w:ind w:firstLine="0" w:firstLineChars="0"/>
              <w:jc w:val="center"/>
              <w:rPr>
                <w:rFonts w:ascii="宋体" w:hAnsi="宋体" w:eastAsia="宋体" w:cs="宋体"/>
                <w:color w:val="000000"/>
                <w:sz w:val="30"/>
                <w:szCs w:val="30"/>
              </w:rPr>
            </w:pPr>
            <w:r>
              <w:rPr>
                <w:rFonts w:ascii="宋体" w:hAnsi="宋体" w:eastAsia="宋体" w:cs="宋体"/>
                <w:color w:val="000000"/>
                <w:sz w:val="30"/>
                <w:szCs w:val="30"/>
              </w:rPr>
              <w:t>√</w:t>
            </w:r>
          </w:p>
        </w:tc>
        <w:tc>
          <w:tcPr>
            <w:tcW w:w="416" w:type="pct"/>
            <w:tcBorders>
              <w:top w:val="nil"/>
              <w:left w:val="nil"/>
              <w:bottom w:val="single" w:color="000000" w:sz="8" w:space="0"/>
              <w:right w:val="single" w:color="000000" w:sz="8" w:space="0"/>
            </w:tcBorders>
            <w:shd w:val="clear" w:color="auto" w:fill="auto"/>
            <w:tcMar>
              <w:top w:w="12" w:type="dxa"/>
              <w:left w:w="12" w:type="dxa"/>
              <w:right w:w="12" w:type="dxa"/>
            </w:tcMar>
            <w:vAlign w:val="center"/>
          </w:tcPr>
          <w:p>
            <w:pPr>
              <w:ind w:firstLine="0" w:firstLineChars="0"/>
              <w:jc w:val="center"/>
              <w:rPr>
                <w:rFonts w:ascii="宋体" w:hAnsi="宋体" w:eastAsia="宋体" w:cs="宋体"/>
                <w:color w:val="000000"/>
                <w:sz w:val="30"/>
                <w:szCs w:val="30"/>
              </w:rPr>
            </w:pPr>
            <w:r>
              <w:rPr>
                <w:rFonts w:ascii="宋体" w:hAnsi="宋体" w:eastAsia="宋体" w:cs="宋体"/>
                <w:color w:val="000000"/>
                <w:sz w:val="30"/>
                <w:szCs w:val="30"/>
              </w:rPr>
              <w:t>√</w:t>
            </w:r>
          </w:p>
        </w:tc>
        <w:tc>
          <w:tcPr>
            <w:tcW w:w="689" w:type="pct"/>
            <w:tcBorders>
              <w:top w:val="nil"/>
              <w:left w:val="nil"/>
              <w:bottom w:val="single" w:color="000000" w:sz="8" w:space="0"/>
              <w:right w:val="single" w:color="000000" w:sz="8" w:space="0"/>
            </w:tcBorders>
            <w:shd w:val="clear" w:color="auto" w:fill="auto"/>
            <w:tcMar>
              <w:top w:w="12" w:type="dxa"/>
              <w:left w:w="12" w:type="dxa"/>
              <w:right w:w="12" w:type="dxa"/>
            </w:tcMar>
            <w:vAlign w:val="center"/>
          </w:tcPr>
          <w:p>
            <w:pPr>
              <w:ind w:firstLine="0" w:firstLineChars="0"/>
              <w:jc w:val="center"/>
              <w:rPr>
                <w:rFonts w:ascii="宋体" w:hAnsi="宋体" w:eastAsia="宋体" w:cs="宋体"/>
                <w:color w:val="000000"/>
                <w:sz w:val="30"/>
                <w:szCs w:val="30"/>
              </w:rPr>
            </w:pPr>
            <w:r>
              <w:rPr>
                <w:rFonts w:ascii="宋体" w:hAnsi="宋体" w:eastAsia="宋体" w:cs="宋体"/>
                <w:color w:val="000000"/>
                <w:sz w:val="30"/>
                <w:szCs w:val="30"/>
              </w:rPr>
              <w:t>√</w:t>
            </w:r>
          </w:p>
        </w:tc>
        <w:tc>
          <w:tcPr>
            <w:tcW w:w="697" w:type="pct"/>
            <w:tcBorders>
              <w:top w:val="nil"/>
              <w:left w:val="nil"/>
              <w:bottom w:val="single" w:color="000000" w:sz="8" w:space="0"/>
              <w:right w:val="single" w:color="000000" w:sz="8" w:space="0"/>
            </w:tcBorders>
            <w:shd w:val="clear" w:color="auto" w:fill="auto"/>
            <w:tcMar>
              <w:top w:w="12" w:type="dxa"/>
              <w:left w:w="12" w:type="dxa"/>
              <w:right w:w="12" w:type="dxa"/>
            </w:tcMar>
            <w:vAlign w:val="center"/>
          </w:tcPr>
          <w:p>
            <w:pPr>
              <w:ind w:firstLine="0" w:firstLineChars="0"/>
              <w:jc w:val="center"/>
              <w:rPr>
                <w:rFonts w:ascii="宋体" w:hAnsi="宋体" w:eastAsia="宋体" w:cs="宋体"/>
                <w:color w:val="000000"/>
                <w:sz w:val="30"/>
                <w:szCs w:val="30"/>
              </w:rPr>
            </w:pPr>
            <w:r>
              <w:rPr>
                <w:rFonts w:ascii="宋体" w:hAnsi="宋体" w:eastAsia="宋体" w:cs="宋体"/>
                <w:color w:val="000000"/>
                <w:sz w:val="30"/>
                <w:szCs w:val="30"/>
              </w:rPr>
              <w:t>√</w:t>
            </w:r>
          </w:p>
        </w:tc>
        <w:tc>
          <w:tcPr>
            <w:tcW w:w="701" w:type="pct"/>
            <w:tcBorders>
              <w:top w:val="nil"/>
              <w:left w:val="nil"/>
              <w:bottom w:val="single" w:color="000000" w:sz="8" w:space="0"/>
              <w:right w:val="single" w:color="000000" w:sz="8" w:space="0"/>
            </w:tcBorders>
            <w:shd w:val="clear" w:color="auto" w:fill="auto"/>
            <w:tcMar>
              <w:top w:w="12" w:type="dxa"/>
              <w:left w:w="12" w:type="dxa"/>
              <w:right w:w="12" w:type="dxa"/>
            </w:tcMar>
            <w:vAlign w:val="center"/>
          </w:tcPr>
          <w:p>
            <w:pPr>
              <w:ind w:firstLine="0" w:firstLineChars="0"/>
              <w:jc w:val="center"/>
              <w:rPr>
                <w:rFonts w:ascii="宋体" w:hAnsi="宋体" w:eastAsia="宋体" w:cs="宋体"/>
                <w:color w:val="000000"/>
                <w:sz w:val="30"/>
                <w:szCs w:val="30"/>
              </w:rPr>
            </w:pPr>
            <w:r>
              <w:rPr>
                <w:rFonts w:ascii="宋体" w:hAnsi="宋体" w:eastAsia="宋体" w:cs="宋体"/>
                <w:color w:val="000000"/>
                <w:sz w:val="30"/>
                <w:szCs w:val="30"/>
              </w:rPr>
              <w:t>√</w:t>
            </w:r>
          </w:p>
        </w:tc>
        <w:tc>
          <w:tcPr>
            <w:tcW w:w="907" w:type="pct"/>
            <w:tcBorders>
              <w:top w:val="nil"/>
              <w:left w:val="nil"/>
              <w:bottom w:val="single" w:color="000000" w:sz="8" w:space="0"/>
              <w:right w:val="single" w:color="000000" w:sz="8" w:space="0"/>
            </w:tcBorders>
            <w:shd w:val="clear" w:color="auto" w:fill="auto"/>
            <w:tcMar>
              <w:top w:w="12" w:type="dxa"/>
              <w:left w:w="12" w:type="dxa"/>
              <w:right w:w="12" w:type="dxa"/>
            </w:tcMar>
            <w:vAlign w:val="center"/>
          </w:tcPr>
          <w:p>
            <w:pPr>
              <w:ind w:firstLine="0" w:firstLineChars="0"/>
              <w:jc w:val="center"/>
              <w:rPr>
                <w:rFonts w:ascii="宋体" w:hAnsi="宋体" w:eastAsia="宋体" w:cs="宋体"/>
                <w:color w:val="000000"/>
                <w:sz w:val="30"/>
                <w:szCs w:val="30"/>
              </w:rPr>
            </w:pPr>
            <w:r>
              <w:rPr>
                <w:rFonts w:ascii="宋体" w:hAnsi="宋体" w:eastAsia="宋体" w:cs="宋体"/>
                <w:color w:val="000000"/>
                <w:sz w:val="30"/>
                <w:szCs w:val="30"/>
              </w:rPr>
              <w:t>√</w:t>
            </w:r>
          </w:p>
        </w:tc>
      </w:tr>
      <w:tr>
        <w:tblPrEx>
          <w:tblCellMar>
            <w:top w:w="0" w:type="dxa"/>
            <w:left w:w="0" w:type="dxa"/>
            <w:bottom w:w="0" w:type="dxa"/>
            <w:right w:w="0" w:type="dxa"/>
          </w:tblCellMar>
        </w:tblPrEx>
        <w:trPr>
          <w:trHeight w:val="1551" w:hRule="atLeast"/>
        </w:trPr>
        <w:tc>
          <w:tcPr>
            <w:tcW w:w="1143" w:type="pct"/>
            <w:tcBorders>
              <w:top w:val="nil"/>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ind w:firstLine="0" w:firstLineChars="0"/>
              <w:rPr>
                <w:rFonts w:ascii="宋体" w:hAnsi="宋体" w:eastAsia="宋体" w:cs="宋体"/>
                <w:color w:val="000000"/>
                <w:sz w:val="30"/>
                <w:szCs w:val="30"/>
              </w:rPr>
            </w:pPr>
            <w:r>
              <w:rPr>
                <w:rFonts w:hint="eastAsia" w:ascii="宋体" w:hAnsi="宋体" w:eastAsia="宋体" w:cs="宋体"/>
                <w:color w:val="000000"/>
                <w:sz w:val="30"/>
                <w:szCs w:val="30"/>
              </w:rPr>
              <w:t>固定式压力容器</w:t>
            </w:r>
          </w:p>
        </w:tc>
        <w:tc>
          <w:tcPr>
            <w:tcW w:w="444" w:type="pct"/>
            <w:tcBorders>
              <w:top w:val="nil"/>
              <w:left w:val="nil"/>
              <w:bottom w:val="single" w:color="000000" w:sz="8" w:space="0"/>
              <w:right w:val="single" w:color="000000" w:sz="8" w:space="0"/>
            </w:tcBorders>
            <w:shd w:val="clear" w:color="auto" w:fill="auto"/>
            <w:tcMar>
              <w:top w:w="12" w:type="dxa"/>
              <w:left w:w="12" w:type="dxa"/>
              <w:right w:w="12" w:type="dxa"/>
            </w:tcMar>
            <w:vAlign w:val="center"/>
          </w:tcPr>
          <w:p>
            <w:pPr>
              <w:ind w:firstLine="0" w:firstLineChars="0"/>
              <w:jc w:val="center"/>
              <w:rPr>
                <w:rFonts w:ascii="宋体" w:hAnsi="宋体" w:eastAsia="宋体" w:cs="宋体"/>
                <w:color w:val="000000"/>
                <w:sz w:val="30"/>
                <w:szCs w:val="30"/>
              </w:rPr>
            </w:pPr>
            <w:r>
              <w:rPr>
                <w:rFonts w:ascii="宋体" w:hAnsi="宋体" w:eastAsia="宋体" w:cs="宋体"/>
                <w:color w:val="000000"/>
                <w:sz w:val="30"/>
                <w:szCs w:val="30"/>
              </w:rPr>
              <w:t>√</w:t>
            </w:r>
          </w:p>
        </w:tc>
        <w:tc>
          <w:tcPr>
            <w:tcW w:w="416" w:type="pct"/>
            <w:tcBorders>
              <w:top w:val="nil"/>
              <w:left w:val="nil"/>
              <w:bottom w:val="single" w:color="000000" w:sz="8" w:space="0"/>
              <w:right w:val="single" w:color="000000" w:sz="8" w:space="0"/>
            </w:tcBorders>
            <w:shd w:val="clear" w:color="auto" w:fill="auto"/>
            <w:tcMar>
              <w:top w:w="12" w:type="dxa"/>
              <w:left w:w="12" w:type="dxa"/>
              <w:right w:w="12" w:type="dxa"/>
            </w:tcMar>
            <w:vAlign w:val="center"/>
          </w:tcPr>
          <w:p>
            <w:pPr>
              <w:ind w:firstLine="0" w:firstLineChars="0"/>
              <w:jc w:val="center"/>
              <w:rPr>
                <w:rFonts w:ascii="宋体" w:hAnsi="宋体" w:eastAsia="宋体" w:cs="宋体"/>
                <w:color w:val="000000"/>
                <w:sz w:val="30"/>
                <w:szCs w:val="30"/>
              </w:rPr>
            </w:pPr>
            <w:r>
              <w:rPr>
                <w:rFonts w:hint="eastAsia" w:ascii="宋体" w:hAnsi="宋体" w:eastAsia="宋体" w:cs="宋体"/>
                <w:color w:val="000000"/>
                <w:sz w:val="30"/>
                <w:szCs w:val="30"/>
              </w:rPr>
              <w:t xml:space="preserve"> </w:t>
            </w:r>
            <w:r>
              <w:rPr>
                <w:rFonts w:ascii="宋体" w:hAnsi="宋体" w:eastAsia="宋体" w:cs="宋体"/>
                <w:color w:val="000000"/>
                <w:sz w:val="30"/>
                <w:szCs w:val="30"/>
              </w:rPr>
              <w:t>√</w:t>
            </w:r>
          </w:p>
        </w:tc>
        <w:tc>
          <w:tcPr>
            <w:tcW w:w="689" w:type="pct"/>
            <w:tcBorders>
              <w:top w:val="nil"/>
              <w:left w:val="nil"/>
              <w:bottom w:val="single" w:color="000000" w:sz="8" w:space="0"/>
              <w:right w:val="single" w:color="000000" w:sz="8" w:space="0"/>
            </w:tcBorders>
            <w:shd w:val="clear" w:color="auto" w:fill="auto"/>
            <w:tcMar>
              <w:top w:w="12" w:type="dxa"/>
              <w:left w:w="12" w:type="dxa"/>
              <w:right w:w="12" w:type="dxa"/>
            </w:tcMar>
            <w:vAlign w:val="center"/>
          </w:tcPr>
          <w:p>
            <w:pPr>
              <w:ind w:firstLine="0" w:firstLineChars="0"/>
              <w:jc w:val="center"/>
              <w:rPr>
                <w:rFonts w:ascii="宋体" w:hAnsi="宋体" w:eastAsia="宋体" w:cs="宋体"/>
                <w:color w:val="000000"/>
                <w:sz w:val="30"/>
                <w:szCs w:val="30"/>
              </w:rPr>
            </w:pPr>
            <w:r>
              <w:rPr>
                <w:rFonts w:hint="eastAsia" w:ascii="宋体" w:hAnsi="宋体" w:eastAsia="宋体" w:cs="宋体"/>
                <w:color w:val="000000"/>
                <w:sz w:val="30"/>
                <w:szCs w:val="30"/>
              </w:rPr>
              <w:t xml:space="preserve"> </w:t>
            </w:r>
            <w:r>
              <w:rPr>
                <w:rFonts w:ascii="宋体" w:hAnsi="宋体" w:eastAsia="宋体" w:cs="宋体"/>
                <w:color w:val="000000"/>
                <w:sz w:val="30"/>
                <w:szCs w:val="30"/>
              </w:rPr>
              <w:t>√</w:t>
            </w:r>
          </w:p>
        </w:tc>
        <w:tc>
          <w:tcPr>
            <w:tcW w:w="697" w:type="pct"/>
            <w:tcBorders>
              <w:top w:val="nil"/>
              <w:left w:val="nil"/>
              <w:bottom w:val="single" w:color="000000" w:sz="8" w:space="0"/>
              <w:right w:val="single" w:color="000000" w:sz="8" w:space="0"/>
            </w:tcBorders>
            <w:shd w:val="clear" w:color="auto" w:fill="auto"/>
            <w:tcMar>
              <w:top w:w="12" w:type="dxa"/>
              <w:left w:w="12" w:type="dxa"/>
              <w:right w:w="12" w:type="dxa"/>
            </w:tcMar>
            <w:vAlign w:val="center"/>
          </w:tcPr>
          <w:p>
            <w:pPr>
              <w:ind w:firstLine="0" w:firstLineChars="0"/>
              <w:jc w:val="center"/>
              <w:rPr>
                <w:rFonts w:ascii="宋体" w:hAnsi="宋体" w:eastAsia="宋体" w:cs="宋体"/>
                <w:color w:val="000000"/>
                <w:sz w:val="30"/>
                <w:szCs w:val="30"/>
              </w:rPr>
            </w:pPr>
            <w:r>
              <w:rPr>
                <w:rFonts w:hint="eastAsia" w:ascii="宋体" w:hAnsi="宋体" w:eastAsia="宋体" w:cs="宋体"/>
                <w:color w:val="000000"/>
                <w:sz w:val="30"/>
                <w:szCs w:val="30"/>
              </w:rPr>
              <w:t xml:space="preserve"> </w:t>
            </w:r>
            <w:r>
              <w:rPr>
                <w:rFonts w:ascii="宋体" w:hAnsi="宋体" w:eastAsia="宋体" w:cs="宋体"/>
                <w:color w:val="000000"/>
                <w:sz w:val="30"/>
                <w:szCs w:val="30"/>
              </w:rPr>
              <w:t>√</w:t>
            </w:r>
          </w:p>
        </w:tc>
        <w:tc>
          <w:tcPr>
            <w:tcW w:w="701" w:type="pct"/>
            <w:tcBorders>
              <w:top w:val="nil"/>
              <w:left w:val="nil"/>
              <w:bottom w:val="single" w:color="000000" w:sz="8" w:space="0"/>
              <w:right w:val="single" w:color="000000" w:sz="8" w:space="0"/>
            </w:tcBorders>
            <w:shd w:val="clear" w:color="auto" w:fill="auto"/>
            <w:tcMar>
              <w:top w:w="12" w:type="dxa"/>
              <w:left w:w="12" w:type="dxa"/>
              <w:right w:w="12" w:type="dxa"/>
            </w:tcMar>
            <w:vAlign w:val="center"/>
          </w:tcPr>
          <w:p>
            <w:pPr>
              <w:ind w:firstLine="0" w:firstLineChars="0"/>
              <w:jc w:val="center"/>
              <w:rPr>
                <w:rFonts w:ascii="宋体" w:hAnsi="宋体" w:eastAsia="宋体" w:cs="宋体"/>
                <w:color w:val="000000"/>
                <w:sz w:val="30"/>
                <w:szCs w:val="30"/>
              </w:rPr>
            </w:pPr>
            <w:r>
              <w:rPr>
                <w:rFonts w:hint="eastAsia" w:ascii="宋体" w:hAnsi="宋体" w:eastAsia="宋体" w:cs="宋体"/>
                <w:color w:val="000000"/>
                <w:sz w:val="30"/>
                <w:szCs w:val="30"/>
              </w:rPr>
              <w:t xml:space="preserve"> </w:t>
            </w:r>
            <w:r>
              <w:rPr>
                <w:rFonts w:ascii="宋体" w:hAnsi="宋体" w:eastAsia="宋体" w:cs="宋体"/>
                <w:color w:val="000000"/>
                <w:sz w:val="30"/>
                <w:szCs w:val="30"/>
              </w:rPr>
              <w:t>√</w:t>
            </w:r>
          </w:p>
        </w:tc>
        <w:tc>
          <w:tcPr>
            <w:tcW w:w="907" w:type="pct"/>
            <w:tcBorders>
              <w:top w:val="nil"/>
              <w:left w:val="nil"/>
              <w:bottom w:val="single" w:color="000000" w:sz="8" w:space="0"/>
              <w:right w:val="single" w:color="000000" w:sz="8" w:space="0"/>
            </w:tcBorders>
            <w:shd w:val="clear" w:color="auto" w:fill="auto"/>
            <w:tcMar>
              <w:top w:w="12" w:type="dxa"/>
              <w:left w:w="12" w:type="dxa"/>
              <w:right w:w="12" w:type="dxa"/>
            </w:tcMar>
            <w:vAlign w:val="center"/>
          </w:tcPr>
          <w:p>
            <w:pPr>
              <w:ind w:firstLine="0" w:firstLineChars="0"/>
              <w:jc w:val="center"/>
              <w:rPr>
                <w:rFonts w:ascii="宋体" w:hAnsi="宋体" w:eastAsia="宋体" w:cs="宋体"/>
                <w:color w:val="000000"/>
                <w:sz w:val="30"/>
                <w:szCs w:val="30"/>
              </w:rPr>
            </w:pPr>
            <w:r>
              <w:rPr>
                <w:rFonts w:hint="eastAsia" w:ascii="宋体" w:hAnsi="宋体" w:eastAsia="宋体" w:cs="宋体"/>
                <w:color w:val="000000"/>
                <w:sz w:val="30"/>
                <w:szCs w:val="30"/>
              </w:rPr>
              <w:t xml:space="preserve"> </w:t>
            </w:r>
            <w:r>
              <w:rPr>
                <w:rFonts w:ascii="宋体" w:hAnsi="宋体" w:eastAsia="宋体" w:cs="宋体"/>
                <w:color w:val="000000"/>
                <w:sz w:val="30"/>
                <w:szCs w:val="30"/>
              </w:rPr>
              <w:t>√</w:t>
            </w:r>
          </w:p>
        </w:tc>
      </w:tr>
      <w:tr>
        <w:tblPrEx>
          <w:tblCellMar>
            <w:top w:w="0" w:type="dxa"/>
            <w:left w:w="0" w:type="dxa"/>
            <w:bottom w:w="0" w:type="dxa"/>
            <w:right w:w="0" w:type="dxa"/>
          </w:tblCellMar>
        </w:tblPrEx>
        <w:trPr>
          <w:trHeight w:val="1551" w:hRule="atLeast"/>
        </w:trPr>
        <w:tc>
          <w:tcPr>
            <w:tcW w:w="1143" w:type="pct"/>
            <w:tcBorders>
              <w:top w:val="nil"/>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ind w:firstLine="0" w:firstLineChars="0"/>
              <w:rPr>
                <w:rFonts w:ascii="宋体" w:hAnsi="宋体" w:eastAsia="宋体" w:cs="宋体"/>
                <w:color w:val="000000"/>
                <w:sz w:val="30"/>
                <w:szCs w:val="30"/>
              </w:rPr>
            </w:pPr>
            <w:r>
              <w:rPr>
                <w:rFonts w:hint="eastAsia" w:ascii="宋体" w:hAnsi="宋体" w:eastAsia="宋体" w:cs="宋体"/>
                <w:color w:val="000000"/>
                <w:sz w:val="30"/>
                <w:szCs w:val="30"/>
              </w:rPr>
              <w:t>移动式压力容器</w:t>
            </w:r>
          </w:p>
        </w:tc>
        <w:tc>
          <w:tcPr>
            <w:tcW w:w="444" w:type="pct"/>
            <w:tcBorders>
              <w:top w:val="nil"/>
              <w:left w:val="nil"/>
              <w:bottom w:val="single" w:color="000000" w:sz="8" w:space="0"/>
              <w:right w:val="single" w:color="000000" w:sz="8" w:space="0"/>
            </w:tcBorders>
            <w:shd w:val="clear" w:color="auto" w:fill="auto"/>
            <w:tcMar>
              <w:top w:w="12" w:type="dxa"/>
              <w:left w:w="12" w:type="dxa"/>
              <w:right w:w="12" w:type="dxa"/>
            </w:tcMar>
            <w:vAlign w:val="center"/>
          </w:tcPr>
          <w:p>
            <w:pPr>
              <w:ind w:firstLine="0" w:firstLineChars="0"/>
              <w:jc w:val="center"/>
              <w:rPr>
                <w:rFonts w:ascii="宋体" w:hAnsi="宋体" w:eastAsia="宋体" w:cs="宋体"/>
                <w:color w:val="000000"/>
                <w:sz w:val="30"/>
                <w:szCs w:val="30"/>
              </w:rPr>
            </w:pPr>
          </w:p>
        </w:tc>
        <w:tc>
          <w:tcPr>
            <w:tcW w:w="416" w:type="pct"/>
            <w:tcBorders>
              <w:top w:val="nil"/>
              <w:left w:val="nil"/>
              <w:bottom w:val="single" w:color="000000" w:sz="8" w:space="0"/>
              <w:right w:val="single" w:color="000000" w:sz="8" w:space="0"/>
            </w:tcBorders>
            <w:shd w:val="clear" w:color="auto" w:fill="auto"/>
            <w:tcMar>
              <w:top w:w="12" w:type="dxa"/>
              <w:left w:w="12" w:type="dxa"/>
              <w:right w:w="12" w:type="dxa"/>
            </w:tcMar>
            <w:vAlign w:val="center"/>
          </w:tcPr>
          <w:p>
            <w:pPr>
              <w:ind w:firstLine="0" w:firstLineChars="0"/>
              <w:jc w:val="center"/>
              <w:rPr>
                <w:rFonts w:ascii="宋体" w:hAnsi="宋体" w:eastAsia="宋体" w:cs="宋体"/>
                <w:color w:val="000000"/>
                <w:sz w:val="30"/>
                <w:szCs w:val="30"/>
              </w:rPr>
            </w:pPr>
          </w:p>
        </w:tc>
        <w:tc>
          <w:tcPr>
            <w:tcW w:w="689" w:type="pct"/>
            <w:tcBorders>
              <w:top w:val="nil"/>
              <w:left w:val="nil"/>
              <w:bottom w:val="single" w:color="000000" w:sz="8" w:space="0"/>
              <w:right w:val="single" w:color="000000" w:sz="8" w:space="0"/>
            </w:tcBorders>
            <w:shd w:val="clear" w:color="auto" w:fill="auto"/>
            <w:tcMar>
              <w:top w:w="12" w:type="dxa"/>
              <w:left w:w="12" w:type="dxa"/>
              <w:right w:w="12" w:type="dxa"/>
            </w:tcMar>
            <w:vAlign w:val="center"/>
          </w:tcPr>
          <w:p>
            <w:pPr>
              <w:ind w:firstLine="0" w:firstLineChars="0"/>
              <w:jc w:val="center"/>
              <w:rPr>
                <w:rFonts w:ascii="宋体" w:hAnsi="宋体" w:eastAsia="宋体" w:cs="宋体"/>
                <w:color w:val="000000"/>
                <w:sz w:val="30"/>
                <w:szCs w:val="30"/>
              </w:rPr>
            </w:pPr>
          </w:p>
        </w:tc>
        <w:tc>
          <w:tcPr>
            <w:tcW w:w="697" w:type="pct"/>
            <w:tcBorders>
              <w:top w:val="nil"/>
              <w:left w:val="nil"/>
              <w:bottom w:val="single" w:color="000000" w:sz="8" w:space="0"/>
              <w:right w:val="single" w:color="000000" w:sz="8" w:space="0"/>
            </w:tcBorders>
            <w:shd w:val="clear" w:color="auto" w:fill="auto"/>
            <w:tcMar>
              <w:top w:w="12" w:type="dxa"/>
              <w:left w:w="12" w:type="dxa"/>
              <w:right w:w="12" w:type="dxa"/>
            </w:tcMar>
            <w:vAlign w:val="center"/>
          </w:tcPr>
          <w:p>
            <w:pPr>
              <w:ind w:firstLine="0" w:firstLineChars="0"/>
              <w:jc w:val="center"/>
              <w:rPr>
                <w:rFonts w:ascii="宋体" w:hAnsi="宋体" w:eastAsia="宋体" w:cs="宋体"/>
                <w:color w:val="000000"/>
                <w:sz w:val="30"/>
                <w:szCs w:val="30"/>
              </w:rPr>
            </w:pPr>
          </w:p>
        </w:tc>
        <w:tc>
          <w:tcPr>
            <w:tcW w:w="701" w:type="pct"/>
            <w:tcBorders>
              <w:top w:val="nil"/>
              <w:left w:val="nil"/>
              <w:bottom w:val="single" w:color="000000" w:sz="8" w:space="0"/>
              <w:right w:val="single" w:color="000000" w:sz="8" w:space="0"/>
            </w:tcBorders>
            <w:shd w:val="clear" w:color="auto" w:fill="auto"/>
            <w:tcMar>
              <w:top w:w="12" w:type="dxa"/>
              <w:left w:w="12" w:type="dxa"/>
              <w:right w:w="12" w:type="dxa"/>
            </w:tcMar>
            <w:vAlign w:val="center"/>
          </w:tcPr>
          <w:p>
            <w:pPr>
              <w:ind w:firstLine="0" w:firstLineChars="0"/>
              <w:jc w:val="center"/>
              <w:rPr>
                <w:rFonts w:ascii="宋体" w:hAnsi="宋体" w:eastAsia="宋体" w:cs="宋体"/>
                <w:color w:val="000000"/>
                <w:sz w:val="30"/>
                <w:szCs w:val="30"/>
              </w:rPr>
            </w:pPr>
          </w:p>
        </w:tc>
        <w:tc>
          <w:tcPr>
            <w:tcW w:w="907" w:type="pct"/>
            <w:tcBorders>
              <w:top w:val="nil"/>
              <w:left w:val="nil"/>
              <w:bottom w:val="single" w:color="000000" w:sz="8" w:space="0"/>
              <w:right w:val="single" w:color="000000" w:sz="8" w:space="0"/>
            </w:tcBorders>
            <w:shd w:val="clear" w:color="auto" w:fill="auto"/>
            <w:tcMar>
              <w:top w:w="12" w:type="dxa"/>
              <w:left w:w="12" w:type="dxa"/>
              <w:right w:w="12" w:type="dxa"/>
            </w:tcMar>
            <w:vAlign w:val="center"/>
          </w:tcPr>
          <w:p>
            <w:pPr>
              <w:ind w:firstLine="0" w:firstLineChars="0"/>
              <w:jc w:val="center"/>
              <w:rPr>
                <w:rFonts w:ascii="宋体" w:hAnsi="宋体" w:eastAsia="宋体" w:cs="宋体"/>
                <w:color w:val="000000"/>
                <w:sz w:val="30"/>
                <w:szCs w:val="30"/>
              </w:rPr>
            </w:pPr>
          </w:p>
        </w:tc>
      </w:tr>
      <w:tr>
        <w:tblPrEx>
          <w:tblCellMar>
            <w:top w:w="0" w:type="dxa"/>
            <w:left w:w="0" w:type="dxa"/>
            <w:bottom w:w="0" w:type="dxa"/>
            <w:right w:w="0" w:type="dxa"/>
          </w:tblCellMar>
        </w:tblPrEx>
        <w:trPr>
          <w:trHeight w:val="399" w:hRule="atLeast"/>
        </w:trPr>
        <w:tc>
          <w:tcPr>
            <w:tcW w:w="1143" w:type="pct"/>
            <w:tcBorders>
              <w:top w:val="nil"/>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ind w:firstLine="0" w:firstLineChars="0"/>
              <w:rPr>
                <w:rFonts w:ascii="宋体" w:hAnsi="宋体" w:eastAsia="宋体" w:cs="宋体"/>
                <w:color w:val="000000"/>
                <w:sz w:val="30"/>
                <w:szCs w:val="30"/>
              </w:rPr>
            </w:pPr>
            <w:r>
              <w:rPr>
                <w:rFonts w:hint="eastAsia" w:ascii="宋体" w:hAnsi="宋体" w:eastAsia="宋体" w:cs="宋体"/>
                <w:color w:val="000000"/>
                <w:sz w:val="30"/>
                <w:szCs w:val="30"/>
              </w:rPr>
              <w:t>电梯</w:t>
            </w:r>
          </w:p>
        </w:tc>
        <w:tc>
          <w:tcPr>
            <w:tcW w:w="444" w:type="pct"/>
            <w:tcBorders>
              <w:top w:val="nil"/>
              <w:left w:val="nil"/>
              <w:bottom w:val="single" w:color="000000" w:sz="8" w:space="0"/>
              <w:right w:val="single" w:color="000000" w:sz="8" w:space="0"/>
            </w:tcBorders>
            <w:shd w:val="clear" w:color="auto" w:fill="auto"/>
            <w:tcMar>
              <w:top w:w="12" w:type="dxa"/>
              <w:left w:w="12" w:type="dxa"/>
              <w:right w:w="12" w:type="dxa"/>
            </w:tcMar>
            <w:vAlign w:val="center"/>
          </w:tcPr>
          <w:p>
            <w:pPr>
              <w:ind w:firstLine="0" w:firstLineChars="0"/>
              <w:jc w:val="center"/>
              <w:rPr>
                <w:rFonts w:ascii="宋体" w:hAnsi="宋体" w:eastAsia="宋体" w:cs="宋体"/>
                <w:color w:val="000000"/>
                <w:sz w:val="30"/>
                <w:szCs w:val="30"/>
              </w:rPr>
            </w:pPr>
            <w:r>
              <w:rPr>
                <w:rFonts w:ascii="宋体" w:hAnsi="宋体" w:eastAsia="宋体" w:cs="宋体"/>
                <w:color w:val="000000"/>
                <w:sz w:val="30"/>
                <w:szCs w:val="30"/>
              </w:rPr>
              <w:t>√</w:t>
            </w:r>
          </w:p>
        </w:tc>
        <w:tc>
          <w:tcPr>
            <w:tcW w:w="416" w:type="pct"/>
            <w:tcBorders>
              <w:top w:val="nil"/>
              <w:left w:val="nil"/>
              <w:bottom w:val="single" w:color="000000" w:sz="8" w:space="0"/>
              <w:right w:val="single" w:color="000000" w:sz="8" w:space="0"/>
            </w:tcBorders>
            <w:shd w:val="clear" w:color="auto" w:fill="auto"/>
            <w:tcMar>
              <w:top w:w="12" w:type="dxa"/>
              <w:left w:w="12" w:type="dxa"/>
              <w:right w:w="12" w:type="dxa"/>
            </w:tcMar>
            <w:vAlign w:val="center"/>
          </w:tcPr>
          <w:p>
            <w:pPr>
              <w:ind w:firstLine="0" w:firstLineChars="0"/>
              <w:jc w:val="center"/>
              <w:rPr>
                <w:rFonts w:ascii="宋体" w:hAnsi="宋体" w:eastAsia="宋体" w:cs="宋体"/>
                <w:color w:val="000000"/>
                <w:sz w:val="30"/>
                <w:szCs w:val="30"/>
              </w:rPr>
            </w:pPr>
            <w:r>
              <w:rPr>
                <w:rFonts w:hint="eastAsia" w:ascii="宋体" w:hAnsi="宋体" w:eastAsia="宋体" w:cs="宋体"/>
                <w:color w:val="000000"/>
                <w:sz w:val="30"/>
                <w:szCs w:val="30"/>
              </w:rPr>
              <w:t xml:space="preserve"> </w:t>
            </w:r>
            <w:r>
              <w:rPr>
                <w:rFonts w:ascii="宋体" w:hAnsi="宋体" w:eastAsia="宋体" w:cs="宋体"/>
                <w:color w:val="000000"/>
                <w:sz w:val="30"/>
                <w:szCs w:val="30"/>
              </w:rPr>
              <w:t>√</w:t>
            </w:r>
          </w:p>
        </w:tc>
        <w:tc>
          <w:tcPr>
            <w:tcW w:w="689" w:type="pct"/>
            <w:tcBorders>
              <w:top w:val="nil"/>
              <w:left w:val="nil"/>
              <w:bottom w:val="single" w:color="000000" w:sz="8" w:space="0"/>
              <w:right w:val="single" w:color="000000" w:sz="8" w:space="0"/>
            </w:tcBorders>
            <w:shd w:val="clear" w:color="auto" w:fill="auto"/>
            <w:tcMar>
              <w:top w:w="12" w:type="dxa"/>
              <w:left w:w="12" w:type="dxa"/>
              <w:right w:w="12" w:type="dxa"/>
            </w:tcMar>
            <w:vAlign w:val="center"/>
          </w:tcPr>
          <w:p>
            <w:pPr>
              <w:ind w:firstLine="0" w:firstLineChars="0"/>
              <w:jc w:val="center"/>
              <w:rPr>
                <w:rFonts w:ascii="宋体" w:hAnsi="宋体" w:eastAsia="宋体" w:cs="宋体"/>
                <w:color w:val="000000"/>
                <w:sz w:val="30"/>
                <w:szCs w:val="30"/>
              </w:rPr>
            </w:pPr>
          </w:p>
        </w:tc>
        <w:tc>
          <w:tcPr>
            <w:tcW w:w="697" w:type="pct"/>
            <w:tcBorders>
              <w:top w:val="nil"/>
              <w:left w:val="nil"/>
              <w:bottom w:val="single" w:color="000000" w:sz="8" w:space="0"/>
              <w:right w:val="single" w:color="000000" w:sz="8" w:space="0"/>
            </w:tcBorders>
            <w:shd w:val="clear" w:color="auto" w:fill="auto"/>
            <w:tcMar>
              <w:top w:w="12" w:type="dxa"/>
              <w:left w:w="12" w:type="dxa"/>
              <w:right w:w="12" w:type="dxa"/>
            </w:tcMar>
            <w:vAlign w:val="center"/>
          </w:tcPr>
          <w:p>
            <w:pPr>
              <w:ind w:firstLine="0" w:firstLineChars="0"/>
              <w:jc w:val="center"/>
              <w:rPr>
                <w:rFonts w:ascii="宋体" w:hAnsi="宋体" w:eastAsia="宋体" w:cs="宋体"/>
                <w:color w:val="000000"/>
                <w:sz w:val="30"/>
                <w:szCs w:val="30"/>
              </w:rPr>
            </w:pPr>
            <w:r>
              <w:rPr>
                <w:rFonts w:hint="eastAsia" w:ascii="宋体" w:hAnsi="宋体" w:eastAsia="宋体" w:cs="宋体"/>
                <w:color w:val="000000"/>
                <w:sz w:val="30"/>
                <w:szCs w:val="30"/>
              </w:rPr>
              <w:t xml:space="preserve"> </w:t>
            </w:r>
            <w:r>
              <w:rPr>
                <w:rFonts w:ascii="宋体" w:hAnsi="宋体" w:eastAsia="宋体" w:cs="宋体"/>
                <w:color w:val="000000"/>
                <w:sz w:val="30"/>
                <w:szCs w:val="30"/>
              </w:rPr>
              <w:t>√</w:t>
            </w:r>
          </w:p>
        </w:tc>
        <w:tc>
          <w:tcPr>
            <w:tcW w:w="701" w:type="pct"/>
            <w:tcBorders>
              <w:top w:val="nil"/>
              <w:left w:val="nil"/>
              <w:bottom w:val="single" w:color="000000" w:sz="8" w:space="0"/>
              <w:right w:val="single" w:color="000000" w:sz="8" w:space="0"/>
            </w:tcBorders>
            <w:shd w:val="clear" w:color="auto" w:fill="auto"/>
            <w:tcMar>
              <w:top w:w="12" w:type="dxa"/>
              <w:left w:w="12" w:type="dxa"/>
              <w:right w:w="12" w:type="dxa"/>
            </w:tcMar>
            <w:vAlign w:val="center"/>
          </w:tcPr>
          <w:p>
            <w:pPr>
              <w:ind w:firstLine="0" w:firstLineChars="0"/>
              <w:jc w:val="center"/>
              <w:rPr>
                <w:rFonts w:ascii="宋体" w:hAnsi="宋体" w:eastAsia="宋体" w:cs="宋体"/>
                <w:color w:val="000000"/>
                <w:sz w:val="30"/>
                <w:szCs w:val="30"/>
              </w:rPr>
            </w:pPr>
            <w:r>
              <w:rPr>
                <w:rFonts w:hint="eastAsia" w:ascii="宋体" w:hAnsi="宋体" w:eastAsia="宋体" w:cs="宋体"/>
                <w:color w:val="000000"/>
                <w:sz w:val="30"/>
                <w:szCs w:val="30"/>
              </w:rPr>
              <w:t xml:space="preserve"> </w:t>
            </w:r>
            <w:r>
              <w:rPr>
                <w:rFonts w:ascii="宋体" w:hAnsi="宋体" w:eastAsia="宋体" w:cs="宋体"/>
                <w:color w:val="000000"/>
                <w:sz w:val="30"/>
                <w:szCs w:val="30"/>
              </w:rPr>
              <w:t>√</w:t>
            </w:r>
          </w:p>
        </w:tc>
        <w:tc>
          <w:tcPr>
            <w:tcW w:w="907" w:type="pct"/>
            <w:tcBorders>
              <w:top w:val="nil"/>
              <w:left w:val="nil"/>
              <w:bottom w:val="single" w:color="000000" w:sz="8" w:space="0"/>
              <w:right w:val="single" w:color="000000" w:sz="8" w:space="0"/>
            </w:tcBorders>
            <w:shd w:val="clear" w:color="auto" w:fill="auto"/>
            <w:tcMar>
              <w:top w:w="12" w:type="dxa"/>
              <w:left w:w="12" w:type="dxa"/>
              <w:right w:w="12" w:type="dxa"/>
            </w:tcMar>
            <w:vAlign w:val="center"/>
          </w:tcPr>
          <w:p>
            <w:pPr>
              <w:ind w:firstLine="0" w:firstLineChars="0"/>
              <w:jc w:val="center"/>
              <w:rPr>
                <w:rFonts w:ascii="宋体" w:hAnsi="宋体" w:eastAsia="宋体" w:cs="宋体"/>
                <w:color w:val="000000"/>
                <w:sz w:val="30"/>
                <w:szCs w:val="30"/>
              </w:rPr>
            </w:pPr>
            <w:r>
              <w:rPr>
                <w:rFonts w:hint="eastAsia" w:ascii="宋体" w:hAnsi="宋体" w:eastAsia="宋体" w:cs="宋体"/>
                <w:color w:val="000000"/>
                <w:sz w:val="30"/>
                <w:szCs w:val="30"/>
              </w:rPr>
              <w:t xml:space="preserve"> </w:t>
            </w:r>
            <w:r>
              <w:rPr>
                <w:rFonts w:ascii="宋体" w:hAnsi="宋体" w:eastAsia="宋体" w:cs="宋体"/>
                <w:color w:val="000000"/>
                <w:sz w:val="30"/>
                <w:szCs w:val="30"/>
              </w:rPr>
              <w:t>√</w:t>
            </w:r>
          </w:p>
        </w:tc>
      </w:tr>
      <w:tr>
        <w:tblPrEx>
          <w:tblCellMar>
            <w:top w:w="0" w:type="dxa"/>
            <w:left w:w="0" w:type="dxa"/>
            <w:bottom w:w="0" w:type="dxa"/>
            <w:right w:w="0" w:type="dxa"/>
          </w:tblCellMar>
        </w:tblPrEx>
        <w:trPr>
          <w:trHeight w:val="783" w:hRule="atLeast"/>
        </w:trPr>
        <w:tc>
          <w:tcPr>
            <w:tcW w:w="1143" w:type="pct"/>
            <w:tcBorders>
              <w:top w:val="nil"/>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ind w:firstLine="0" w:firstLineChars="0"/>
              <w:rPr>
                <w:rFonts w:ascii="宋体" w:hAnsi="宋体" w:eastAsia="宋体" w:cs="宋体"/>
                <w:color w:val="000000"/>
                <w:sz w:val="30"/>
                <w:szCs w:val="30"/>
              </w:rPr>
            </w:pPr>
            <w:r>
              <w:rPr>
                <w:rFonts w:hint="eastAsia" w:ascii="宋体" w:hAnsi="宋体" w:eastAsia="宋体" w:cs="宋体"/>
                <w:color w:val="000000"/>
                <w:sz w:val="30"/>
                <w:szCs w:val="30"/>
              </w:rPr>
              <w:t>起重机械</w:t>
            </w:r>
          </w:p>
        </w:tc>
        <w:tc>
          <w:tcPr>
            <w:tcW w:w="444" w:type="pct"/>
            <w:tcBorders>
              <w:top w:val="nil"/>
              <w:left w:val="nil"/>
              <w:bottom w:val="single" w:color="000000" w:sz="8" w:space="0"/>
              <w:right w:val="single" w:color="000000" w:sz="8" w:space="0"/>
            </w:tcBorders>
            <w:shd w:val="clear" w:color="auto" w:fill="auto"/>
            <w:tcMar>
              <w:top w:w="12" w:type="dxa"/>
              <w:left w:w="12" w:type="dxa"/>
              <w:right w:w="12" w:type="dxa"/>
            </w:tcMar>
            <w:vAlign w:val="center"/>
          </w:tcPr>
          <w:p>
            <w:pPr>
              <w:ind w:firstLine="0" w:firstLineChars="0"/>
              <w:jc w:val="center"/>
              <w:rPr>
                <w:rFonts w:ascii="宋体" w:hAnsi="宋体" w:eastAsia="宋体" w:cs="宋体"/>
                <w:color w:val="000000"/>
                <w:sz w:val="30"/>
                <w:szCs w:val="30"/>
              </w:rPr>
            </w:pPr>
            <w:r>
              <w:rPr>
                <w:rFonts w:ascii="宋体" w:hAnsi="宋体" w:eastAsia="宋体" w:cs="宋体"/>
                <w:color w:val="000000"/>
                <w:sz w:val="30"/>
                <w:szCs w:val="30"/>
              </w:rPr>
              <w:t>√</w:t>
            </w:r>
          </w:p>
        </w:tc>
        <w:tc>
          <w:tcPr>
            <w:tcW w:w="416" w:type="pct"/>
            <w:tcBorders>
              <w:top w:val="nil"/>
              <w:left w:val="nil"/>
              <w:bottom w:val="single" w:color="000000" w:sz="8" w:space="0"/>
              <w:right w:val="single" w:color="000000" w:sz="8" w:space="0"/>
            </w:tcBorders>
            <w:shd w:val="clear" w:color="auto" w:fill="auto"/>
            <w:tcMar>
              <w:top w:w="12" w:type="dxa"/>
              <w:left w:w="12" w:type="dxa"/>
              <w:right w:w="12" w:type="dxa"/>
            </w:tcMar>
            <w:vAlign w:val="center"/>
          </w:tcPr>
          <w:p>
            <w:pPr>
              <w:ind w:firstLine="0" w:firstLineChars="0"/>
              <w:jc w:val="center"/>
              <w:rPr>
                <w:rFonts w:ascii="宋体" w:hAnsi="宋体" w:eastAsia="宋体" w:cs="宋体"/>
                <w:color w:val="000000"/>
                <w:sz w:val="30"/>
                <w:szCs w:val="30"/>
              </w:rPr>
            </w:pPr>
            <w:r>
              <w:rPr>
                <w:rFonts w:hint="eastAsia" w:ascii="宋体" w:hAnsi="宋体" w:eastAsia="宋体" w:cs="宋体"/>
                <w:color w:val="000000"/>
                <w:sz w:val="30"/>
                <w:szCs w:val="30"/>
              </w:rPr>
              <w:t xml:space="preserve"> </w:t>
            </w:r>
            <w:r>
              <w:rPr>
                <w:rFonts w:ascii="宋体" w:hAnsi="宋体" w:eastAsia="宋体" w:cs="宋体"/>
                <w:color w:val="000000"/>
                <w:sz w:val="30"/>
                <w:szCs w:val="30"/>
              </w:rPr>
              <w:t>√</w:t>
            </w:r>
          </w:p>
        </w:tc>
        <w:tc>
          <w:tcPr>
            <w:tcW w:w="689" w:type="pct"/>
            <w:tcBorders>
              <w:top w:val="nil"/>
              <w:left w:val="nil"/>
              <w:bottom w:val="single" w:color="000000" w:sz="8" w:space="0"/>
              <w:right w:val="single" w:color="000000" w:sz="8" w:space="0"/>
            </w:tcBorders>
            <w:shd w:val="clear" w:color="auto" w:fill="auto"/>
            <w:tcMar>
              <w:top w:w="12" w:type="dxa"/>
              <w:left w:w="12" w:type="dxa"/>
              <w:right w:w="12" w:type="dxa"/>
            </w:tcMar>
            <w:vAlign w:val="center"/>
          </w:tcPr>
          <w:p>
            <w:pPr>
              <w:ind w:firstLine="0" w:firstLineChars="0"/>
              <w:jc w:val="center"/>
              <w:rPr>
                <w:rFonts w:ascii="宋体" w:hAnsi="宋体" w:eastAsia="宋体" w:cs="宋体"/>
                <w:color w:val="000000"/>
                <w:sz w:val="30"/>
                <w:szCs w:val="30"/>
              </w:rPr>
            </w:pPr>
          </w:p>
        </w:tc>
        <w:tc>
          <w:tcPr>
            <w:tcW w:w="697" w:type="pct"/>
            <w:tcBorders>
              <w:top w:val="nil"/>
              <w:left w:val="nil"/>
              <w:bottom w:val="single" w:color="000000" w:sz="8" w:space="0"/>
              <w:right w:val="single" w:color="000000" w:sz="8" w:space="0"/>
            </w:tcBorders>
            <w:shd w:val="clear" w:color="auto" w:fill="auto"/>
            <w:tcMar>
              <w:top w:w="12" w:type="dxa"/>
              <w:left w:w="12" w:type="dxa"/>
              <w:right w:w="12" w:type="dxa"/>
            </w:tcMar>
            <w:vAlign w:val="center"/>
          </w:tcPr>
          <w:p>
            <w:pPr>
              <w:ind w:firstLine="0" w:firstLineChars="0"/>
              <w:jc w:val="center"/>
              <w:rPr>
                <w:rFonts w:ascii="宋体" w:hAnsi="宋体" w:eastAsia="宋体" w:cs="宋体"/>
                <w:color w:val="000000"/>
                <w:sz w:val="30"/>
                <w:szCs w:val="30"/>
              </w:rPr>
            </w:pPr>
            <w:r>
              <w:rPr>
                <w:rFonts w:hint="eastAsia" w:ascii="宋体" w:hAnsi="宋体" w:eastAsia="宋体" w:cs="宋体"/>
                <w:color w:val="000000"/>
                <w:sz w:val="30"/>
                <w:szCs w:val="30"/>
              </w:rPr>
              <w:t xml:space="preserve"> </w:t>
            </w:r>
            <w:r>
              <w:rPr>
                <w:rFonts w:ascii="宋体" w:hAnsi="宋体" w:eastAsia="宋体" w:cs="宋体"/>
                <w:color w:val="000000"/>
                <w:sz w:val="30"/>
                <w:szCs w:val="30"/>
              </w:rPr>
              <w:t>√</w:t>
            </w:r>
          </w:p>
        </w:tc>
        <w:tc>
          <w:tcPr>
            <w:tcW w:w="701" w:type="pct"/>
            <w:tcBorders>
              <w:top w:val="nil"/>
              <w:left w:val="nil"/>
              <w:bottom w:val="single" w:color="000000" w:sz="8" w:space="0"/>
              <w:right w:val="single" w:color="000000" w:sz="8" w:space="0"/>
            </w:tcBorders>
            <w:shd w:val="clear" w:color="auto" w:fill="auto"/>
            <w:tcMar>
              <w:top w:w="12" w:type="dxa"/>
              <w:left w:w="12" w:type="dxa"/>
              <w:right w:w="12" w:type="dxa"/>
            </w:tcMar>
            <w:vAlign w:val="center"/>
          </w:tcPr>
          <w:p>
            <w:pPr>
              <w:ind w:firstLine="0" w:firstLineChars="0"/>
              <w:jc w:val="center"/>
              <w:rPr>
                <w:rFonts w:ascii="宋体" w:hAnsi="宋体" w:eastAsia="宋体" w:cs="宋体"/>
                <w:color w:val="000000"/>
                <w:sz w:val="30"/>
                <w:szCs w:val="30"/>
              </w:rPr>
            </w:pPr>
            <w:r>
              <w:rPr>
                <w:rFonts w:hint="eastAsia" w:ascii="宋体" w:hAnsi="宋体" w:eastAsia="宋体" w:cs="宋体"/>
                <w:color w:val="000000"/>
                <w:sz w:val="30"/>
                <w:szCs w:val="30"/>
              </w:rPr>
              <w:t xml:space="preserve"> </w:t>
            </w:r>
            <w:r>
              <w:rPr>
                <w:rFonts w:ascii="宋体" w:hAnsi="宋体" w:eastAsia="宋体" w:cs="宋体"/>
                <w:color w:val="000000"/>
                <w:sz w:val="30"/>
                <w:szCs w:val="30"/>
              </w:rPr>
              <w:t>√</w:t>
            </w:r>
          </w:p>
        </w:tc>
        <w:tc>
          <w:tcPr>
            <w:tcW w:w="907" w:type="pct"/>
            <w:tcBorders>
              <w:top w:val="nil"/>
              <w:left w:val="nil"/>
              <w:bottom w:val="single" w:color="000000" w:sz="8" w:space="0"/>
              <w:right w:val="single" w:color="000000" w:sz="8" w:space="0"/>
            </w:tcBorders>
            <w:shd w:val="clear" w:color="auto" w:fill="auto"/>
            <w:tcMar>
              <w:top w:w="12" w:type="dxa"/>
              <w:left w:w="12" w:type="dxa"/>
              <w:right w:w="12" w:type="dxa"/>
            </w:tcMar>
            <w:vAlign w:val="center"/>
          </w:tcPr>
          <w:p>
            <w:pPr>
              <w:ind w:firstLine="0" w:firstLineChars="0"/>
              <w:jc w:val="center"/>
              <w:rPr>
                <w:rFonts w:ascii="宋体" w:hAnsi="宋体" w:eastAsia="宋体" w:cs="宋体"/>
                <w:color w:val="000000"/>
                <w:sz w:val="30"/>
                <w:szCs w:val="30"/>
              </w:rPr>
            </w:pPr>
            <w:r>
              <w:rPr>
                <w:rFonts w:hint="eastAsia" w:ascii="宋体" w:hAnsi="宋体" w:eastAsia="宋体" w:cs="宋体"/>
                <w:color w:val="000000"/>
                <w:sz w:val="30"/>
                <w:szCs w:val="30"/>
              </w:rPr>
              <w:t xml:space="preserve"> </w:t>
            </w:r>
            <w:r>
              <w:rPr>
                <w:rFonts w:ascii="宋体" w:hAnsi="宋体" w:eastAsia="宋体" w:cs="宋体"/>
                <w:color w:val="000000"/>
                <w:sz w:val="30"/>
                <w:szCs w:val="30"/>
              </w:rPr>
              <w:t>√</w:t>
            </w:r>
          </w:p>
        </w:tc>
      </w:tr>
      <w:tr>
        <w:tblPrEx>
          <w:tblCellMar>
            <w:top w:w="0" w:type="dxa"/>
            <w:left w:w="0" w:type="dxa"/>
            <w:bottom w:w="0" w:type="dxa"/>
            <w:right w:w="0" w:type="dxa"/>
          </w:tblCellMar>
        </w:tblPrEx>
        <w:trPr>
          <w:trHeight w:val="1362" w:hRule="atLeast"/>
        </w:trPr>
        <w:tc>
          <w:tcPr>
            <w:tcW w:w="1143" w:type="pct"/>
            <w:tcBorders>
              <w:top w:val="nil"/>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ind w:firstLine="0" w:firstLineChars="0"/>
              <w:rPr>
                <w:rFonts w:ascii="宋体" w:hAnsi="宋体" w:eastAsia="宋体" w:cs="宋体"/>
                <w:color w:val="000000"/>
                <w:sz w:val="30"/>
                <w:szCs w:val="30"/>
              </w:rPr>
            </w:pPr>
            <w:r>
              <w:rPr>
                <w:rFonts w:hint="eastAsia" w:ascii="宋体" w:hAnsi="宋体" w:eastAsia="宋体" w:cs="宋体"/>
                <w:color w:val="000000"/>
                <w:sz w:val="30"/>
                <w:szCs w:val="30"/>
              </w:rPr>
              <w:t>场(厂)内机动车辆</w:t>
            </w:r>
          </w:p>
        </w:tc>
        <w:tc>
          <w:tcPr>
            <w:tcW w:w="444" w:type="pct"/>
            <w:tcBorders>
              <w:top w:val="nil"/>
              <w:left w:val="nil"/>
              <w:bottom w:val="single" w:color="000000" w:sz="8" w:space="0"/>
              <w:right w:val="single" w:color="000000" w:sz="8" w:space="0"/>
            </w:tcBorders>
            <w:shd w:val="clear" w:color="auto" w:fill="auto"/>
            <w:tcMar>
              <w:top w:w="12" w:type="dxa"/>
              <w:left w:w="12" w:type="dxa"/>
              <w:right w:w="12" w:type="dxa"/>
            </w:tcMar>
            <w:vAlign w:val="center"/>
          </w:tcPr>
          <w:p>
            <w:pPr>
              <w:ind w:firstLine="0" w:firstLineChars="0"/>
              <w:jc w:val="center"/>
              <w:rPr>
                <w:rFonts w:ascii="宋体" w:hAnsi="宋体" w:eastAsia="宋体" w:cs="宋体"/>
                <w:color w:val="000000"/>
                <w:sz w:val="30"/>
                <w:szCs w:val="30"/>
              </w:rPr>
            </w:pPr>
          </w:p>
        </w:tc>
        <w:tc>
          <w:tcPr>
            <w:tcW w:w="416" w:type="pct"/>
            <w:tcBorders>
              <w:top w:val="nil"/>
              <w:left w:val="nil"/>
              <w:bottom w:val="single" w:color="000000" w:sz="8" w:space="0"/>
              <w:right w:val="single" w:color="000000" w:sz="8" w:space="0"/>
            </w:tcBorders>
            <w:shd w:val="clear" w:color="auto" w:fill="auto"/>
            <w:tcMar>
              <w:top w:w="12" w:type="dxa"/>
              <w:left w:w="12" w:type="dxa"/>
              <w:right w:w="12" w:type="dxa"/>
            </w:tcMar>
            <w:vAlign w:val="center"/>
          </w:tcPr>
          <w:p>
            <w:pPr>
              <w:ind w:firstLine="0" w:firstLineChars="0"/>
              <w:jc w:val="center"/>
              <w:rPr>
                <w:rFonts w:ascii="宋体" w:hAnsi="宋体" w:eastAsia="宋体" w:cs="宋体"/>
                <w:color w:val="000000"/>
                <w:sz w:val="30"/>
                <w:szCs w:val="30"/>
              </w:rPr>
            </w:pPr>
          </w:p>
        </w:tc>
        <w:tc>
          <w:tcPr>
            <w:tcW w:w="689" w:type="pct"/>
            <w:tcBorders>
              <w:top w:val="nil"/>
              <w:left w:val="nil"/>
              <w:bottom w:val="single" w:color="000000" w:sz="8" w:space="0"/>
              <w:right w:val="single" w:color="000000" w:sz="8" w:space="0"/>
            </w:tcBorders>
            <w:shd w:val="clear" w:color="auto" w:fill="auto"/>
            <w:tcMar>
              <w:top w:w="12" w:type="dxa"/>
              <w:left w:w="12" w:type="dxa"/>
              <w:right w:w="12" w:type="dxa"/>
            </w:tcMar>
            <w:vAlign w:val="center"/>
          </w:tcPr>
          <w:p>
            <w:pPr>
              <w:ind w:firstLine="0" w:firstLineChars="0"/>
              <w:jc w:val="center"/>
              <w:rPr>
                <w:rFonts w:ascii="宋体" w:hAnsi="宋体" w:eastAsia="宋体" w:cs="宋体"/>
                <w:color w:val="000000"/>
                <w:sz w:val="30"/>
                <w:szCs w:val="30"/>
              </w:rPr>
            </w:pPr>
          </w:p>
        </w:tc>
        <w:tc>
          <w:tcPr>
            <w:tcW w:w="697" w:type="pct"/>
            <w:tcBorders>
              <w:top w:val="nil"/>
              <w:left w:val="nil"/>
              <w:bottom w:val="single" w:color="000000" w:sz="8" w:space="0"/>
              <w:right w:val="single" w:color="000000" w:sz="8" w:space="0"/>
            </w:tcBorders>
            <w:shd w:val="clear" w:color="auto" w:fill="auto"/>
            <w:tcMar>
              <w:top w:w="12" w:type="dxa"/>
              <w:left w:w="12" w:type="dxa"/>
              <w:right w:w="12" w:type="dxa"/>
            </w:tcMar>
            <w:vAlign w:val="center"/>
          </w:tcPr>
          <w:p>
            <w:pPr>
              <w:ind w:firstLine="0" w:firstLineChars="0"/>
              <w:jc w:val="center"/>
              <w:rPr>
                <w:rFonts w:ascii="宋体" w:hAnsi="宋体" w:eastAsia="宋体" w:cs="宋体"/>
                <w:color w:val="000000"/>
                <w:sz w:val="30"/>
                <w:szCs w:val="30"/>
              </w:rPr>
            </w:pPr>
          </w:p>
        </w:tc>
        <w:tc>
          <w:tcPr>
            <w:tcW w:w="701" w:type="pct"/>
            <w:tcBorders>
              <w:top w:val="nil"/>
              <w:left w:val="nil"/>
              <w:bottom w:val="single" w:color="000000" w:sz="8" w:space="0"/>
              <w:right w:val="single" w:color="000000" w:sz="8" w:space="0"/>
            </w:tcBorders>
            <w:shd w:val="clear" w:color="auto" w:fill="auto"/>
            <w:tcMar>
              <w:top w:w="12" w:type="dxa"/>
              <w:left w:w="12" w:type="dxa"/>
              <w:right w:w="12" w:type="dxa"/>
            </w:tcMar>
            <w:vAlign w:val="center"/>
          </w:tcPr>
          <w:p>
            <w:pPr>
              <w:ind w:firstLine="0" w:firstLineChars="0"/>
              <w:jc w:val="center"/>
              <w:rPr>
                <w:rFonts w:ascii="宋体" w:hAnsi="宋体" w:eastAsia="宋体" w:cs="宋体"/>
                <w:color w:val="000000"/>
                <w:sz w:val="30"/>
                <w:szCs w:val="30"/>
              </w:rPr>
            </w:pPr>
          </w:p>
        </w:tc>
        <w:tc>
          <w:tcPr>
            <w:tcW w:w="907" w:type="pct"/>
            <w:tcBorders>
              <w:top w:val="nil"/>
              <w:left w:val="nil"/>
              <w:bottom w:val="single" w:color="000000" w:sz="8" w:space="0"/>
              <w:right w:val="single" w:color="000000" w:sz="8" w:space="0"/>
            </w:tcBorders>
            <w:shd w:val="clear" w:color="auto" w:fill="auto"/>
            <w:tcMar>
              <w:top w:w="12" w:type="dxa"/>
              <w:left w:w="12" w:type="dxa"/>
              <w:right w:w="12" w:type="dxa"/>
            </w:tcMar>
            <w:vAlign w:val="center"/>
          </w:tcPr>
          <w:p>
            <w:pPr>
              <w:ind w:firstLine="0" w:firstLineChars="0"/>
              <w:jc w:val="center"/>
              <w:rPr>
                <w:rFonts w:ascii="宋体" w:hAnsi="宋体" w:eastAsia="宋体" w:cs="宋体"/>
                <w:color w:val="000000"/>
                <w:sz w:val="30"/>
                <w:szCs w:val="30"/>
              </w:rPr>
            </w:pPr>
          </w:p>
        </w:tc>
      </w:tr>
      <w:tr>
        <w:tblPrEx>
          <w:tblCellMar>
            <w:top w:w="0" w:type="dxa"/>
            <w:left w:w="0" w:type="dxa"/>
            <w:bottom w:w="0" w:type="dxa"/>
            <w:right w:w="0" w:type="dxa"/>
          </w:tblCellMar>
        </w:tblPrEx>
        <w:trPr>
          <w:trHeight w:val="1167" w:hRule="atLeast"/>
        </w:trPr>
        <w:tc>
          <w:tcPr>
            <w:tcW w:w="1143" w:type="pct"/>
            <w:tcBorders>
              <w:top w:val="nil"/>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ind w:firstLine="0" w:firstLineChars="0"/>
              <w:rPr>
                <w:rFonts w:ascii="宋体" w:hAnsi="宋体" w:eastAsia="宋体" w:cs="宋体"/>
                <w:color w:val="000000"/>
                <w:sz w:val="30"/>
                <w:szCs w:val="30"/>
              </w:rPr>
            </w:pPr>
            <w:r>
              <w:rPr>
                <w:rFonts w:hint="eastAsia" w:ascii="宋体" w:hAnsi="宋体" w:eastAsia="宋体" w:cs="宋体"/>
                <w:color w:val="000000"/>
                <w:sz w:val="30"/>
                <w:szCs w:val="30"/>
              </w:rPr>
              <w:t>大型游乐设施</w:t>
            </w:r>
          </w:p>
        </w:tc>
        <w:tc>
          <w:tcPr>
            <w:tcW w:w="444" w:type="pct"/>
            <w:tcBorders>
              <w:top w:val="nil"/>
              <w:left w:val="nil"/>
              <w:bottom w:val="single" w:color="000000" w:sz="8" w:space="0"/>
              <w:right w:val="single" w:color="000000" w:sz="8" w:space="0"/>
            </w:tcBorders>
            <w:shd w:val="clear" w:color="auto" w:fill="auto"/>
            <w:tcMar>
              <w:top w:w="12" w:type="dxa"/>
              <w:left w:w="12" w:type="dxa"/>
              <w:right w:w="12" w:type="dxa"/>
            </w:tcMar>
            <w:vAlign w:val="center"/>
          </w:tcPr>
          <w:p>
            <w:pPr>
              <w:ind w:firstLine="0" w:firstLineChars="0"/>
              <w:jc w:val="center"/>
              <w:rPr>
                <w:rFonts w:ascii="宋体" w:hAnsi="宋体" w:eastAsia="宋体" w:cs="宋体"/>
                <w:color w:val="000000"/>
                <w:sz w:val="30"/>
                <w:szCs w:val="30"/>
              </w:rPr>
            </w:pPr>
            <w:r>
              <w:rPr>
                <w:rFonts w:ascii="宋体" w:hAnsi="宋体" w:eastAsia="宋体" w:cs="宋体"/>
                <w:color w:val="000000"/>
                <w:sz w:val="30"/>
                <w:szCs w:val="30"/>
              </w:rPr>
              <w:t>√</w:t>
            </w:r>
          </w:p>
        </w:tc>
        <w:tc>
          <w:tcPr>
            <w:tcW w:w="416" w:type="pct"/>
            <w:tcBorders>
              <w:top w:val="nil"/>
              <w:left w:val="nil"/>
              <w:bottom w:val="single" w:color="000000" w:sz="8" w:space="0"/>
              <w:right w:val="single" w:color="000000" w:sz="8" w:space="0"/>
            </w:tcBorders>
            <w:shd w:val="clear" w:color="auto" w:fill="auto"/>
            <w:tcMar>
              <w:top w:w="12" w:type="dxa"/>
              <w:left w:w="12" w:type="dxa"/>
              <w:right w:w="12" w:type="dxa"/>
            </w:tcMar>
            <w:vAlign w:val="center"/>
          </w:tcPr>
          <w:p>
            <w:pPr>
              <w:ind w:firstLine="0" w:firstLineChars="0"/>
              <w:jc w:val="center"/>
              <w:rPr>
                <w:rFonts w:ascii="宋体" w:hAnsi="宋体" w:eastAsia="宋体" w:cs="宋体"/>
                <w:color w:val="000000"/>
                <w:sz w:val="30"/>
                <w:szCs w:val="30"/>
              </w:rPr>
            </w:pPr>
            <w:r>
              <w:rPr>
                <w:rFonts w:hint="eastAsia" w:ascii="宋体" w:hAnsi="宋体" w:eastAsia="宋体" w:cs="宋体"/>
                <w:color w:val="000000"/>
                <w:sz w:val="30"/>
                <w:szCs w:val="30"/>
              </w:rPr>
              <w:t xml:space="preserve"> </w:t>
            </w:r>
            <w:r>
              <w:rPr>
                <w:rFonts w:ascii="宋体" w:hAnsi="宋体" w:eastAsia="宋体" w:cs="宋体"/>
                <w:color w:val="000000"/>
                <w:sz w:val="30"/>
                <w:szCs w:val="30"/>
              </w:rPr>
              <w:t>√</w:t>
            </w:r>
          </w:p>
        </w:tc>
        <w:tc>
          <w:tcPr>
            <w:tcW w:w="689" w:type="pct"/>
            <w:tcBorders>
              <w:top w:val="nil"/>
              <w:left w:val="nil"/>
              <w:bottom w:val="single" w:color="000000" w:sz="8" w:space="0"/>
              <w:right w:val="single" w:color="000000" w:sz="8" w:space="0"/>
            </w:tcBorders>
            <w:shd w:val="clear" w:color="auto" w:fill="auto"/>
            <w:tcMar>
              <w:top w:w="12" w:type="dxa"/>
              <w:left w:w="12" w:type="dxa"/>
              <w:right w:w="12" w:type="dxa"/>
            </w:tcMar>
            <w:vAlign w:val="center"/>
          </w:tcPr>
          <w:p>
            <w:pPr>
              <w:ind w:firstLine="0" w:firstLineChars="0"/>
              <w:jc w:val="center"/>
              <w:rPr>
                <w:rFonts w:ascii="宋体" w:hAnsi="宋体" w:eastAsia="宋体" w:cs="宋体"/>
                <w:color w:val="000000"/>
                <w:sz w:val="30"/>
                <w:szCs w:val="30"/>
              </w:rPr>
            </w:pPr>
            <w:r>
              <w:rPr>
                <w:rFonts w:hint="eastAsia" w:ascii="宋体" w:hAnsi="宋体" w:eastAsia="宋体" w:cs="宋体"/>
                <w:color w:val="000000"/>
                <w:sz w:val="30"/>
                <w:szCs w:val="30"/>
              </w:rPr>
              <w:t xml:space="preserve"> </w:t>
            </w:r>
            <w:r>
              <w:rPr>
                <w:rFonts w:ascii="宋体" w:hAnsi="宋体" w:eastAsia="宋体" w:cs="宋体"/>
                <w:color w:val="000000"/>
                <w:sz w:val="30"/>
                <w:szCs w:val="30"/>
              </w:rPr>
              <w:t>√</w:t>
            </w:r>
          </w:p>
        </w:tc>
        <w:tc>
          <w:tcPr>
            <w:tcW w:w="697" w:type="pct"/>
            <w:tcBorders>
              <w:top w:val="nil"/>
              <w:left w:val="nil"/>
              <w:bottom w:val="single" w:color="000000" w:sz="8" w:space="0"/>
              <w:right w:val="single" w:color="000000" w:sz="8" w:space="0"/>
            </w:tcBorders>
            <w:shd w:val="clear" w:color="auto" w:fill="auto"/>
            <w:tcMar>
              <w:top w:w="12" w:type="dxa"/>
              <w:left w:w="12" w:type="dxa"/>
              <w:right w:w="12" w:type="dxa"/>
            </w:tcMar>
            <w:vAlign w:val="center"/>
          </w:tcPr>
          <w:p>
            <w:pPr>
              <w:ind w:firstLine="0" w:firstLineChars="0"/>
              <w:jc w:val="center"/>
              <w:rPr>
                <w:rFonts w:ascii="宋体" w:hAnsi="宋体" w:eastAsia="宋体" w:cs="宋体"/>
                <w:color w:val="000000"/>
                <w:sz w:val="30"/>
                <w:szCs w:val="30"/>
              </w:rPr>
            </w:pPr>
            <w:r>
              <w:rPr>
                <w:rFonts w:hint="eastAsia" w:ascii="宋体" w:hAnsi="宋体" w:eastAsia="宋体" w:cs="宋体"/>
                <w:color w:val="000000"/>
                <w:sz w:val="30"/>
                <w:szCs w:val="30"/>
              </w:rPr>
              <w:t xml:space="preserve"> </w:t>
            </w:r>
            <w:r>
              <w:rPr>
                <w:rFonts w:ascii="宋体" w:hAnsi="宋体" w:eastAsia="宋体" w:cs="宋体"/>
                <w:color w:val="000000"/>
                <w:sz w:val="30"/>
                <w:szCs w:val="30"/>
              </w:rPr>
              <w:t>√</w:t>
            </w:r>
          </w:p>
        </w:tc>
        <w:tc>
          <w:tcPr>
            <w:tcW w:w="701" w:type="pct"/>
            <w:tcBorders>
              <w:top w:val="nil"/>
              <w:left w:val="nil"/>
              <w:bottom w:val="single" w:color="000000" w:sz="8" w:space="0"/>
              <w:right w:val="single" w:color="000000" w:sz="8" w:space="0"/>
            </w:tcBorders>
            <w:shd w:val="clear" w:color="auto" w:fill="auto"/>
            <w:tcMar>
              <w:top w:w="12" w:type="dxa"/>
              <w:left w:w="12" w:type="dxa"/>
              <w:right w:w="12" w:type="dxa"/>
            </w:tcMar>
            <w:vAlign w:val="center"/>
          </w:tcPr>
          <w:p>
            <w:pPr>
              <w:ind w:firstLine="0" w:firstLineChars="0"/>
              <w:jc w:val="center"/>
              <w:rPr>
                <w:rFonts w:ascii="宋体" w:hAnsi="宋体" w:eastAsia="宋体" w:cs="宋体"/>
                <w:color w:val="000000"/>
                <w:sz w:val="30"/>
                <w:szCs w:val="30"/>
              </w:rPr>
            </w:pPr>
            <w:r>
              <w:rPr>
                <w:rFonts w:hint="eastAsia" w:ascii="宋体" w:hAnsi="宋体" w:eastAsia="宋体" w:cs="宋体"/>
                <w:color w:val="000000"/>
                <w:sz w:val="30"/>
                <w:szCs w:val="30"/>
              </w:rPr>
              <w:t xml:space="preserve"> </w:t>
            </w:r>
            <w:r>
              <w:rPr>
                <w:rFonts w:ascii="宋体" w:hAnsi="宋体" w:eastAsia="宋体" w:cs="宋体"/>
                <w:color w:val="000000"/>
                <w:sz w:val="30"/>
                <w:szCs w:val="30"/>
              </w:rPr>
              <w:t>√</w:t>
            </w:r>
          </w:p>
        </w:tc>
        <w:tc>
          <w:tcPr>
            <w:tcW w:w="907" w:type="pct"/>
            <w:tcBorders>
              <w:top w:val="nil"/>
              <w:left w:val="nil"/>
              <w:bottom w:val="single" w:color="000000" w:sz="8" w:space="0"/>
              <w:right w:val="single" w:color="000000" w:sz="8" w:space="0"/>
            </w:tcBorders>
            <w:shd w:val="clear" w:color="auto" w:fill="auto"/>
            <w:tcMar>
              <w:top w:w="12" w:type="dxa"/>
              <w:left w:w="12" w:type="dxa"/>
              <w:right w:w="12" w:type="dxa"/>
            </w:tcMar>
            <w:vAlign w:val="center"/>
          </w:tcPr>
          <w:p>
            <w:pPr>
              <w:ind w:firstLine="0" w:firstLineChars="0"/>
              <w:jc w:val="center"/>
              <w:rPr>
                <w:rFonts w:ascii="宋体" w:hAnsi="宋体" w:eastAsia="宋体" w:cs="宋体"/>
                <w:color w:val="000000"/>
                <w:sz w:val="30"/>
                <w:szCs w:val="30"/>
              </w:rPr>
            </w:pPr>
            <w:r>
              <w:rPr>
                <w:rFonts w:hint="eastAsia" w:ascii="宋体" w:hAnsi="宋体" w:eastAsia="宋体" w:cs="宋体"/>
                <w:color w:val="000000"/>
                <w:sz w:val="30"/>
                <w:szCs w:val="30"/>
              </w:rPr>
              <w:t xml:space="preserve"> </w:t>
            </w:r>
            <w:r>
              <w:rPr>
                <w:rFonts w:ascii="宋体" w:hAnsi="宋体" w:eastAsia="宋体" w:cs="宋体"/>
                <w:color w:val="000000"/>
                <w:sz w:val="30"/>
                <w:szCs w:val="30"/>
              </w:rPr>
              <w:t>√</w:t>
            </w:r>
          </w:p>
        </w:tc>
      </w:tr>
      <w:tr>
        <w:tblPrEx>
          <w:tblCellMar>
            <w:top w:w="0" w:type="dxa"/>
            <w:left w:w="0" w:type="dxa"/>
            <w:bottom w:w="0" w:type="dxa"/>
            <w:right w:w="0" w:type="dxa"/>
          </w:tblCellMar>
        </w:tblPrEx>
        <w:trPr>
          <w:trHeight w:val="783" w:hRule="atLeast"/>
        </w:trPr>
        <w:tc>
          <w:tcPr>
            <w:tcW w:w="1143" w:type="pct"/>
            <w:tcBorders>
              <w:top w:val="nil"/>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ind w:firstLine="0" w:firstLineChars="0"/>
              <w:rPr>
                <w:rFonts w:ascii="宋体" w:hAnsi="宋体" w:eastAsia="宋体" w:cs="宋体"/>
                <w:color w:val="000000"/>
                <w:sz w:val="30"/>
                <w:szCs w:val="30"/>
              </w:rPr>
            </w:pPr>
            <w:r>
              <w:rPr>
                <w:rFonts w:hint="eastAsia" w:ascii="宋体" w:hAnsi="宋体" w:eastAsia="宋体" w:cs="宋体"/>
                <w:color w:val="000000"/>
                <w:sz w:val="30"/>
                <w:szCs w:val="30"/>
              </w:rPr>
              <w:t>压力管道</w:t>
            </w:r>
          </w:p>
        </w:tc>
        <w:tc>
          <w:tcPr>
            <w:tcW w:w="444" w:type="pct"/>
            <w:tcBorders>
              <w:top w:val="nil"/>
              <w:left w:val="nil"/>
              <w:bottom w:val="single" w:color="000000" w:sz="8" w:space="0"/>
              <w:right w:val="single" w:color="000000" w:sz="8" w:space="0"/>
            </w:tcBorders>
            <w:shd w:val="clear" w:color="auto" w:fill="auto"/>
            <w:tcMar>
              <w:top w:w="12" w:type="dxa"/>
              <w:left w:w="12" w:type="dxa"/>
              <w:right w:w="12" w:type="dxa"/>
            </w:tcMar>
            <w:vAlign w:val="center"/>
          </w:tcPr>
          <w:p>
            <w:pPr>
              <w:ind w:firstLine="0" w:firstLineChars="0"/>
              <w:jc w:val="center"/>
              <w:rPr>
                <w:rFonts w:ascii="宋体" w:hAnsi="宋体" w:eastAsia="宋体" w:cs="宋体"/>
                <w:color w:val="000000"/>
                <w:sz w:val="30"/>
                <w:szCs w:val="30"/>
              </w:rPr>
            </w:pPr>
            <w:r>
              <w:rPr>
                <w:rFonts w:ascii="宋体" w:hAnsi="宋体" w:eastAsia="宋体" w:cs="宋体"/>
                <w:color w:val="000000"/>
                <w:sz w:val="30"/>
                <w:szCs w:val="30"/>
              </w:rPr>
              <w:t>√</w:t>
            </w:r>
          </w:p>
        </w:tc>
        <w:tc>
          <w:tcPr>
            <w:tcW w:w="416" w:type="pct"/>
            <w:tcBorders>
              <w:top w:val="nil"/>
              <w:left w:val="nil"/>
              <w:bottom w:val="single" w:color="000000" w:sz="8" w:space="0"/>
              <w:right w:val="single" w:color="000000" w:sz="8" w:space="0"/>
            </w:tcBorders>
            <w:shd w:val="clear" w:color="auto" w:fill="auto"/>
            <w:tcMar>
              <w:top w:w="12" w:type="dxa"/>
              <w:left w:w="12" w:type="dxa"/>
              <w:right w:w="12" w:type="dxa"/>
            </w:tcMar>
            <w:vAlign w:val="center"/>
          </w:tcPr>
          <w:p>
            <w:pPr>
              <w:ind w:firstLine="0" w:firstLineChars="0"/>
              <w:jc w:val="center"/>
              <w:rPr>
                <w:rFonts w:ascii="宋体" w:hAnsi="宋体" w:eastAsia="宋体" w:cs="宋体"/>
                <w:color w:val="000000"/>
                <w:sz w:val="30"/>
                <w:szCs w:val="30"/>
              </w:rPr>
            </w:pPr>
            <w:r>
              <w:rPr>
                <w:rFonts w:hint="eastAsia" w:ascii="宋体" w:hAnsi="宋体" w:eastAsia="宋体" w:cs="宋体"/>
                <w:color w:val="000000"/>
                <w:sz w:val="30"/>
                <w:szCs w:val="30"/>
              </w:rPr>
              <w:t xml:space="preserve"> </w:t>
            </w:r>
            <w:r>
              <w:rPr>
                <w:rFonts w:ascii="宋体" w:hAnsi="宋体" w:eastAsia="宋体" w:cs="宋体"/>
                <w:color w:val="000000"/>
                <w:sz w:val="30"/>
                <w:szCs w:val="30"/>
              </w:rPr>
              <w:t>√</w:t>
            </w:r>
          </w:p>
        </w:tc>
        <w:tc>
          <w:tcPr>
            <w:tcW w:w="689" w:type="pct"/>
            <w:tcBorders>
              <w:top w:val="nil"/>
              <w:left w:val="nil"/>
              <w:bottom w:val="single" w:color="000000" w:sz="8" w:space="0"/>
              <w:right w:val="single" w:color="000000" w:sz="8" w:space="0"/>
            </w:tcBorders>
            <w:shd w:val="clear" w:color="auto" w:fill="auto"/>
            <w:tcMar>
              <w:top w:w="12" w:type="dxa"/>
              <w:left w:w="12" w:type="dxa"/>
              <w:right w:w="12" w:type="dxa"/>
            </w:tcMar>
            <w:vAlign w:val="center"/>
          </w:tcPr>
          <w:p>
            <w:pPr>
              <w:ind w:firstLine="0" w:firstLineChars="0"/>
              <w:jc w:val="center"/>
              <w:rPr>
                <w:rFonts w:ascii="宋体" w:hAnsi="宋体" w:eastAsia="宋体" w:cs="宋体"/>
                <w:color w:val="000000"/>
                <w:sz w:val="30"/>
                <w:szCs w:val="30"/>
              </w:rPr>
            </w:pPr>
          </w:p>
        </w:tc>
        <w:tc>
          <w:tcPr>
            <w:tcW w:w="697" w:type="pct"/>
            <w:tcBorders>
              <w:top w:val="nil"/>
              <w:left w:val="nil"/>
              <w:bottom w:val="single" w:color="000000" w:sz="8" w:space="0"/>
              <w:right w:val="single" w:color="000000" w:sz="8" w:space="0"/>
            </w:tcBorders>
            <w:shd w:val="clear" w:color="auto" w:fill="auto"/>
            <w:tcMar>
              <w:top w:w="12" w:type="dxa"/>
              <w:left w:w="12" w:type="dxa"/>
              <w:right w:w="12" w:type="dxa"/>
            </w:tcMar>
            <w:vAlign w:val="center"/>
          </w:tcPr>
          <w:p>
            <w:pPr>
              <w:ind w:firstLine="0" w:firstLineChars="0"/>
              <w:jc w:val="center"/>
              <w:rPr>
                <w:rFonts w:ascii="宋体" w:hAnsi="宋体" w:eastAsia="宋体" w:cs="宋体"/>
                <w:color w:val="000000"/>
                <w:sz w:val="30"/>
                <w:szCs w:val="30"/>
              </w:rPr>
            </w:pPr>
            <w:r>
              <w:rPr>
                <w:rFonts w:hint="eastAsia" w:ascii="宋体" w:hAnsi="宋体" w:eastAsia="宋体" w:cs="宋体"/>
                <w:color w:val="000000"/>
                <w:sz w:val="30"/>
                <w:szCs w:val="30"/>
              </w:rPr>
              <w:t xml:space="preserve"> </w:t>
            </w:r>
            <w:r>
              <w:rPr>
                <w:rFonts w:ascii="宋体" w:hAnsi="宋体" w:eastAsia="宋体" w:cs="宋体"/>
                <w:color w:val="000000"/>
                <w:sz w:val="30"/>
                <w:szCs w:val="30"/>
              </w:rPr>
              <w:t>√</w:t>
            </w:r>
          </w:p>
        </w:tc>
        <w:tc>
          <w:tcPr>
            <w:tcW w:w="701" w:type="pct"/>
            <w:tcBorders>
              <w:top w:val="nil"/>
              <w:left w:val="nil"/>
              <w:bottom w:val="single" w:color="000000" w:sz="8" w:space="0"/>
              <w:right w:val="single" w:color="000000" w:sz="8" w:space="0"/>
            </w:tcBorders>
            <w:shd w:val="clear" w:color="auto" w:fill="auto"/>
            <w:tcMar>
              <w:top w:w="12" w:type="dxa"/>
              <w:left w:w="12" w:type="dxa"/>
              <w:right w:w="12" w:type="dxa"/>
            </w:tcMar>
            <w:vAlign w:val="center"/>
          </w:tcPr>
          <w:p>
            <w:pPr>
              <w:ind w:firstLine="0" w:firstLineChars="0"/>
              <w:jc w:val="center"/>
              <w:rPr>
                <w:rFonts w:ascii="宋体" w:hAnsi="宋体" w:eastAsia="宋体" w:cs="宋体"/>
                <w:color w:val="000000"/>
                <w:sz w:val="30"/>
                <w:szCs w:val="30"/>
              </w:rPr>
            </w:pPr>
          </w:p>
        </w:tc>
        <w:tc>
          <w:tcPr>
            <w:tcW w:w="907" w:type="pct"/>
            <w:tcBorders>
              <w:top w:val="nil"/>
              <w:left w:val="nil"/>
              <w:bottom w:val="single" w:color="000000" w:sz="8" w:space="0"/>
              <w:right w:val="single" w:color="000000" w:sz="8" w:space="0"/>
            </w:tcBorders>
            <w:shd w:val="clear" w:color="auto" w:fill="auto"/>
            <w:tcMar>
              <w:top w:w="12" w:type="dxa"/>
              <w:left w:w="12" w:type="dxa"/>
              <w:right w:w="12" w:type="dxa"/>
            </w:tcMar>
            <w:vAlign w:val="center"/>
          </w:tcPr>
          <w:p>
            <w:pPr>
              <w:ind w:firstLine="0" w:firstLineChars="0"/>
              <w:jc w:val="center"/>
              <w:rPr>
                <w:rFonts w:ascii="宋体" w:hAnsi="宋体" w:eastAsia="宋体" w:cs="宋体"/>
                <w:color w:val="000000"/>
                <w:sz w:val="30"/>
                <w:szCs w:val="30"/>
              </w:rPr>
            </w:pPr>
          </w:p>
        </w:tc>
      </w:tr>
      <w:tr>
        <w:tblPrEx>
          <w:tblCellMar>
            <w:top w:w="0" w:type="dxa"/>
            <w:left w:w="0" w:type="dxa"/>
            <w:bottom w:w="0" w:type="dxa"/>
            <w:right w:w="0" w:type="dxa"/>
          </w:tblCellMar>
        </w:tblPrEx>
        <w:trPr>
          <w:trHeight w:val="783" w:hRule="atLeast"/>
        </w:trPr>
        <w:tc>
          <w:tcPr>
            <w:tcW w:w="1143" w:type="pct"/>
            <w:tcBorders>
              <w:top w:val="nil"/>
              <w:left w:val="single" w:color="000000" w:sz="8" w:space="0"/>
              <w:bottom w:val="single" w:color="000000" w:sz="8" w:space="0"/>
              <w:right w:val="single" w:color="000000" w:sz="8" w:space="0"/>
            </w:tcBorders>
            <w:shd w:val="clear" w:color="auto" w:fill="auto"/>
            <w:tcMar>
              <w:top w:w="12" w:type="dxa"/>
              <w:left w:w="12" w:type="dxa"/>
              <w:right w:w="12" w:type="dxa"/>
            </w:tcMar>
            <w:vAlign w:val="center"/>
          </w:tcPr>
          <w:p>
            <w:pPr>
              <w:ind w:firstLine="0" w:firstLineChars="0"/>
              <w:rPr>
                <w:rFonts w:ascii="宋体" w:hAnsi="宋体" w:eastAsia="宋体" w:cs="宋体"/>
                <w:color w:val="000000"/>
                <w:sz w:val="30"/>
                <w:szCs w:val="30"/>
              </w:rPr>
            </w:pPr>
            <w:r>
              <w:rPr>
                <w:rFonts w:hint="eastAsia" w:ascii="宋体" w:hAnsi="宋体" w:eastAsia="宋体" w:cs="宋体"/>
                <w:color w:val="000000"/>
                <w:sz w:val="30"/>
                <w:szCs w:val="30"/>
              </w:rPr>
              <w:t>客运索道</w:t>
            </w:r>
          </w:p>
        </w:tc>
        <w:tc>
          <w:tcPr>
            <w:tcW w:w="444" w:type="pct"/>
            <w:tcBorders>
              <w:top w:val="nil"/>
              <w:left w:val="nil"/>
              <w:bottom w:val="single" w:color="000000" w:sz="8" w:space="0"/>
              <w:right w:val="single" w:color="000000" w:sz="8" w:space="0"/>
            </w:tcBorders>
            <w:shd w:val="clear" w:color="auto" w:fill="auto"/>
            <w:tcMar>
              <w:top w:w="12" w:type="dxa"/>
              <w:left w:w="12" w:type="dxa"/>
              <w:right w:w="12" w:type="dxa"/>
            </w:tcMar>
            <w:vAlign w:val="center"/>
          </w:tcPr>
          <w:p>
            <w:pPr>
              <w:ind w:firstLine="0" w:firstLineChars="0"/>
              <w:jc w:val="center"/>
              <w:rPr>
                <w:rFonts w:ascii="宋体" w:hAnsi="宋体" w:eastAsia="宋体" w:cs="宋体"/>
                <w:color w:val="000000"/>
                <w:sz w:val="30"/>
                <w:szCs w:val="30"/>
              </w:rPr>
            </w:pPr>
            <w:r>
              <w:rPr>
                <w:rFonts w:ascii="宋体" w:hAnsi="宋体" w:eastAsia="宋体" w:cs="宋体"/>
                <w:color w:val="000000"/>
                <w:sz w:val="30"/>
                <w:szCs w:val="30"/>
              </w:rPr>
              <w:t>√</w:t>
            </w:r>
          </w:p>
        </w:tc>
        <w:tc>
          <w:tcPr>
            <w:tcW w:w="416" w:type="pct"/>
            <w:tcBorders>
              <w:top w:val="nil"/>
              <w:left w:val="nil"/>
              <w:bottom w:val="single" w:color="000000" w:sz="8" w:space="0"/>
              <w:right w:val="single" w:color="000000" w:sz="8" w:space="0"/>
            </w:tcBorders>
            <w:shd w:val="clear" w:color="auto" w:fill="auto"/>
            <w:tcMar>
              <w:top w:w="12" w:type="dxa"/>
              <w:left w:w="12" w:type="dxa"/>
              <w:right w:w="12" w:type="dxa"/>
            </w:tcMar>
            <w:vAlign w:val="center"/>
          </w:tcPr>
          <w:p>
            <w:pPr>
              <w:ind w:firstLine="0" w:firstLineChars="0"/>
              <w:jc w:val="center"/>
              <w:rPr>
                <w:rFonts w:ascii="宋体" w:hAnsi="宋体" w:eastAsia="宋体" w:cs="宋体"/>
                <w:color w:val="000000"/>
                <w:sz w:val="30"/>
                <w:szCs w:val="30"/>
              </w:rPr>
            </w:pPr>
            <w:r>
              <w:rPr>
                <w:rFonts w:hint="eastAsia" w:ascii="宋体" w:hAnsi="宋体" w:eastAsia="宋体" w:cs="宋体"/>
                <w:color w:val="000000"/>
                <w:sz w:val="30"/>
                <w:szCs w:val="30"/>
              </w:rPr>
              <w:t xml:space="preserve"> </w:t>
            </w:r>
            <w:r>
              <w:rPr>
                <w:rFonts w:ascii="宋体" w:hAnsi="宋体" w:eastAsia="宋体" w:cs="宋体"/>
                <w:color w:val="000000"/>
                <w:sz w:val="30"/>
                <w:szCs w:val="30"/>
              </w:rPr>
              <w:t>√</w:t>
            </w:r>
          </w:p>
        </w:tc>
        <w:tc>
          <w:tcPr>
            <w:tcW w:w="689" w:type="pct"/>
            <w:tcBorders>
              <w:top w:val="nil"/>
              <w:left w:val="nil"/>
              <w:bottom w:val="single" w:color="000000" w:sz="8" w:space="0"/>
              <w:right w:val="single" w:color="000000" w:sz="8" w:space="0"/>
            </w:tcBorders>
            <w:shd w:val="clear" w:color="auto" w:fill="auto"/>
            <w:tcMar>
              <w:top w:w="12" w:type="dxa"/>
              <w:left w:w="12" w:type="dxa"/>
              <w:right w:w="12" w:type="dxa"/>
            </w:tcMar>
            <w:vAlign w:val="center"/>
          </w:tcPr>
          <w:p>
            <w:pPr>
              <w:ind w:firstLine="0" w:firstLineChars="0"/>
              <w:jc w:val="center"/>
              <w:rPr>
                <w:rFonts w:ascii="宋体" w:hAnsi="宋体" w:eastAsia="宋体" w:cs="宋体"/>
                <w:color w:val="000000"/>
                <w:sz w:val="30"/>
                <w:szCs w:val="30"/>
              </w:rPr>
            </w:pPr>
            <w:r>
              <w:rPr>
                <w:rFonts w:hint="eastAsia" w:ascii="宋体" w:hAnsi="宋体" w:eastAsia="宋体" w:cs="宋体"/>
                <w:color w:val="000000"/>
                <w:sz w:val="30"/>
                <w:szCs w:val="30"/>
              </w:rPr>
              <w:t xml:space="preserve"> </w:t>
            </w:r>
            <w:r>
              <w:rPr>
                <w:rFonts w:ascii="宋体" w:hAnsi="宋体" w:eastAsia="宋体" w:cs="宋体"/>
                <w:color w:val="000000"/>
                <w:sz w:val="30"/>
                <w:szCs w:val="30"/>
              </w:rPr>
              <w:t>√</w:t>
            </w:r>
          </w:p>
        </w:tc>
        <w:tc>
          <w:tcPr>
            <w:tcW w:w="697" w:type="pct"/>
            <w:tcBorders>
              <w:top w:val="nil"/>
              <w:left w:val="nil"/>
              <w:bottom w:val="single" w:color="000000" w:sz="8" w:space="0"/>
              <w:right w:val="single" w:color="000000" w:sz="8" w:space="0"/>
            </w:tcBorders>
            <w:shd w:val="clear" w:color="auto" w:fill="auto"/>
            <w:tcMar>
              <w:top w:w="12" w:type="dxa"/>
              <w:left w:w="12" w:type="dxa"/>
              <w:right w:w="12" w:type="dxa"/>
            </w:tcMar>
            <w:vAlign w:val="center"/>
          </w:tcPr>
          <w:p>
            <w:pPr>
              <w:ind w:firstLine="0" w:firstLineChars="0"/>
              <w:jc w:val="center"/>
              <w:rPr>
                <w:rFonts w:ascii="宋体" w:hAnsi="宋体" w:eastAsia="宋体" w:cs="宋体"/>
                <w:color w:val="000000"/>
                <w:sz w:val="30"/>
                <w:szCs w:val="30"/>
              </w:rPr>
            </w:pPr>
            <w:r>
              <w:rPr>
                <w:rFonts w:hint="eastAsia" w:ascii="宋体" w:hAnsi="宋体" w:eastAsia="宋体" w:cs="宋体"/>
                <w:color w:val="000000"/>
                <w:sz w:val="30"/>
                <w:szCs w:val="30"/>
              </w:rPr>
              <w:t xml:space="preserve"> </w:t>
            </w:r>
            <w:r>
              <w:rPr>
                <w:rFonts w:ascii="宋体" w:hAnsi="宋体" w:eastAsia="宋体" w:cs="宋体"/>
                <w:color w:val="000000"/>
                <w:sz w:val="30"/>
                <w:szCs w:val="30"/>
              </w:rPr>
              <w:t>√</w:t>
            </w:r>
          </w:p>
        </w:tc>
        <w:tc>
          <w:tcPr>
            <w:tcW w:w="701" w:type="pct"/>
            <w:tcBorders>
              <w:top w:val="nil"/>
              <w:left w:val="nil"/>
              <w:bottom w:val="single" w:color="000000" w:sz="8" w:space="0"/>
              <w:right w:val="single" w:color="000000" w:sz="8" w:space="0"/>
            </w:tcBorders>
            <w:shd w:val="clear" w:color="auto" w:fill="auto"/>
            <w:tcMar>
              <w:top w:w="12" w:type="dxa"/>
              <w:left w:w="12" w:type="dxa"/>
              <w:right w:w="12" w:type="dxa"/>
            </w:tcMar>
            <w:vAlign w:val="center"/>
          </w:tcPr>
          <w:p>
            <w:pPr>
              <w:ind w:firstLine="0" w:firstLineChars="0"/>
              <w:jc w:val="center"/>
              <w:rPr>
                <w:rFonts w:ascii="宋体" w:hAnsi="宋体" w:eastAsia="宋体" w:cs="宋体"/>
                <w:color w:val="000000"/>
                <w:sz w:val="30"/>
                <w:szCs w:val="30"/>
              </w:rPr>
            </w:pPr>
            <w:r>
              <w:rPr>
                <w:rFonts w:hint="eastAsia" w:ascii="宋体" w:hAnsi="宋体" w:eastAsia="宋体" w:cs="宋体"/>
                <w:color w:val="000000"/>
                <w:sz w:val="30"/>
                <w:szCs w:val="30"/>
              </w:rPr>
              <w:t xml:space="preserve"> </w:t>
            </w:r>
            <w:r>
              <w:rPr>
                <w:rFonts w:ascii="宋体" w:hAnsi="宋体" w:eastAsia="宋体" w:cs="宋体"/>
                <w:color w:val="000000"/>
                <w:sz w:val="30"/>
                <w:szCs w:val="30"/>
              </w:rPr>
              <w:t>√</w:t>
            </w:r>
          </w:p>
        </w:tc>
        <w:tc>
          <w:tcPr>
            <w:tcW w:w="907" w:type="pct"/>
            <w:tcBorders>
              <w:top w:val="nil"/>
              <w:left w:val="nil"/>
              <w:bottom w:val="single" w:color="000000" w:sz="8" w:space="0"/>
              <w:right w:val="single" w:color="000000" w:sz="8" w:space="0"/>
            </w:tcBorders>
            <w:shd w:val="clear" w:color="auto" w:fill="auto"/>
            <w:noWrap/>
            <w:tcMar>
              <w:top w:w="12" w:type="dxa"/>
              <w:left w:w="12" w:type="dxa"/>
              <w:right w:w="12" w:type="dxa"/>
            </w:tcMar>
            <w:vAlign w:val="center"/>
          </w:tcPr>
          <w:p>
            <w:pPr>
              <w:ind w:firstLine="0" w:firstLineChars="0"/>
              <w:jc w:val="center"/>
              <w:rPr>
                <w:rFonts w:ascii="宋体" w:hAnsi="宋体" w:eastAsia="宋体" w:cs="宋体"/>
                <w:color w:val="000000"/>
                <w:sz w:val="30"/>
                <w:szCs w:val="30"/>
              </w:rPr>
            </w:pPr>
            <w:r>
              <w:rPr>
                <w:rFonts w:hint="eastAsia" w:ascii="宋体" w:hAnsi="宋体" w:eastAsia="宋体" w:cs="宋体"/>
                <w:color w:val="000000"/>
                <w:sz w:val="30"/>
                <w:szCs w:val="30"/>
              </w:rPr>
              <w:t xml:space="preserve"> </w:t>
            </w:r>
            <w:r>
              <w:rPr>
                <w:rFonts w:ascii="宋体" w:hAnsi="宋体" w:eastAsia="宋体" w:cs="宋体"/>
                <w:color w:val="000000"/>
                <w:sz w:val="30"/>
                <w:szCs w:val="30"/>
              </w:rPr>
              <w:t>√</w:t>
            </w:r>
          </w:p>
        </w:tc>
      </w:tr>
    </w:tbl>
    <w:p>
      <w:pPr>
        <w:ind w:firstLine="0" w:firstLineChars="0"/>
      </w:pPr>
    </w:p>
    <w:p>
      <w:pPr>
        <w:pStyle w:val="6"/>
        <w:numPr>
          <w:ilvl w:val="0"/>
          <w:numId w:val="9"/>
        </w:numPr>
        <w:ind w:firstLine="640"/>
      </w:pPr>
      <w:r>
        <w:rPr>
          <w:rFonts w:hint="eastAsia"/>
        </w:rPr>
        <w:t>施工告知提交</w:t>
      </w:r>
    </w:p>
    <w:p>
      <w:pPr>
        <w:ind w:firstLine="640"/>
      </w:pPr>
      <w:r>
        <w:t>从事锅炉、压力容器（含气瓶）、压力管道、电梯、起重机械、客运索道、大型游乐设施和场（厂）内专用机动车辆的安装、改造、维修</w:t>
      </w:r>
      <w:r>
        <w:rPr>
          <w:rFonts w:hint="eastAsia"/>
        </w:rPr>
        <w:t>，并依据《特种设备安全监察条例》取得相应许可且在有效期内的</w:t>
      </w:r>
      <w:r>
        <w:t>施工单位</w:t>
      </w:r>
      <w:r>
        <w:rPr>
          <w:rFonts w:hint="eastAsia"/>
        </w:rPr>
        <w:t>，对按《特种设备安全监察条例》取得相应许可的设计单位设计，并由取得相应许可的制造单位制造，经国务院特种设备安全监督管理部门核准的检验检测机构按照安全技术规范的要求监督检验合格的特种设备进行施工告知的提交。施工告知由公共服务子系统发起，并填报相应资料后进行提交。施工告知提交资料表和基本业务流程如下：</w:t>
      </w:r>
    </w:p>
    <w:p>
      <w:pPr>
        <w:ind w:firstLine="640"/>
      </w:pPr>
      <w:r>
        <w:rPr>
          <w:rFonts w:hint="eastAsia"/>
        </w:rPr>
        <w:t>提交资料：</w:t>
      </w:r>
    </w:p>
    <w:tbl>
      <w:tblPr>
        <w:tblStyle w:val="27"/>
        <w:tblW w:w="4997"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1344"/>
        <w:gridCol w:w="2655"/>
        <w:gridCol w:w="48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726" w:hRule="atLeast"/>
        </w:trPr>
        <w:tc>
          <w:tcPr>
            <w:tcW w:w="758" w:type="pct"/>
            <w:shd w:val="clear" w:color="auto" w:fill="auto"/>
            <w:noWrap/>
            <w:tcMar>
              <w:top w:w="12" w:type="dxa"/>
              <w:left w:w="12" w:type="dxa"/>
              <w:right w:w="12" w:type="dxa"/>
            </w:tcMar>
            <w:vAlign w:val="center"/>
          </w:tcPr>
          <w:p>
            <w:pPr>
              <w:widowControl/>
              <w:ind w:firstLine="560"/>
              <w:jc w:val="left"/>
              <w:textAlignment w:val="center"/>
              <w:rPr>
                <w:rFonts w:ascii="宋体" w:hAnsi="宋体" w:eastAsia="宋体" w:cs="宋体"/>
                <w:color w:val="000000"/>
                <w:sz w:val="28"/>
                <w:szCs w:val="28"/>
              </w:rPr>
            </w:pPr>
            <w:r>
              <w:rPr>
                <w:rFonts w:hint="eastAsia" w:ascii="宋体" w:hAnsi="宋体" w:eastAsia="宋体" w:cs="宋体"/>
                <w:color w:val="000000"/>
                <w:sz w:val="28"/>
                <w:szCs w:val="28"/>
              </w:rPr>
              <w:t>1</w:t>
            </w:r>
          </w:p>
        </w:tc>
        <w:tc>
          <w:tcPr>
            <w:tcW w:w="1497" w:type="pct"/>
            <w:vMerge w:val="restart"/>
            <w:shd w:val="clear" w:color="auto" w:fill="auto"/>
            <w:noWrap/>
            <w:tcMar>
              <w:top w:w="12" w:type="dxa"/>
              <w:left w:w="12" w:type="dxa"/>
              <w:right w:w="12" w:type="dxa"/>
            </w:tcMar>
            <w:vAlign w:val="center"/>
          </w:tcPr>
          <w:p>
            <w:pPr>
              <w:widowControl/>
              <w:ind w:firstLine="0" w:firstLineChars="0"/>
              <w:textAlignment w:val="center"/>
              <w:rPr>
                <w:rFonts w:ascii="宋体" w:hAnsi="宋体" w:eastAsia="宋体" w:cs="宋体"/>
                <w:color w:val="000000"/>
                <w:sz w:val="28"/>
                <w:szCs w:val="28"/>
              </w:rPr>
            </w:pPr>
            <w:r>
              <w:rPr>
                <w:rFonts w:hint="eastAsia" w:ascii="宋体" w:hAnsi="宋体" w:eastAsia="宋体" w:cs="宋体"/>
                <w:color w:val="000000"/>
                <w:kern w:val="0"/>
                <w:sz w:val="28"/>
                <w:szCs w:val="28"/>
                <w:lang w:bidi="ar"/>
              </w:rPr>
              <w:t>告知信息</w:t>
            </w:r>
          </w:p>
        </w:tc>
        <w:tc>
          <w:tcPr>
            <w:tcW w:w="2743" w:type="pct"/>
            <w:shd w:val="clear" w:color="auto" w:fill="auto"/>
            <w:noWrap/>
            <w:tcMar>
              <w:top w:w="12" w:type="dxa"/>
              <w:left w:w="12" w:type="dxa"/>
              <w:right w:w="12" w:type="dxa"/>
            </w:tcMar>
            <w:vAlign w:val="center"/>
          </w:tcPr>
          <w:p>
            <w:pPr>
              <w:widowControl/>
              <w:ind w:firstLine="0" w:firstLineChars="0"/>
              <w:jc w:val="left"/>
              <w:textAlignment w:val="center"/>
              <w:rPr>
                <w:rFonts w:ascii="宋体" w:hAnsi="宋体" w:eastAsia="宋体" w:cs="宋体"/>
                <w:color w:val="000000"/>
                <w:sz w:val="28"/>
                <w:szCs w:val="28"/>
              </w:rPr>
            </w:pPr>
            <w:r>
              <w:rPr>
                <w:rFonts w:hint="eastAsia" w:ascii="宋体" w:hAnsi="宋体" w:eastAsia="宋体" w:cs="宋体"/>
                <w:color w:val="000000"/>
                <w:kern w:val="0"/>
                <w:sz w:val="28"/>
                <w:szCs w:val="28"/>
                <w:lang w:bidi="ar"/>
              </w:rPr>
              <w:t>出厂编号（设备产品编号）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63" w:hRule="atLeast"/>
        </w:trPr>
        <w:tc>
          <w:tcPr>
            <w:tcW w:w="758" w:type="pct"/>
            <w:shd w:val="clear" w:color="auto" w:fill="auto"/>
            <w:noWrap/>
            <w:tcMar>
              <w:top w:w="12" w:type="dxa"/>
              <w:left w:w="12" w:type="dxa"/>
              <w:right w:w="12" w:type="dxa"/>
            </w:tcMar>
            <w:vAlign w:val="center"/>
          </w:tcPr>
          <w:p>
            <w:pPr>
              <w:widowControl/>
              <w:ind w:firstLine="560"/>
              <w:jc w:val="left"/>
              <w:textAlignment w:val="center"/>
              <w:rPr>
                <w:rFonts w:ascii="宋体" w:hAnsi="宋体" w:eastAsia="宋体" w:cs="宋体"/>
                <w:color w:val="000000"/>
                <w:sz w:val="28"/>
                <w:szCs w:val="28"/>
              </w:rPr>
            </w:pPr>
            <w:r>
              <w:rPr>
                <w:rFonts w:hint="eastAsia" w:ascii="宋体" w:hAnsi="宋体" w:eastAsia="宋体" w:cs="宋体"/>
                <w:color w:val="000000"/>
                <w:sz w:val="28"/>
                <w:szCs w:val="28"/>
              </w:rPr>
              <w:t>2</w:t>
            </w:r>
          </w:p>
        </w:tc>
        <w:tc>
          <w:tcPr>
            <w:tcW w:w="1497" w:type="pct"/>
            <w:vMerge w:val="continue"/>
            <w:shd w:val="clear" w:color="auto" w:fill="auto"/>
            <w:noWrap/>
            <w:tcMar>
              <w:top w:w="12" w:type="dxa"/>
              <w:left w:w="12" w:type="dxa"/>
              <w:right w:w="12" w:type="dxa"/>
            </w:tcMar>
            <w:vAlign w:val="center"/>
          </w:tcPr>
          <w:p>
            <w:pPr>
              <w:ind w:firstLine="560"/>
              <w:jc w:val="center"/>
              <w:rPr>
                <w:rFonts w:ascii="宋体" w:hAnsi="宋体" w:eastAsia="宋体" w:cs="宋体"/>
                <w:color w:val="000000"/>
                <w:sz w:val="28"/>
                <w:szCs w:val="28"/>
              </w:rPr>
            </w:pPr>
          </w:p>
        </w:tc>
        <w:tc>
          <w:tcPr>
            <w:tcW w:w="2743" w:type="pct"/>
            <w:shd w:val="clear" w:color="auto" w:fill="auto"/>
            <w:noWrap/>
            <w:tcMar>
              <w:top w:w="12" w:type="dxa"/>
              <w:left w:w="12" w:type="dxa"/>
              <w:right w:w="12" w:type="dxa"/>
            </w:tcMar>
            <w:vAlign w:val="center"/>
          </w:tcPr>
          <w:p>
            <w:pPr>
              <w:widowControl/>
              <w:ind w:firstLine="0" w:firstLineChars="0"/>
              <w:jc w:val="left"/>
              <w:textAlignment w:val="center"/>
              <w:rPr>
                <w:rFonts w:ascii="宋体" w:hAnsi="宋体" w:eastAsia="宋体" w:cs="宋体"/>
                <w:color w:val="000000"/>
                <w:sz w:val="28"/>
                <w:szCs w:val="28"/>
              </w:rPr>
            </w:pPr>
            <w:r>
              <w:rPr>
                <w:rFonts w:hint="eastAsia" w:ascii="宋体" w:hAnsi="宋体" w:eastAsia="宋体" w:cs="宋体"/>
                <w:color w:val="000000"/>
                <w:kern w:val="0"/>
                <w:sz w:val="28"/>
                <w:szCs w:val="28"/>
                <w:lang w:bidi="ar"/>
              </w:rPr>
              <w:t>施工工号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63" w:hRule="atLeast"/>
        </w:trPr>
        <w:tc>
          <w:tcPr>
            <w:tcW w:w="758" w:type="pct"/>
            <w:shd w:val="clear" w:color="auto" w:fill="auto"/>
            <w:noWrap/>
            <w:tcMar>
              <w:top w:w="12" w:type="dxa"/>
              <w:left w:w="12" w:type="dxa"/>
              <w:right w:w="12" w:type="dxa"/>
            </w:tcMar>
            <w:vAlign w:val="center"/>
          </w:tcPr>
          <w:p>
            <w:pPr>
              <w:widowControl/>
              <w:ind w:firstLine="560"/>
              <w:jc w:val="left"/>
              <w:textAlignment w:val="center"/>
              <w:rPr>
                <w:rFonts w:ascii="宋体" w:hAnsi="宋体" w:eastAsia="宋体" w:cs="宋体"/>
                <w:color w:val="000000"/>
                <w:sz w:val="28"/>
                <w:szCs w:val="28"/>
              </w:rPr>
            </w:pPr>
            <w:r>
              <w:rPr>
                <w:rFonts w:hint="eastAsia" w:ascii="宋体" w:hAnsi="宋体" w:eastAsia="宋体" w:cs="宋体"/>
                <w:color w:val="000000"/>
                <w:sz w:val="28"/>
                <w:szCs w:val="28"/>
              </w:rPr>
              <w:t>3</w:t>
            </w:r>
          </w:p>
        </w:tc>
        <w:tc>
          <w:tcPr>
            <w:tcW w:w="1497" w:type="pct"/>
            <w:vMerge w:val="continue"/>
            <w:shd w:val="clear" w:color="auto" w:fill="auto"/>
            <w:noWrap/>
            <w:tcMar>
              <w:top w:w="12" w:type="dxa"/>
              <w:left w:w="12" w:type="dxa"/>
              <w:right w:w="12" w:type="dxa"/>
            </w:tcMar>
            <w:vAlign w:val="center"/>
          </w:tcPr>
          <w:p>
            <w:pPr>
              <w:ind w:firstLine="560"/>
              <w:jc w:val="center"/>
              <w:rPr>
                <w:rFonts w:ascii="宋体" w:hAnsi="宋体" w:eastAsia="宋体" w:cs="宋体"/>
                <w:color w:val="000000"/>
                <w:sz w:val="28"/>
                <w:szCs w:val="28"/>
              </w:rPr>
            </w:pPr>
          </w:p>
        </w:tc>
        <w:tc>
          <w:tcPr>
            <w:tcW w:w="2743" w:type="pct"/>
            <w:shd w:val="clear" w:color="auto" w:fill="auto"/>
            <w:noWrap/>
            <w:tcMar>
              <w:top w:w="12" w:type="dxa"/>
              <w:left w:w="12" w:type="dxa"/>
              <w:right w:w="12" w:type="dxa"/>
            </w:tcMar>
            <w:vAlign w:val="center"/>
          </w:tcPr>
          <w:p>
            <w:pPr>
              <w:widowControl/>
              <w:ind w:firstLine="0" w:firstLineChars="0"/>
              <w:jc w:val="left"/>
              <w:textAlignment w:val="center"/>
              <w:rPr>
                <w:rFonts w:ascii="宋体" w:hAnsi="宋体" w:eastAsia="宋体" w:cs="宋体"/>
                <w:color w:val="000000"/>
                <w:kern w:val="0"/>
                <w:sz w:val="28"/>
                <w:szCs w:val="28"/>
                <w:lang w:bidi="ar"/>
              </w:rPr>
            </w:pPr>
            <w:r>
              <w:rPr>
                <w:rFonts w:hint="eastAsia" w:ascii="宋体" w:hAnsi="宋体" w:eastAsia="宋体" w:cs="宋体"/>
                <w:color w:val="000000"/>
                <w:kern w:val="0"/>
                <w:sz w:val="28"/>
                <w:szCs w:val="28"/>
                <w:lang w:bidi="ar"/>
              </w:rPr>
              <w:t>年份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63" w:hRule="atLeast"/>
        </w:trPr>
        <w:tc>
          <w:tcPr>
            <w:tcW w:w="758" w:type="pct"/>
            <w:shd w:val="clear" w:color="auto" w:fill="auto"/>
            <w:noWrap/>
            <w:tcMar>
              <w:top w:w="12" w:type="dxa"/>
              <w:left w:w="12" w:type="dxa"/>
              <w:right w:w="12" w:type="dxa"/>
            </w:tcMar>
            <w:vAlign w:val="center"/>
          </w:tcPr>
          <w:p>
            <w:pPr>
              <w:widowControl/>
              <w:ind w:firstLine="560"/>
              <w:jc w:val="left"/>
              <w:textAlignment w:val="center"/>
              <w:rPr>
                <w:rFonts w:ascii="宋体" w:hAnsi="宋体" w:eastAsia="宋体" w:cs="宋体"/>
                <w:color w:val="000000"/>
                <w:sz w:val="28"/>
                <w:szCs w:val="28"/>
              </w:rPr>
            </w:pPr>
            <w:r>
              <w:rPr>
                <w:rFonts w:hint="eastAsia" w:ascii="宋体" w:hAnsi="宋体" w:eastAsia="宋体" w:cs="宋体"/>
                <w:color w:val="000000"/>
                <w:sz w:val="28"/>
                <w:szCs w:val="28"/>
              </w:rPr>
              <w:t>4</w:t>
            </w:r>
          </w:p>
        </w:tc>
        <w:tc>
          <w:tcPr>
            <w:tcW w:w="1497" w:type="pct"/>
            <w:vMerge w:val="continue"/>
            <w:shd w:val="clear" w:color="auto" w:fill="auto"/>
            <w:noWrap/>
            <w:tcMar>
              <w:top w:w="12" w:type="dxa"/>
              <w:left w:w="12" w:type="dxa"/>
              <w:right w:w="12" w:type="dxa"/>
            </w:tcMar>
            <w:vAlign w:val="center"/>
          </w:tcPr>
          <w:p>
            <w:pPr>
              <w:ind w:firstLine="560"/>
              <w:jc w:val="center"/>
              <w:rPr>
                <w:rFonts w:ascii="宋体" w:hAnsi="宋体" w:eastAsia="宋体" w:cs="宋体"/>
                <w:color w:val="000000"/>
                <w:sz w:val="28"/>
                <w:szCs w:val="28"/>
              </w:rPr>
            </w:pPr>
          </w:p>
        </w:tc>
        <w:tc>
          <w:tcPr>
            <w:tcW w:w="2743" w:type="pct"/>
            <w:shd w:val="clear" w:color="auto" w:fill="auto"/>
            <w:noWrap/>
            <w:tcMar>
              <w:top w:w="12" w:type="dxa"/>
              <w:left w:w="12" w:type="dxa"/>
              <w:right w:w="12" w:type="dxa"/>
            </w:tcMar>
            <w:vAlign w:val="center"/>
          </w:tcPr>
          <w:p>
            <w:pPr>
              <w:widowControl/>
              <w:ind w:firstLine="0" w:firstLineChars="0"/>
              <w:jc w:val="left"/>
              <w:textAlignment w:val="center"/>
              <w:rPr>
                <w:rFonts w:ascii="宋体" w:hAnsi="宋体" w:eastAsia="宋体" w:cs="宋体"/>
                <w:color w:val="000000"/>
                <w:kern w:val="0"/>
                <w:sz w:val="28"/>
                <w:szCs w:val="28"/>
                <w:lang w:bidi="ar"/>
              </w:rPr>
            </w:pPr>
            <w:r>
              <w:rPr>
                <w:rFonts w:hint="eastAsia" w:ascii="宋体" w:hAnsi="宋体" w:eastAsia="宋体" w:cs="宋体"/>
                <w:color w:val="000000"/>
                <w:kern w:val="0"/>
                <w:sz w:val="28"/>
                <w:szCs w:val="28"/>
                <w:lang w:bidi="ar"/>
              </w:rPr>
              <w:t>设备名称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63" w:hRule="atLeast"/>
        </w:trPr>
        <w:tc>
          <w:tcPr>
            <w:tcW w:w="758" w:type="pct"/>
            <w:shd w:val="clear" w:color="auto" w:fill="auto"/>
            <w:noWrap/>
            <w:tcMar>
              <w:top w:w="12" w:type="dxa"/>
              <w:left w:w="12" w:type="dxa"/>
              <w:right w:w="12" w:type="dxa"/>
            </w:tcMar>
            <w:vAlign w:val="center"/>
          </w:tcPr>
          <w:p>
            <w:pPr>
              <w:widowControl/>
              <w:ind w:firstLine="560"/>
              <w:jc w:val="left"/>
              <w:textAlignment w:val="center"/>
              <w:rPr>
                <w:rFonts w:ascii="宋体" w:hAnsi="宋体" w:eastAsia="宋体" w:cs="宋体"/>
                <w:color w:val="000000"/>
                <w:sz w:val="28"/>
                <w:szCs w:val="28"/>
              </w:rPr>
            </w:pPr>
            <w:r>
              <w:rPr>
                <w:rFonts w:hint="eastAsia" w:ascii="宋体" w:hAnsi="宋体" w:eastAsia="宋体" w:cs="宋体"/>
                <w:color w:val="000000"/>
                <w:sz w:val="28"/>
                <w:szCs w:val="28"/>
              </w:rPr>
              <w:t>5</w:t>
            </w:r>
          </w:p>
        </w:tc>
        <w:tc>
          <w:tcPr>
            <w:tcW w:w="1497" w:type="pct"/>
            <w:vMerge w:val="continue"/>
            <w:shd w:val="clear" w:color="auto" w:fill="auto"/>
            <w:noWrap/>
            <w:tcMar>
              <w:top w:w="12" w:type="dxa"/>
              <w:left w:w="12" w:type="dxa"/>
              <w:right w:w="12" w:type="dxa"/>
            </w:tcMar>
            <w:vAlign w:val="center"/>
          </w:tcPr>
          <w:p>
            <w:pPr>
              <w:ind w:firstLine="560"/>
              <w:jc w:val="center"/>
              <w:rPr>
                <w:rFonts w:ascii="宋体" w:hAnsi="宋体" w:eastAsia="宋体" w:cs="宋体"/>
                <w:color w:val="000000"/>
                <w:sz w:val="28"/>
                <w:szCs w:val="28"/>
              </w:rPr>
            </w:pPr>
          </w:p>
        </w:tc>
        <w:tc>
          <w:tcPr>
            <w:tcW w:w="2743" w:type="pct"/>
            <w:shd w:val="clear" w:color="auto" w:fill="auto"/>
            <w:noWrap/>
            <w:tcMar>
              <w:top w:w="12" w:type="dxa"/>
              <w:left w:w="12" w:type="dxa"/>
              <w:right w:w="12" w:type="dxa"/>
            </w:tcMar>
            <w:vAlign w:val="center"/>
          </w:tcPr>
          <w:p>
            <w:pPr>
              <w:widowControl/>
              <w:ind w:firstLine="0" w:firstLineChars="0"/>
              <w:jc w:val="left"/>
              <w:textAlignment w:val="center"/>
              <w:rPr>
                <w:rFonts w:ascii="宋体" w:hAnsi="宋体" w:eastAsia="宋体" w:cs="宋体"/>
                <w:color w:val="000000"/>
                <w:kern w:val="0"/>
                <w:sz w:val="28"/>
                <w:szCs w:val="28"/>
                <w:lang w:bidi="ar"/>
              </w:rPr>
            </w:pPr>
            <w:r>
              <w:rPr>
                <w:rFonts w:hint="eastAsia" w:ascii="宋体" w:hAnsi="宋体" w:eastAsia="宋体" w:cs="宋体"/>
                <w:color w:val="000000"/>
                <w:kern w:val="0"/>
                <w:sz w:val="28"/>
                <w:szCs w:val="28"/>
                <w:lang w:bidi="ar"/>
              </w:rPr>
              <w:t>设备型号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63" w:hRule="atLeast"/>
        </w:trPr>
        <w:tc>
          <w:tcPr>
            <w:tcW w:w="758" w:type="pct"/>
            <w:shd w:val="clear" w:color="auto" w:fill="auto"/>
            <w:noWrap/>
            <w:tcMar>
              <w:top w:w="12" w:type="dxa"/>
              <w:left w:w="12" w:type="dxa"/>
              <w:right w:w="12" w:type="dxa"/>
            </w:tcMar>
            <w:vAlign w:val="center"/>
          </w:tcPr>
          <w:p>
            <w:pPr>
              <w:widowControl/>
              <w:ind w:firstLine="560"/>
              <w:jc w:val="left"/>
              <w:textAlignment w:val="center"/>
              <w:rPr>
                <w:rFonts w:ascii="宋体" w:hAnsi="宋体" w:eastAsia="宋体" w:cs="宋体"/>
                <w:color w:val="000000"/>
                <w:sz w:val="28"/>
                <w:szCs w:val="28"/>
              </w:rPr>
            </w:pPr>
            <w:r>
              <w:rPr>
                <w:rFonts w:hint="eastAsia" w:ascii="宋体" w:hAnsi="宋体" w:eastAsia="宋体" w:cs="宋体"/>
                <w:color w:val="000000"/>
                <w:sz w:val="28"/>
                <w:szCs w:val="28"/>
              </w:rPr>
              <w:t>6</w:t>
            </w:r>
          </w:p>
        </w:tc>
        <w:tc>
          <w:tcPr>
            <w:tcW w:w="1497" w:type="pct"/>
            <w:vMerge w:val="continue"/>
            <w:shd w:val="clear" w:color="auto" w:fill="auto"/>
            <w:noWrap/>
            <w:tcMar>
              <w:top w:w="12" w:type="dxa"/>
              <w:left w:w="12" w:type="dxa"/>
              <w:right w:w="12" w:type="dxa"/>
            </w:tcMar>
            <w:vAlign w:val="center"/>
          </w:tcPr>
          <w:p>
            <w:pPr>
              <w:ind w:firstLine="560"/>
              <w:jc w:val="center"/>
              <w:rPr>
                <w:rFonts w:ascii="宋体" w:hAnsi="宋体" w:eastAsia="宋体" w:cs="宋体"/>
                <w:color w:val="000000"/>
                <w:sz w:val="28"/>
                <w:szCs w:val="28"/>
              </w:rPr>
            </w:pPr>
          </w:p>
        </w:tc>
        <w:tc>
          <w:tcPr>
            <w:tcW w:w="2743" w:type="pct"/>
            <w:shd w:val="clear" w:color="auto" w:fill="auto"/>
            <w:noWrap/>
            <w:tcMar>
              <w:top w:w="12" w:type="dxa"/>
              <w:left w:w="12" w:type="dxa"/>
              <w:right w:w="12" w:type="dxa"/>
            </w:tcMar>
            <w:vAlign w:val="center"/>
          </w:tcPr>
          <w:p>
            <w:pPr>
              <w:widowControl/>
              <w:ind w:firstLine="0" w:firstLineChars="0"/>
              <w:jc w:val="left"/>
              <w:textAlignment w:val="center"/>
              <w:rPr>
                <w:rFonts w:ascii="宋体" w:hAnsi="宋体" w:eastAsia="宋体" w:cs="宋体"/>
                <w:color w:val="000000"/>
                <w:kern w:val="0"/>
                <w:sz w:val="28"/>
                <w:szCs w:val="28"/>
                <w:lang w:bidi="ar"/>
              </w:rPr>
            </w:pPr>
            <w:r>
              <w:rPr>
                <w:rFonts w:hint="eastAsia" w:ascii="宋体" w:hAnsi="宋体" w:eastAsia="宋体" w:cs="宋体"/>
                <w:color w:val="000000"/>
                <w:kern w:val="0"/>
                <w:sz w:val="28"/>
                <w:szCs w:val="28"/>
                <w:lang w:bidi="ar"/>
              </w:rPr>
              <w:t>设备代码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63" w:hRule="atLeast"/>
        </w:trPr>
        <w:tc>
          <w:tcPr>
            <w:tcW w:w="758" w:type="pct"/>
            <w:shd w:val="clear" w:color="auto" w:fill="auto"/>
            <w:noWrap/>
            <w:tcMar>
              <w:top w:w="12" w:type="dxa"/>
              <w:left w:w="12" w:type="dxa"/>
              <w:right w:w="12" w:type="dxa"/>
            </w:tcMar>
            <w:vAlign w:val="center"/>
          </w:tcPr>
          <w:p>
            <w:pPr>
              <w:widowControl/>
              <w:ind w:firstLine="560"/>
              <w:jc w:val="left"/>
              <w:textAlignment w:val="center"/>
              <w:rPr>
                <w:rFonts w:ascii="宋体" w:hAnsi="宋体" w:eastAsia="宋体" w:cs="宋体"/>
                <w:color w:val="000000"/>
                <w:sz w:val="28"/>
                <w:szCs w:val="28"/>
              </w:rPr>
            </w:pPr>
            <w:r>
              <w:rPr>
                <w:rFonts w:hint="eastAsia" w:ascii="宋体" w:hAnsi="宋体" w:eastAsia="宋体" w:cs="宋体"/>
                <w:color w:val="000000"/>
                <w:sz w:val="28"/>
                <w:szCs w:val="28"/>
              </w:rPr>
              <w:t>7</w:t>
            </w:r>
          </w:p>
        </w:tc>
        <w:tc>
          <w:tcPr>
            <w:tcW w:w="1497" w:type="pct"/>
            <w:vMerge w:val="continue"/>
            <w:shd w:val="clear" w:color="auto" w:fill="auto"/>
            <w:noWrap/>
            <w:tcMar>
              <w:top w:w="12" w:type="dxa"/>
              <w:left w:w="12" w:type="dxa"/>
              <w:right w:w="12" w:type="dxa"/>
            </w:tcMar>
            <w:vAlign w:val="center"/>
          </w:tcPr>
          <w:p>
            <w:pPr>
              <w:ind w:firstLine="560"/>
              <w:jc w:val="center"/>
              <w:rPr>
                <w:rFonts w:ascii="宋体" w:hAnsi="宋体" w:eastAsia="宋体" w:cs="宋体"/>
                <w:color w:val="000000"/>
                <w:sz w:val="28"/>
                <w:szCs w:val="28"/>
              </w:rPr>
            </w:pPr>
          </w:p>
        </w:tc>
        <w:tc>
          <w:tcPr>
            <w:tcW w:w="2743" w:type="pct"/>
            <w:shd w:val="clear" w:color="auto" w:fill="auto"/>
            <w:noWrap/>
            <w:tcMar>
              <w:top w:w="12" w:type="dxa"/>
              <w:left w:w="12" w:type="dxa"/>
              <w:right w:w="12" w:type="dxa"/>
            </w:tcMar>
            <w:vAlign w:val="center"/>
          </w:tcPr>
          <w:p>
            <w:pPr>
              <w:widowControl/>
              <w:ind w:firstLine="0" w:firstLineChars="0"/>
              <w:jc w:val="left"/>
              <w:textAlignment w:val="center"/>
              <w:rPr>
                <w:rFonts w:ascii="宋体" w:hAnsi="宋体" w:eastAsia="宋体" w:cs="宋体"/>
                <w:color w:val="000000"/>
                <w:kern w:val="0"/>
                <w:sz w:val="28"/>
                <w:szCs w:val="28"/>
                <w:lang w:bidi="ar"/>
              </w:rPr>
            </w:pPr>
            <w:r>
              <w:rPr>
                <w:rFonts w:hint="eastAsia" w:ascii="宋体" w:hAnsi="宋体" w:eastAsia="宋体" w:cs="宋体"/>
                <w:color w:val="000000"/>
                <w:kern w:val="0"/>
                <w:sz w:val="28"/>
                <w:szCs w:val="28"/>
                <w:lang w:bidi="ar"/>
              </w:rPr>
              <w:t>设备施工地点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63" w:hRule="atLeast"/>
        </w:trPr>
        <w:tc>
          <w:tcPr>
            <w:tcW w:w="758" w:type="pct"/>
            <w:shd w:val="clear" w:color="auto" w:fill="auto"/>
            <w:noWrap/>
            <w:tcMar>
              <w:top w:w="12" w:type="dxa"/>
              <w:left w:w="12" w:type="dxa"/>
              <w:right w:w="12" w:type="dxa"/>
            </w:tcMar>
            <w:vAlign w:val="center"/>
          </w:tcPr>
          <w:p>
            <w:pPr>
              <w:widowControl/>
              <w:ind w:firstLine="560"/>
              <w:jc w:val="left"/>
              <w:textAlignment w:val="center"/>
              <w:rPr>
                <w:rFonts w:ascii="宋体" w:hAnsi="宋体" w:eastAsia="宋体" w:cs="宋体"/>
                <w:color w:val="000000"/>
                <w:sz w:val="28"/>
                <w:szCs w:val="28"/>
              </w:rPr>
            </w:pPr>
            <w:r>
              <w:rPr>
                <w:rFonts w:hint="eastAsia" w:ascii="宋体" w:hAnsi="宋体" w:eastAsia="宋体" w:cs="宋体"/>
                <w:color w:val="000000"/>
                <w:sz w:val="28"/>
                <w:szCs w:val="28"/>
              </w:rPr>
              <w:t>8</w:t>
            </w:r>
          </w:p>
        </w:tc>
        <w:tc>
          <w:tcPr>
            <w:tcW w:w="1497" w:type="pct"/>
            <w:vMerge w:val="continue"/>
            <w:shd w:val="clear" w:color="auto" w:fill="auto"/>
            <w:noWrap/>
            <w:tcMar>
              <w:top w:w="12" w:type="dxa"/>
              <w:left w:w="12" w:type="dxa"/>
              <w:right w:w="12" w:type="dxa"/>
            </w:tcMar>
            <w:vAlign w:val="center"/>
          </w:tcPr>
          <w:p>
            <w:pPr>
              <w:ind w:firstLine="560"/>
              <w:jc w:val="center"/>
              <w:rPr>
                <w:rFonts w:ascii="宋体" w:hAnsi="宋体" w:eastAsia="宋体" w:cs="宋体"/>
                <w:color w:val="000000"/>
                <w:sz w:val="28"/>
                <w:szCs w:val="28"/>
              </w:rPr>
            </w:pPr>
          </w:p>
        </w:tc>
        <w:tc>
          <w:tcPr>
            <w:tcW w:w="2743" w:type="pct"/>
            <w:shd w:val="clear" w:color="auto" w:fill="auto"/>
            <w:noWrap/>
            <w:tcMar>
              <w:top w:w="12" w:type="dxa"/>
              <w:left w:w="12" w:type="dxa"/>
              <w:right w:w="12" w:type="dxa"/>
            </w:tcMar>
            <w:vAlign w:val="center"/>
          </w:tcPr>
          <w:p>
            <w:pPr>
              <w:widowControl/>
              <w:ind w:firstLine="0" w:firstLineChars="0"/>
              <w:jc w:val="left"/>
              <w:textAlignment w:val="center"/>
              <w:rPr>
                <w:rFonts w:ascii="宋体" w:hAnsi="宋体" w:eastAsia="宋体" w:cs="宋体"/>
                <w:color w:val="000000"/>
                <w:kern w:val="0"/>
                <w:sz w:val="28"/>
                <w:szCs w:val="28"/>
                <w:lang w:bidi="ar"/>
              </w:rPr>
            </w:pPr>
            <w:r>
              <w:rPr>
                <w:rFonts w:hint="eastAsia" w:ascii="宋体" w:hAnsi="宋体" w:eastAsia="宋体" w:cs="宋体"/>
                <w:color w:val="000000"/>
                <w:kern w:val="0"/>
                <w:sz w:val="28"/>
                <w:szCs w:val="28"/>
                <w:lang w:bidi="ar"/>
              </w:rPr>
              <w:t>施工日期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63" w:hRule="atLeast"/>
        </w:trPr>
        <w:tc>
          <w:tcPr>
            <w:tcW w:w="758" w:type="pct"/>
            <w:shd w:val="clear" w:color="auto" w:fill="auto"/>
            <w:noWrap/>
            <w:tcMar>
              <w:top w:w="12" w:type="dxa"/>
              <w:left w:w="12" w:type="dxa"/>
              <w:right w:w="12" w:type="dxa"/>
            </w:tcMar>
            <w:vAlign w:val="center"/>
          </w:tcPr>
          <w:p>
            <w:pPr>
              <w:widowControl/>
              <w:ind w:firstLine="560"/>
              <w:jc w:val="left"/>
              <w:textAlignment w:val="center"/>
              <w:rPr>
                <w:rFonts w:ascii="宋体" w:hAnsi="宋体" w:eastAsia="宋体" w:cs="宋体"/>
                <w:color w:val="000000"/>
                <w:sz w:val="28"/>
                <w:szCs w:val="28"/>
              </w:rPr>
            </w:pPr>
            <w:r>
              <w:rPr>
                <w:rFonts w:hint="eastAsia" w:ascii="宋体" w:hAnsi="宋体" w:eastAsia="宋体" w:cs="宋体"/>
                <w:color w:val="000000"/>
                <w:sz w:val="28"/>
                <w:szCs w:val="28"/>
              </w:rPr>
              <w:t>9</w:t>
            </w:r>
          </w:p>
        </w:tc>
        <w:tc>
          <w:tcPr>
            <w:tcW w:w="1497" w:type="pct"/>
            <w:vMerge w:val="continue"/>
            <w:shd w:val="clear" w:color="auto" w:fill="auto"/>
            <w:noWrap/>
            <w:tcMar>
              <w:top w:w="12" w:type="dxa"/>
              <w:left w:w="12" w:type="dxa"/>
              <w:right w:w="12" w:type="dxa"/>
            </w:tcMar>
            <w:vAlign w:val="center"/>
          </w:tcPr>
          <w:p>
            <w:pPr>
              <w:ind w:firstLine="560"/>
              <w:jc w:val="center"/>
              <w:rPr>
                <w:rFonts w:ascii="宋体" w:hAnsi="宋体" w:eastAsia="宋体" w:cs="宋体"/>
                <w:color w:val="000000"/>
                <w:sz w:val="28"/>
                <w:szCs w:val="28"/>
              </w:rPr>
            </w:pPr>
          </w:p>
        </w:tc>
        <w:tc>
          <w:tcPr>
            <w:tcW w:w="2743" w:type="pct"/>
            <w:shd w:val="clear" w:color="auto" w:fill="auto"/>
            <w:noWrap/>
            <w:tcMar>
              <w:top w:w="12" w:type="dxa"/>
              <w:left w:w="12" w:type="dxa"/>
              <w:right w:w="12" w:type="dxa"/>
            </w:tcMar>
            <w:vAlign w:val="center"/>
          </w:tcPr>
          <w:p>
            <w:pPr>
              <w:widowControl/>
              <w:ind w:firstLine="0" w:firstLineChars="0"/>
              <w:jc w:val="left"/>
              <w:textAlignment w:val="center"/>
              <w:rPr>
                <w:rFonts w:ascii="宋体" w:hAnsi="宋体" w:eastAsia="宋体" w:cs="宋体"/>
                <w:color w:val="000000"/>
                <w:kern w:val="0"/>
                <w:sz w:val="28"/>
                <w:szCs w:val="28"/>
                <w:lang w:bidi="ar"/>
              </w:rPr>
            </w:pPr>
            <w:r>
              <w:rPr>
                <w:rFonts w:hint="eastAsia" w:ascii="宋体" w:hAnsi="宋体" w:eastAsia="宋体" w:cs="宋体"/>
                <w:color w:val="000000"/>
                <w:kern w:val="0"/>
                <w:sz w:val="28"/>
                <w:szCs w:val="28"/>
                <w:lang w:bidi="ar"/>
              </w:rPr>
              <w:t>设备制造单位名称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63" w:hRule="atLeast"/>
        </w:trPr>
        <w:tc>
          <w:tcPr>
            <w:tcW w:w="758" w:type="pct"/>
            <w:shd w:val="clear" w:color="auto" w:fill="auto"/>
            <w:noWrap/>
            <w:tcMar>
              <w:top w:w="12" w:type="dxa"/>
              <w:left w:w="12" w:type="dxa"/>
              <w:right w:w="12" w:type="dxa"/>
            </w:tcMar>
            <w:vAlign w:val="center"/>
          </w:tcPr>
          <w:p>
            <w:pPr>
              <w:widowControl/>
              <w:ind w:firstLine="560"/>
              <w:jc w:val="left"/>
              <w:textAlignment w:val="center"/>
              <w:rPr>
                <w:rFonts w:ascii="宋体" w:hAnsi="宋体" w:eastAsia="宋体" w:cs="宋体"/>
                <w:color w:val="000000"/>
                <w:sz w:val="28"/>
                <w:szCs w:val="28"/>
              </w:rPr>
            </w:pPr>
            <w:r>
              <w:rPr>
                <w:rFonts w:hint="eastAsia" w:ascii="宋体" w:hAnsi="宋体" w:eastAsia="宋体" w:cs="宋体"/>
                <w:color w:val="000000"/>
                <w:sz w:val="28"/>
                <w:szCs w:val="28"/>
              </w:rPr>
              <w:t>10</w:t>
            </w:r>
          </w:p>
        </w:tc>
        <w:tc>
          <w:tcPr>
            <w:tcW w:w="1497" w:type="pct"/>
            <w:vMerge w:val="continue"/>
            <w:shd w:val="clear" w:color="auto" w:fill="auto"/>
            <w:noWrap/>
            <w:tcMar>
              <w:top w:w="12" w:type="dxa"/>
              <w:left w:w="12" w:type="dxa"/>
              <w:right w:w="12" w:type="dxa"/>
            </w:tcMar>
            <w:vAlign w:val="center"/>
          </w:tcPr>
          <w:p>
            <w:pPr>
              <w:ind w:firstLine="560"/>
              <w:jc w:val="center"/>
              <w:rPr>
                <w:rFonts w:ascii="宋体" w:hAnsi="宋体" w:eastAsia="宋体" w:cs="宋体"/>
                <w:color w:val="000000"/>
                <w:sz w:val="28"/>
                <w:szCs w:val="28"/>
              </w:rPr>
            </w:pPr>
          </w:p>
        </w:tc>
        <w:tc>
          <w:tcPr>
            <w:tcW w:w="2743" w:type="pct"/>
            <w:shd w:val="clear" w:color="auto" w:fill="auto"/>
            <w:noWrap/>
            <w:tcMar>
              <w:top w:w="12" w:type="dxa"/>
              <w:left w:w="12" w:type="dxa"/>
              <w:right w:w="12" w:type="dxa"/>
            </w:tcMar>
            <w:vAlign w:val="center"/>
          </w:tcPr>
          <w:p>
            <w:pPr>
              <w:widowControl/>
              <w:ind w:firstLine="0" w:firstLineChars="0"/>
              <w:jc w:val="left"/>
              <w:textAlignment w:val="center"/>
              <w:rPr>
                <w:rFonts w:ascii="宋体" w:hAnsi="宋体" w:eastAsia="宋体" w:cs="宋体"/>
                <w:color w:val="000000"/>
                <w:kern w:val="0"/>
                <w:sz w:val="28"/>
                <w:szCs w:val="28"/>
                <w:lang w:bidi="ar"/>
              </w:rPr>
            </w:pPr>
            <w:r>
              <w:rPr>
                <w:rFonts w:hint="eastAsia" w:ascii="宋体" w:hAnsi="宋体" w:eastAsia="宋体" w:cs="宋体"/>
                <w:color w:val="000000"/>
                <w:kern w:val="0"/>
                <w:sz w:val="28"/>
                <w:szCs w:val="28"/>
                <w:lang w:bidi="ar"/>
              </w:rPr>
              <w:t>制造许可证编号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711" w:hRule="atLeast"/>
        </w:trPr>
        <w:tc>
          <w:tcPr>
            <w:tcW w:w="758" w:type="pct"/>
            <w:shd w:val="clear" w:color="auto" w:fill="auto"/>
            <w:noWrap/>
            <w:tcMar>
              <w:top w:w="12" w:type="dxa"/>
              <w:left w:w="12" w:type="dxa"/>
              <w:right w:w="12" w:type="dxa"/>
            </w:tcMar>
            <w:vAlign w:val="center"/>
          </w:tcPr>
          <w:p>
            <w:pPr>
              <w:widowControl/>
              <w:ind w:firstLine="560"/>
              <w:jc w:val="left"/>
              <w:textAlignment w:val="center"/>
              <w:rPr>
                <w:rFonts w:ascii="宋体" w:hAnsi="宋体" w:eastAsia="宋体" w:cs="宋体"/>
                <w:color w:val="000000"/>
                <w:sz w:val="28"/>
                <w:szCs w:val="28"/>
              </w:rPr>
            </w:pPr>
            <w:r>
              <w:rPr>
                <w:rFonts w:hint="eastAsia" w:ascii="宋体" w:hAnsi="宋体" w:eastAsia="宋体" w:cs="宋体"/>
                <w:color w:val="000000"/>
                <w:sz w:val="28"/>
                <w:szCs w:val="28"/>
              </w:rPr>
              <w:t>11</w:t>
            </w:r>
          </w:p>
        </w:tc>
        <w:tc>
          <w:tcPr>
            <w:tcW w:w="1497" w:type="pct"/>
            <w:vMerge w:val="continue"/>
            <w:shd w:val="clear" w:color="auto" w:fill="auto"/>
            <w:noWrap/>
            <w:tcMar>
              <w:top w:w="12" w:type="dxa"/>
              <w:left w:w="12" w:type="dxa"/>
              <w:right w:w="12" w:type="dxa"/>
            </w:tcMar>
            <w:vAlign w:val="center"/>
          </w:tcPr>
          <w:p>
            <w:pPr>
              <w:ind w:firstLine="560"/>
              <w:jc w:val="center"/>
              <w:rPr>
                <w:rFonts w:ascii="宋体" w:hAnsi="宋体" w:eastAsia="宋体" w:cs="宋体"/>
                <w:color w:val="000000"/>
                <w:sz w:val="28"/>
                <w:szCs w:val="28"/>
              </w:rPr>
            </w:pPr>
          </w:p>
        </w:tc>
        <w:tc>
          <w:tcPr>
            <w:tcW w:w="2743" w:type="pct"/>
            <w:shd w:val="clear" w:color="auto" w:fill="auto"/>
            <w:noWrap/>
            <w:tcMar>
              <w:top w:w="12" w:type="dxa"/>
              <w:left w:w="12" w:type="dxa"/>
              <w:right w:w="12" w:type="dxa"/>
            </w:tcMar>
            <w:vAlign w:val="center"/>
          </w:tcPr>
          <w:p>
            <w:pPr>
              <w:widowControl/>
              <w:ind w:firstLine="0" w:firstLineChars="0"/>
              <w:jc w:val="left"/>
              <w:textAlignment w:val="center"/>
              <w:rPr>
                <w:rFonts w:ascii="宋体" w:hAnsi="宋体" w:eastAsia="宋体" w:cs="宋体"/>
                <w:color w:val="000000"/>
                <w:kern w:val="0"/>
                <w:sz w:val="28"/>
                <w:szCs w:val="28"/>
                <w:lang w:bidi="ar"/>
              </w:rPr>
            </w:pPr>
            <w:r>
              <w:rPr>
                <w:rFonts w:hint="eastAsia" w:ascii="宋体" w:hAnsi="宋体" w:eastAsia="宋体" w:cs="宋体"/>
                <w:color w:val="000000"/>
                <w:kern w:val="0"/>
                <w:sz w:val="28"/>
                <w:szCs w:val="28"/>
                <w:lang w:bidi="ar"/>
              </w:rPr>
              <w:t>受理机构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78" w:hRule="atLeast"/>
        </w:trPr>
        <w:tc>
          <w:tcPr>
            <w:tcW w:w="758" w:type="pct"/>
            <w:shd w:val="clear" w:color="auto" w:fill="auto"/>
            <w:noWrap/>
            <w:tcMar>
              <w:top w:w="12" w:type="dxa"/>
              <w:left w:w="12" w:type="dxa"/>
              <w:right w:w="12" w:type="dxa"/>
            </w:tcMar>
            <w:vAlign w:val="center"/>
          </w:tcPr>
          <w:p>
            <w:pPr>
              <w:widowControl/>
              <w:ind w:firstLine="560"/>
              <w:jc w:val="left"/>
              <w:textAlignment w:val="center"/>
              <w:rPr>
                <w:rFonts w:ascii="宋体" w:hAnsi="宋体" w:eastAsia="宋体" w:cs="宋体"/>
                <w:color w:val="000000"/>
                <w:sz w:val="28"/>
                <w:szCs w:val="28"/>
              </w:rPr>
            </w:pPr>
            <w:r>
              <w:rPr>
                <w:rFonts w:hint="eastAsia" w:ascii="宋体" w:hAnsi="宋体" w:eastAsia="宋体" w:cs="宋体"/>
                <w:color w:val="000000"/>
                <w:sz w:val="28"/>
                <w:szCs w:val="28"/>
              </w:rPr>
              <w:t>12</w:t>
            </w:r>
          </w:p>
        </w:tc>
        <w:tc>
          <w:tcPr>
            <w:tcW w:w="1497" w:type="pct"/>
            <w:vMerge w:val="restart"/>
            <w:shd w:val="clear" w:color="auto" w:fill="auto"/>
            <w:noWrap/>
            <w:tcMar>
              <w:top w:w="12" w:type="dxa"/>
              <w:left w:w="12" w:type="dxa"/>
              <w:right w:w="12" w:type="dxa"/>
            </w:tcMar>
            <w:vAlign w:val="center"/>
          </w:tcPr>
          <w:p>
            <w:pPr>
              <w:widowControl/>
              <w:ind w:firstLine="0" w:firstLineChars="0"/>
              <w:textAlignment w:val="center"/>
              <w:rPr>
                <w:rFonts w:ascii="宋体" w:hAnsi="宋体" w:eastAsia="宋体" w:cs="宋体"/>
                <w:color w:val="000000"/>
                <w:sz w:val="28"/>
                <w:szCs w:val="28"/>
              </w:rPr>
            </w:pPr>
            <w:r>
              <w:rPr>
                <w:rFonts w:hint="eastAsia" w:ascii="宋体" w:hAnsi="宋体" w:eastAsia="宋体" w:cs="宋体"/>
                <w:color w:val="000000"/>
                <w:kern w:val="0"/>
                <w:sz w:val="28"/>
                <w:szCs w:val="28"/>
                <w:lang w:bidi="ar"/>
              </w:rPr>
              <w:t>使用单位信息</w:t>
            </w:r>
          </w:p>
        </w:tc>
        <w:tc>
          <w:tcPr>
            <w:tcW w:w="2743" w:type="pct"/>
            <w:shd w:val="clear" w:color="auto" w:fill="auto"/>
            <w:noWrap/>
            <w:tcMar>
              <w:top w:w="12" w:type="dxa"/>
              <w:left w:w="12" w:type="dxa"/>
              <w:right w:w="12" w:type="dxa"/>
            </w:tcMar>
            <w:vAlign w:val="center"/>
          </w:tcPr>
          <w:p>
            <w:pPr>
              <w:widowControl/>
              <w:ind w:firstLine="0" w:firstLineChars="0"/>
              <w:jc w:val="left"/>
              <w:textAlignment w:val="center"/>
              <w:rPr>
                <w:rFonts w:ascii="宋体" w:hAnsi="宋体" w:eastAsia="宋体" w:cs="宋体"/>
                <w:color w:val="000000"/>
                <w:kern w:val="0"/>
                <w:sz w:val="28"/>
                <w:szCs w:val="28"/>
                <w:lang w:bidi="ar"/>
              </w:rPr>
            </w:pPr>
            <w:r>
              <w:rPr>
                <w:rFonts w:hint="eastAsia" w:ascii="宋体" w:hAnsi="宋体" w:eastAsia="宋体" w:cs="宋体"/>
                <w:color w:val="000000"/>
                <w:kern w:val="0"/>
                <w:sz w:val="28"/>
                <w:szCs w:val="28"/>
                <w:lang w:bidi="ar"/>
              </w:rPr>
              <w:t>使用单位名称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63" w:hRule="atLeast"/>
        </w:trPr>
        <w:tc>
          <w:tcPr>
            <w:tcW w:w="758" w:type="pct"/>
            <w:shd w:val="clear" w:color="auto" w:fill="auto"/>
            <w:noWrap/>
            <w:tcMar>
              <w:top w:w="12" w:type="dxa"/>
              <w:left w:w="12" w:type="dxa"/>
              <w:right w:w="12" w:type="dxa"/>
            </w:tcMar>
            <w:vAlign w:val="center"/>
          </w:tcPr>
          <w:p>
            <w:pPr>
              <w:widowControl/>
              <w:ind w:firstLine="560"/>
              <w:jc w:val="left"/>
              <w:textAlignment w:val="center"/>
              <w:rPr>
                <w:rFonts w:ascii="宋体" w:hAnsi="宋体" w:eastAsia="宋体" w:cs="宋体"/>
                <w:color w:val="000000"/>
                <w:sz w:val="28"/>
                <w:szCs w:val="28"/>
              </w:rPr>
            </w:pPr>
            <w:r>
              <w:rPr>
                <w:rFonts w:hint="eastAsia" w:ascii="宋体" w:hAnsi="宋体" w:eastAsia="宋体" w:cs="宋体"/>
                <w:color w:val="000000"/>
                <w:sz w:val="28"/>
                <w:szCs w:val="28"/>
              </w:rPr>
              <w:t>13</w:t>
            </w:r>
          </w:p>
        </w:tc>
        <w:tc>
          <w:tcPr>
            <w:tcW w:w="1497" w:type="pct"/>
            <w:vMerge w:val="continue"/>
            <w:shd w:val="clear" w:color="auto" w:fill="auto"/>
            <w:noWrap/>
            <w:tcMar>
              <w:top w:w="12" w:type="dxa"/>
              <w:left w:w="12" w:type="dxa"/>
              <w:right w:w="12" w:type="dxa"/>
            </w:tcMar>
            <w:vAlign w:val="center"/>
          </w:tcPr>
          <w:p>
            <w:pPr>
              <w:ind w:firstLine="560"/>
              <w:jc w:val="center"/>
              <w:rPr>
                <w:rFonts w:ascii="宋体" w:hAnsi="宋体" w:eastAsia="宋体" w:cs="宋体"/>
                <w:color w:val="000000"/>
                <w:sz w:val="28"/>
                <w:szCs w:val="28"/>
              </w:rPr>
            </w:pPr>
          </w:p>
        </w:tc>
        <w:tc>
          <w:tcPr>
            <w:tcW w:w="2743" w:type="pct"/>
            <w:shd w:val="clear" w:color="auto" w:fill="auto"/>
            <w:noWrap/>
            <w:tcMar>
              <w:top w:w="12" w:type="dxa"/>
              <w:left w:w="12" w:type="dxa"/>
              <w:right w:w="12" w:type="dxa"/>
            </w:tcMar>
            <w:vAlign w:val="center"/>
          </w:tcPr>
          <w:p>
            <w:pPr>
              <w:widowControl/>
              <w:ind w:firstLine="0" w:firstLineChars="0"/>
              <w:jc w:val="left"/>
              <w:textAlignment w:val="center"/>
              <w:rPr>
                <w:rFonts w:ascii="宋体" w:hAnsi="宋体" w:eastAsia="宋体" w:cs="宋体"/>
                <w:color w:val="000000"/>
                <w:kern w:val="0"/>
                <w:sz w:val="28"/>
                <w:szCs w:val="28"/>
                <w:lang w:bidi="ar"/>
              </w:rPr>
            </w:pPr>
            <w:r>
              <w:rPr>
                <w:rFonts w:hint="eastAsia" w:ascii="宋体" w:hAnsi="宋体" w:eastAsia="宋体" w:cs="宋体"/>
                <w:color w:val="000000"/>
                <w:kern w:val="0"/>
                <w:sz w:val="28"/>
                <w:szCs w:val="28"/>
                <w:lang w:bidi="ar"/>
              </w:rPr>
              <w:t>使用单位邮编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63" w:hRule="atLeast"/>
        </w:trPr>
        <w:tc>
          <w:tcPr>
            <w:tcW w:w="758" w:type="pct"/>
            <w:shd w:val="clear" w:color="auto" w:fill="auto"/>
            <w:noWrap/>
            <w:tcMar>
              <w:top w:w="12" w:type="dxa"/>
              <w:left w:w="12" w:type="dxa"/>
              <w:right w:w="12" w:type="dxa"/>
            </w:tcMar>
            <w:vAlign w:val="center"/>
          </w:tcPr>
          <w:p>
            <w:pPr>
              <w:widowControl/>
              <w:ind w:firstLine="560"/>
              <w:jc w:val="left"/>
              <w:textAlignment w:val="center"/>
              <w:rPr>
                <w:rFonts w:ascii="宋体" w:hAnsi="宋体" w:eastAsia="宋体" w:cs="宋体"/>
                <w:color w:val="000000"/>
                <w:sz w:val="28"/>
                <w:szCs w:val="28"/>
              </w:rPr>
            </w:pPr>
            <w:r>
              <w:rPr>
                <w:rFonts w:hint="eastAsia" w:ascii="宋体" w:hAnsi="宋体" w:eastAsia="宋体" w:cs="宋体"/>
                <w:color w:val="000000"/>
                <w:sz w:val="28"/>
                <w:szCs w:val="28"/>
              </w:rPr>
              <w:t>14</w:t>
            </w:r>
          </w:p>
        </w:tc>
        <w:tc>
          <w:tcPr>
            <w:tcW w:w="1497" w:type="pct"/>
            <w:vMerge w:val="continue"/>
            <w:shd w:val="clear" w:color="auto" w:fill="auto"/>
            <w:noWrap/>
            <w:tcMar>
              <w:top w:w="12" w:type="dxa"/>
              <w:left w:w="12" w:type="dxa"/>
              <w:right w:w="12" w:type="dxa"/>
            </w:tcMar>
            <w:vAlign w:val="center"/>
          </w:tcPr>
          <w:p>
            <w:pPr>
              <w:ind w:firstLine="560"/>
              <w:jc w:val="center"/>
              <w:rPr>
                <w:rFonts w:ascii="宋体" w:hAnsi="宋体" w:eastAsia="宋体" w:cs="宋体"/>
                <w:color w:val="000000"/>
                <w:sz w:val="28"/>
                <w:szCs w:val="28"/>
              </w:rPr>
            </w:pPr>
          </w:p>
        </w:tc>
        <w:tc>
          <w:tcPr>
            <w:tcW w:w="2743" w:type="pct"/>
            <w:shd w:val="clear" w:color="auto" w:fill="auto"/>
            <w:noWrap/>
            <w:tcMar>
              <w:top w:w="12" w:type="dxa"/>
              <w:left w:w="12" w:type="dxa"/>
              <w:right w:w="12" w:type="dxa"/>
            </w:tcMar>
            <w:vAlign w:val="center"/>
          </w:tcPr>
          <w:p>
            <w:pPr>
              <w:widowControl/>
              <w:ind w:firstLine="0" w:firstLineChars="0"/>
              <w:jc w:val="left"/>
              <w:textAlignment w:val="center"/>
              <w:rPr>
                <w:rFonts w:ascii="宋体" w:hAnsi="宋体" w:eastAsia="宋体" w:cs="宋体"/>
                <w:color w:val="000000"/>
                <w:kern w:val="0"/>
                <w:sz w:val="28"/>
                <w:szCs w:val="28"/>
                <w:lang w:bidi="ar"/>
              </w:rPr>
            </w:pPr>
            <w:r>
              <w:rPr>
                <w:rFonts w:hint="eastAsia" w:ascii="宋体" w:hAnsi="宋体" w:eastAsia="宋体" w:cs="宋体"/>
                <w:color w:val="000000"/>
                <w:kern w:val="0"/>
                <w:sz w:val="28"/>
                <w:szCs w:val="28"/>
                <w:lang w:bidi="ar"/>
              </w:rPr>
              <w:t>使用单位联系人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63" w:hRule="atLeast"/>
        </w:trPr>
        <w:tc>
          <w:tcPr>
            <w:tcW w:w="758" w:type="pct"/>
            <w:shd w:val="clear" w:color="auto" w:fill="auto"/>
            <w:noWrap/>
            <w:tcMar>
              <w:top w:w="12" w:type="dxa"/>
              <w:left w:w="12" w:type="dxa"/>
              <w:right w:w="12" w:type="dxa"/>
            </w:tcMar>
            <w:vAlign w:val="center"/>
          </w:tcPr>
          <w:p>
            <w:pPr>
              <w:widowControl/>
              <w:ind w:firstLine="560"/>
              <w:jc w:val="left"/>
              <w:textAlignment w:val="center"/>
              <w:rPr>
                <w:rFonts w:ascii="宋体" w:hAnsi="宋体" w:eastAsia="宋体" w:cs="宋体"/>
                <w:color w:val="000000"/>
                <w:sz w:val="28"/>
                <w:szCs w:val="28"/>
              </w:rPr>
            </w:pPr>
            <w:r>
              <w:rPr>
                <w:rFonts w:hint="eastAsia" w:ascii="宋体" w:hAnsi="宋体" w:eastAsia="宋体" w:cs="宋体"/>
                <w:color w:val="000000"/>
                <w:sz w:val="28"/>
                <w:szCs w:val="28"/>
              </w:rPr>
              <w:t>15</w:t>
            </w:r>
          </w:p>
        </w:tc>
        <w:tc>
          <w:tcPr>
            <w:tcW w:w="1497" w:type="pct"/>
            <w:vMerge w:val="continue"/>
            <w:shd w:val="clear" w:color="auto" w:fill="auto"/>
            <w:noWrap/>
            <w:tcMar>
              <w:top w:w="12" w:type="dxa"/>
              <w:left w:w="12" w:type="dxa"/>
              <w:right w:w="12" w:type="dxa"/>
            </w:tcMar>
            <w:vAlign w:val="center"/>
          </w:tcPr>
          <w:p>
            <w:pPr>
              <w:ind w:firstLine="560"/>
              <w:jc w:val="center"/>
              <w:rPr>
                <w:rFonts w:ascii="宋体" w:hAnsi="宋体" w:eastAsia="宋体" w:cs="宋体"/>
                <w:color w:val="000000"/>
                <w:sz w:val="28"/>
                <w:szCs w:val="28"/>
              </w:rPr>
            </w:pPr>
          </w:p>
        </w:tc>
        <w:tc>
          <w:tcPr>
            <w:tcW w:w="2743" w:type="pct"/>
            <w:shd w:val="clear" w:color="auto" w:fill="auto"/>
            <w:noWrap/>
            <w:tcMar>
              <w:top w:w="12" w:type="dxa"/>
              <w:left w:w="12" w:type="dxa"/>
              <w:right w:w="12" w:type="dxa"/>
            </w:tcMar>
            <w:vAlign w:val="center"/>
          </w:tcPr>
          <w:p>
            <w:pPr>
              <w:widowControl/>
              <w:ind w:firstLine="0" w:firstLineChars="0"/>
              <w:jc w:val="left"/>
              <w:textAlignment w:val="center"/>
              <w:rPr>
                <w:rFonts w:ascii="宋体" w:hAnsi="宋体" w:eastAsia="宋体" w:cs="宋体"/>
                <w:color w:val="000000"/>
                <w:kern w:val="0"/>
                <w:sz w:val="28"/>
                <w:szCs w:val="28"/>
                <w:lang w:bidi="ar"/>
              </w:rPr>
            </w:pPr>
            <w:r>
              <w:rPr>
                <w:rFonts w:hint="eastAsia" w:ascii="宋体" w:hAnsi="宋体" w:eastAsia="宋体" w:cs="宋体"/>
                <w:color w:val="000000"/>
                <w:kern w:val="0"/>
                <w:sz w:val="28"/>
                <w:szCs w:val="28"/>
                <w:lang w:bidi="ar"/>
              </w:rPr>
              <w:t>使用单位电话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63" w:hRule="atLeast"/>
        </w:trPr>
        <w:tc>
          <w:tcPr>
            <w:tcW w:w="758" w:type="pct"/>
            <w:shd w:val="clear" w:color="auto" w:fill="auto"/>
            <w:noWrap/>
            <w:tcMar>
              <w:top w:w="12" w:type="dxa"/>
              <w:left w:w="12" w:type="dxa"/>
              <w:right w:w="12" w:type="dxa"/>
            </w:tcMar>
            <w:vAlign w:val="center"/>
          </w:tcPr>
          <w:p>
            <w:pPr>
              <w:widowControl/>
              <w:ind w:firstLine="560"/>
              <w:jc w:val="left"/>
              <w:textAlignment w:val="center"/>
              <w:rPr>
                <w:rFonts w:ascii="宋体" w:hAnsi="宋体" w:eastAsia="宋体" w:cs="宋体"/>
                <w:color w:val="000000"/>
                <w:sz w:val="28"/>
                <w:szCs w:val="28"/>
              </w:rPr>
            </w:pPr>
            <w:r>
              <w:rPr>
                <w:rFonts w:hint="eastAsia" w:ascii="宋体" w:hAnsi="宋体" w:eastAsia="宋体" w:cs="宋体"/>
                <w:color w:val="000000"/>
                <w:sz w:val="28"/>
                <w:szCs w:val="28"/>
              </w:rPr>
              <w:t>16</w:t>
            </w:r>
          </w:p>
        </w:tc>
        <w:tc>
          <w:tcPr>
            <w:tcW w:w="1497" w:type="pct"/>
            <w:vMerge w:val="continue"/>
            <w:shd w:val="clear" w:color="auto" w:fill="auto"/>
            <w:noWrap/>
            <w:tcMar>
              <w:top w:w="12" w:type="dxa"/>
              <w:left w:w="12" w:type="dxa"/>
              <w:right w:w="12" w:type="dxa"/>
            </w:tcMar>
            <w:vAlign w:val="center"/>
          </w:tcPr>
          <w:p>
            <w:pPr>
              <w:ind w:firstLine="560"/>
              <w:jc w:val="center"/>
              <w:rPr>
                <w:rFonts w:ascii="宋体" w:hAnsi="宋体" w:eastAsia="宋体" w:cs="宋体"/>
                <w:color w:val="000000"/>
                <w:sz w:val="28"/>
                <w:szCs w:val="28"/>
              </w:rPr>
            </w:pPr>
          </w:p>
        </w:tc>
        <w:tc>
          <w:tcPr>
            <w:tcW w:w="2743" w:type="pct"/>
            <w:shd w:val="clear" w:color="auto" w:fill="auto"/>
            <w:noWrap/>
            <w:tcMar>
              <w:top w:w="12" w:type="dxa"/>
              <w:left w:w="12" w:type="dxa"/>
              <w:right w:w="12" w:type="dxa"/>
            </w:tcMar>
            <w:vAlign w:val="center"/>
          </w:tcPr>
          <w:p>
            <w:pPr>
              <w:widowControl/>
              <w:ind w:firstLine="0" w:firstLineChars="0"/>
              <w:jc w:val="left"/>
              <w:textAlignment w:val="center"/>
              <w:rPr>
                <w:rFonts w:ascii="宋体" w:hAnsi="宋体" w:eastAsia="宋体" w:cs="宋体"/>
                <w:color w:val="000000"/>
                <w:kern w:val="0"/>
                <w:sz w:val="28"/>
                <w:szCs w:val="28"/>
                <w:lang w:bidi="ar"/>
              </w:rPr>
            </w:pPr>
            <w:r>
              <w:rPr>
                <w:rFonts w:hint="eastAsia" w:ascii="宋体" w:hAnsi="宋体" w:eastAsia="宋体" w:cs="宋体"/>
                <w:color w:val="000000"/>
                <w:kern w:val="0"/>
                <w:sz w:val="28"/>
                <w:szCs w:val="28"/>
                <w:lang w:bidi="ar"/>
              </w:rPr>
              <w:t>使用单位传真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63" w:hRule="atLeast"/>
        </w:trPr>
        <w:tc>
          <w:tcPr>
            <w:tcW w:w="758" w:type="pct"/>
            <w:shd w:val="clear" w:color="auto" w:fill="auto"/>
            <w:noWrap/>
            <w:tcMar>
              <w:top w:w="12" w:type="dxa"/>
              <w:left w:w="12" w:type="dxa"/>
              <w:right w:w="12" w:type="dxa"/>
            </w:tcMar>
            <w:vAlign w:val="center"/>
          </w:tcPr>
          <w:p>
            <w:pPr>
              <w:widowControl/>
              <w:ind w:firstLine="560"/>
              <w:jc w:val="left"/>
              <w:textAlignment w:val="center"/>
              <w:rPr>
                <w:rFonts w:ascii="宋体" w:hAnsi="宋体" w:eastAsia="宋体" w:cs="宋体"/>
                <w:color w:val="000000"/>
                <w:sz w:val="28"/>
                <w:szCs w:val="28"/>
              </w:rPr>
            </w:pPr>
            <w:r>
              <w:rPr>
                <w:rFonts w:hint="eastAsia" w:ascii="宋体" w:hAnsi="宋体" w:eastAsia="宋体" w:cs="宋体"/>
                <w:color w:val="000000"/>
                <w:sz w:val="28"/>
                <w:szCs w:val="28"/>
              </w:rPr>
              <w:t>17</w:t>
            </w:r>
          </w:p>
        </w:tc>
        <w:tc>
          <w:tcPr>
            <w:tcW w:w="1497" w:type="pct"/>
            <w:vMerge w:val="continue"/>
            <w:shd w:val="clear" w:color="auto" w:fill="auto"/>
            <w:noWrap/>
            <w:tcMar>
              <w:top w:w="12" w:type="dxa"/>
              <w:left w:w="12" w:type="dxa"/>
              <w:right w:w="12" w:type="dxa"/>
            </w:tcMar>
            <w:vAlign w:val="center"/>
          </w:tcPr>
          <w:p>
            <w:pPr>
              <w:ind w:firstLine="560"/>
              <w:jc w:val="center"/>
              <w:rPr>
                <w:rFonts w:ascii="宋体" w:hAnsi="宋体" w:eastAsia="宋体" w:cs="宋体"/>
                <w:color w:val="000000"/>
                <w:sz w:val="28"/>
                <w:szCs w:val="28"/>
              </w:rPr>
            </w:pPr>
          </w:p>
        </w:tc>
        <w:tc>
          <w:tcPr>
            <w:tcW w:w="2743" w:type="pct"/>
            <w:shd w:val="clear" w:color="auto" w:fill="auto"/>
            <w:noWrap/>
            <w:tcMar>
              <w:top w:w="12" w:type="dxa"/>
              <w:left w:w="12" w:type="dxa"/>
              <w:right w:w="12" w:type="dxa"/>
            </w:tcMar>
            <w:vAlign w:val="center"/>
          </w:tcPr>
          <w:p>
            <w:pPr>
              <w:widowControl/>
              <w:ind w:firstLine="0" w:firstLineChars="0"/>
              <w:jc w:val="left"/>
              <w:textAlignment w:val="center"/>
              <w:rPr>
                <w:rFonts w:ascii="宋体" w:hAnsi="宋体" w:eastAsia="宋体" w:cs="宋体"/>
                <w:color w:val="000000"/>
                <w:kern w:val="0"/>
                <w:sz w:val="28"/>
                <w:szCs w:val="28"/>
                <w:lang w:bidi="ar"/>
              </w:rPr>
            </w:pPr>
            <w:r>
              <w:rPr>
                <w:rFonts w:hint="eastAsia" w:ascii="宋体" w:hAnsi="宋体" w:eastAsia="宋体" w:cs="宋体"/>
                <w:color w:val="000000"/>
                <w:kern w:val="0"/>
                <w:sz w:val="28"/>
                <w:szCs w:val="28"/>
                <w:lang w:bidi="ar"/>
              </w:rPr>
              <w:t>使用单位地址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63" w:hRule="atLeast"/>
        </w:trPr>
        <w:tc>
          <w:tcPr>
            <w:tcW w:w="758" w:type="pct"/>
            <w:shd w:val="clear" w:color="auto" w:fill="auto"/>
            <w:noWrap/>
            <w:tcMar>
              <w:top w:w="12" w:type="dxa"/>
              <w:left w:w="12" w:type="dxa"/>
              <w:right w:w="12" w:type="dxa"/>
            </w:tcMar>
            <w:vAlign w:val="center"/>
          </w:tcPr>
          <w:p>
            <w:pPr>
              <w:widowControl/>
              <w:ind w:firstLine="560"/>
              <w:jc w:val="left"/>
              <w:textAlignment w:val="center"/>
              <w:rPr>
                <w:rFonts w:ascii="宋体" w:hAnsi="宋体" w:eastAsia="宋体" w:cs="宋体"/>
                <w:color w:val="000000"/>
                <w:sz w:val="28"/>
                <w:szCs w:val="28"/>
              </w:rPr>
            </w:pPr>
            <w:r>
              <w:rPr>
                <w:rFonts w:hint="eastAsia" w:ascii="宋体" w:hAnsi="宋体" w:eastAsia="宋体" w:cs="宋体"/>
                <w:color w:val="000000"/>
                <w:sz w:val="28"/>
                <w:szCs w:val="28"/>
              </w:rPr>
              <w:t>18</w:t>
            </w:r>
          </w:p>
        </w:tc>
        <w:tc>
          <w:tcPr>
            <w:tcW w:w="1497" w:type="pct"/>
            <w:vMerge w:val="continue"/>
            <w:shd w:val="clear" w:color="auto" w:fill="auto"/>
            <w:noWrap/>
            <w:tcMar>
              <w:top w:w="12" w:type="dxa"/>
              <w:left w:w="12" w:type="dxa"/>
              <w:right w:w="12" w:type="dxa"/>
            </w:tcMar>
            <w:vAlign w:val="center"/>
          </w:tcPr>
          <w:p>
            <w:pPr>
              <w:ind w:firstLine="560"/>
              <w:jc w:val="center"/>
              <w:rPr>
                <w:rFonts w:ascii="宋体" w:hAnsi="宋体" w:eastAsia="宋体" w:cs="宋体"/>
                <w:color w:val="000000"/>
                <w:sz w:val="28"/>
                <w:szCs w:val="28"/>
              </w:rPr>
            </w:pPr>
          </w:p>
        </w:tc>
        <w:tc>
          <w:tcPr>
            <w:tcW w:w="2743" w:type="pct"/>
            <w:shd w:val="clear" w:color="auto" w:fill="auto"/>
            <w:noWrap/>
            <w:tcMar>
              <w:top w:w="12" w:type="dxa"/>
              <w:left w:w="12" w:type="dxa"/>
              <w:right w:w="12" w:type="dxa"/>
            </w:tcMar>
            <w:vAlign w:val="center"/>
          </w:tcPr>
          <w:p>
            <w:pPr>
              <w:widowControl/>
              <w:ind w:firstLine="0" w:firstLineChars="0"/>
              <w:jc w:val="left"/>
              <w:textAlignment w:val="center"/>
              <w:rPr>
                <w:rFonts w:ascii="宋体" w:hAnsi="宋体" w:eastAsia="宋体" w:cs="宋体"/>
                <w:color w:val="000000"/>
                <w:kern w:val="0"/>
                <w:sz w:val="28"/>
                <w:szCs w:val="28"/>
                <w:lang w:bidi="ar"/>
              </w:rPr>
            </w:pPr>
            <w:r>
              <w:rPr>
                <w:rFonts w:hint="eastAsia" w:ascii="宋体" w:hAnsi="宋体" w:eastAsia="宋体" w:cs="宋体"/>
                <w:color w:val="000000"/>
                <w:kern w:val="0"/>
                <w:sz w:val="28"/>
                <w:szCs w:val="28"/>
                <w:lang w:bidi="ar"/>
              </w:rPr>
              <w:t>统一信用代码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78" w:hRule="atLeast"/>
        </w:trPr>
        <w:tc>
          <w:tcPr>
            <w:tcW w:w="758" w:type="pct"/>
            <w:shd w:val="clear" w:color="auto" w:fill="auto"/>
            <w:noWrap/>
            <w:tcMar>
              <w:top w:w="12" w:type="dxa"/>
              <w:left w:w="12" w:type="dxa"/>
              <w:right w:w="12" w:type="dxa"/>
            </w:tcMar>
            <w:vAlign w:val="center"/>
          </w:tcPr>
          <w:p>
            <w:pPr>
              <w:widowControl/>
              <w:ind w:firstLine="560"/>
              <w:jc w:val="left"/>
              <w:textAlignment w:val="center"/>
              <w:rPr>
                <w:rFonts w:ascii="宋体" w:hAnsi="宋体" w:eastAsia="宋体" w:cs="宋体"/>
                <w:color w:val="000000"/>
                <w:sz w:val="28"/>
                <w:szCs w:val="28"/>
              </w:rPr>
            </w:pPr>
            <w:r>
              <w:rPr>
                <w:rFonts w:hint="eastAsia" w:ascii="宋体" w:hAnsi="宋体" w:eastAsia="宋体" w:cs="宋体"/>
                <w:color w:val="000000"/>
                <w:sz w:val="28"/>
                <w:szCs w:val="28"/>
              </w:rPr>
              <w:t>19</w:t>
            </w:r>
          </w:p>
        </w:tc>
        <w:tc>
          <w:tcPr>
            <w:tcW w:w="1497" w:type="pct"/>
            <w:vMerge w:val="restart"/>
            <w:shd w:val="clear" w:color="auto" w:fill="auto"/>
            <w:noWrap/>
            <w:tcMar>
              <w:top w:w="12" w:type="dxa"/>
              <w:left w:w="12" w:type="dxa"/>
              <w:right w:w="12" w:type="dxa"/>
            </w:tcMar>
            <w:vAlign w:val="center"/>
          </w:tcPr>
          <w:p>
            <w:pPr>
              <w:widowControl/>
              <w:ind w:firstLine="0" w:firstLineChars="0"/>
              <w:textAlignment w:val="center"/>
              <w:rPr>
                <w:rFonts w:ascii="宋体" w:hAnsi="宋体" w:eastAsia="宋体" w:cs="宋体"/>
                <w:color w:val="000000"/>
                <w:sz w:val="28"/>
                <w:szCs w:val="28"/>
              </w:rPr>
            </w:pPr>
            <w:r>
              <w:rPr>
                <w:rFonts w:hint="eastAsia" w:ascii="宋体" w:hAnsi="宋体" w:eastAsia="宋体" w:cs="宋体"/>
                <w:color w:val="000000"/>
                <w:kern w:val="0"/>
                <w:sz w:val="28"/>
                <w:szCs w:val="28"/>
                <w:lang w:bidi="ar"/>
              </w:rPr>
              <w:t>施工单位信息</w:t>
            </w:r>
          </w:p>
        </w:tc>
        <w:tc>
          <w:tcPr>
            <w:tcW w:w="2743" w:type="pct"/>
            <w:shd w:val="clear" w:color="auto" w:fill="auto"/>
            <w:noWrap/>
            <w:tcMar>
              <w:top w:w="12" w:type="dxa"/>
              <w:left w:w="12" w:type="dxa"/>
              <w:right w:w="12" w:type="dxa"/>
            </w:tcMar>
            <w:vAlign w:val="center"/>
          </w:tcPr>
          <w:p>
            <w:pPr>
              <w:widowControl/>
              <w:ind w:firstLine="0" w:firstLineChars="0"/>
              <w:jc w:val="left"/>
              <w:textAlignment w:val="center"/>
              <w:rPr>
                <w:rFonts w:ascii="宋体" w:hAnsi="宋体" w:eastAsia="宋体" w:cs="宋体"/>
                <w:color w:val="000000"/>
                <w:kern w:val="0"/>
                <w:sz w:val="28"/>
                <w:szCs w:val="28"/>
                <w:lang w:bidi="ar"/>
              </w:rPr>
            </w:pPr>
            <w:r>
              <w:rPr>
                <w:rFonts w:hint="eastAsia" w:ascii="宋体" w:hAnsi="宋体" w:eastAsia="宋体" w:cs="宋体"/>
                <w:color w:val="000000"/>
                <w:kern w:val="0"/>
                <w:sz w:val="28"/>
                <w:szCs w:val="28"/>
                <w:lang w:bidi="ar"/>
              </w:rPr>
              <w:t>施工单位名称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532" w:hRule="atLeast"/>
        </w:trPr>
        <w:tc>
          <w:tcPr>
            <w:tcW w:w="758" w:type="pct"/>
            <w:shd w:val="clear" w:color="auto" w:fill="auto"/>
            <w:noWrap/>
            <w:tcMar>
              <w:top w:w="12" w:type="dxa"/>
              <w:left w:w="12" w:type="dxa"/>
              <w:right w:w="12" w:type="dxa"/>
            </w:tcMar>
            <w:vAlign w:val="center"/>
          </w:tcPr>
          <w:p>
            <w:pPr>
              <w:widowControl/>
              <w:ind w:firstLine="560"/>
              <w:jc w:val="left"/>
              <w:textAlignment w:val="center"/>
              <w:rPr>
                <w:rFonts w:ascii="宋体" w:hAnsi="宋体" w:eastAsia="宋体" w:cs="宋体"/>
                <w:color w:val="000000"/>
                <w:sz w:val="28"/>
                <w:szCs w:val="28"/>
              </w:rPr>
            </w:pPr>
            <w:r>
              <w:rPr>
                <w:rFonts w:hint="eastAsia" w:ascii="宋体" w:hAnsi="宋体" w:eastAsia="宋体" w:cs="宋体"/>
                <w:color w:val="000000"/>
                <w:sz w:val="28"/>
                <w:szCs w:val="28"/>
              </w:rPr>
              <w:t>20</w:t>
            </w:r>
          </w:p>
        </w:tc>
        <w:tc>
          <w:tcPr>
            <w:tcW w:w="1497" w:type="pct"/>
            <w:vMerge w:val="continue"/>
            <w:shd w:val="clear" w:color="auto" w:fill="auto"/>
            <w:noWrap/>
            <w:tcMar>
              <w:top w:w="12" w:type="dxa"/>
              <w:left w:w="12" w:type="dxa"/>
              <w:right w:w="12" w:type="dxa"/>
            </w:tcMar>
            <w:vAlign w:val="center"/>
          </w:tcPr>
          <w:p>
            <w:pPr>
              <w:ind w:firstLine="560"/>
              <w:jc w:val="center"/>
              <w:rPr>
                <w:rFonts w:ascii="宋体" w:hAnsi="宋体" w:eastAsia="宋体" w:cs="宋体"/>
                <w:color w:val="000000"/>
                <w:sz w:val="28"/>
                <w:szCs w:val="28"/>
              </w:rPr>
            </w:pPr>
          </w:p>
        </w:tc>
        <w:tc>
          <w:tcPr>
            <w:tcW w:w="2743" w:type="pct"/>
            <w:shd w:val="clear" w:color="auto" w:fill="auto"/>
            <w:noWrap/>
            <w:tcMar>
              <w:top w:w="12" w:type="dxa"/>
              <w:left w:w="12" w:type="dxa"/>
              <w:right w:w="12" w:type="dxa"/>
            </w:tcMar>
            <w:vAlign w:val="center"/>
          </w:tcPr>
          <w:p>
            <w:pPr>
              <w:widowControl/>
              <w:ind w:firstLine="0" w:firstLineChars="0"/>
              <w:jc w:val="left"/>
              <w:textAlignment w:val="center"/>
              <w:rPr>
                <w:rFonts w:ascii="宋体" w:hAnsi="宋体" w:eastAsia="宋体" w:cs="宋体"/>
                <w:color w:val="000000"/>
                <w:kern w:val="0"/>
                <w:sz w:val="28"/>
                <w:szCs w:val="28"/>
                <w:lang w:bidi="ar"/>
              </w:rPr>
            </w:pPr>
            <w:r>
              <w:rPr>
                <w:rFonts w:hint="eastAsia" w:ascii="宋体" w:hAnsi="宋体" w:eastAsia="宋体" w:cs="宋体"/>
                <w:color w:val="000000"/>
                <w:kern w:val="0"/>
                <w:sz w:val="28"/>
                <w:szCs w:val="28"/>
                <w:lang w:bidi="ar"/>
              </w:rPr>
              <w:t>施工单位地址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512" w:hRule="atLeast"/>
        </w:trPr>
        <w:tc>
          <w:tcPr>
            <w:tcW w:w="758" w:type="pct"/>
            <w:shd w:val="clear" w:color="auto" w:fill="auto"/>
            <w:noWrap/>
            <w:tcMar>
              <w:top w:w="12" w:type="dxa"/>
              <w:left w:w="12" w:type="dxa"/>
              <w:right w:w="12" w:type="dxa"/>
            </w:tcMar>
            <w:vAlign w:val="center"/>
          </w:tcPr>
          <w:p>
            <w:pPr>
              <w:widowControl/>
              <w:ind w:firstLine="560"/>
              <w:jc w:val="left"/>
              <w:textAlignment w:val="center"/>
              <w:rPr>
                <w:rFonts w:ascii="宋体" w:hAnsi="宋体" w:eastAsia="宋体" w:cs="宋体"/>
                <w:color w:val="000000"/>
                <w:sz w:val="28"/>
                <w:szCs w:val="28"/>
              </w:rPr>
            </w:pPr>
            <w:r>
              <w:rPr>
                <w:rFonts w:hint="eastAsia" w:ascii="宋体" w:hAnsi="宋体" w:eastAsia="宋体" w:cs="宋体"/>
                <w:color w:val="000000"/>
                <w:sz w:val="28"/>
                <w:szCs w:val="28"/>
              </w:rPr>
              <w:t>21</w:t>
            </w:r>
          </w:p>
        </w:tc>
        <w:tc>
          <w:tcPr>
            <w:tcW w:w="1497" w:type="pct"/>
            <w:vMerge w:val="continue"/>
            <w:shd w:val="clear" w:color="auto" w:fill="auto"/>
            <w:noWrap/>
            <w:tcMar>
              <w:top w:w="12" w:type="dxa"/>
              <w:left w:w="12" w:type="dxa"/>
              <w:right w:w="12" w:type="dxa"/>
            </w:tcMar>
            <w:vAlign w:val="center"/>
          </w:tcPr>
          <w:p>
            <w:pPr>
              <w:ind w:firstLine="560"/>
              <w:jc w:val="center"/>
              <w:rPr>
                <w:rFonts w:ascii="宋体" w:hAnsi="宋体" w:eastAsia="宋体" w:cs="宋体"/>
                <w:color w:val="000000"/>
                <w:sz w:val="28"/>
                <w:szCs w:val="28"/>
              </w:rPr>
            </w:pPr>
          </w:p>
        </w:tc>
        <w:tc>
          <w:tcPr>
            <w:tcW w:w="2743" w:type="pct"/>
            <w:shd w:val="clear" w:color="auto" w:fill="auto"/>
            <w:noWrap/>
            <w:tcMar>
              <w:top w:w="12" w:type="dxa"/>
              <w:left w:w="12" w:type="dxa"/>
              <w:right w:w="12" w:type="dxa"/>
            </w:tcMar>
            <w:vAlign w:val="center"/>
          </w:tcPr>
          <w:p>
            <w:pPr>
              <w:widowControl/>
              <w:ind w:firstLine="0" w:firstLineChars="0"/>
              <w:jc w:val="left"/>
              <w:textAlignment w:val="center"/>
              <w:rPr>
                <w:rFonts w:ascii="宋体" w:hAnsi="宋体" w:eastAsia="宋体" w:cs="宋体"/>
                <w:color w:val="000000"/>
                <w:kern w:val="0"/>
                <w:sz w:val="28"/>
                <w:szCs w:val="28"/>
                <w:lang w:bidi="ar"/>
              </w:rPr>
            </w:pPr>
            <w:r>
              <w:rPr>
                <w:rFonts w:hint="eastAsia" w:ascii="宋体" w:hAnsi="宋体" w:eastAsia="宋体" w:cs="宋体"/>
                <w:color w:val="000000"/>
                <w:kern w:val="0"/>
                <w:sz w:val="28"/>
                <w:szCs w:val="28"/>
                <w:lang w:bidi="ar"/>
              </w:rPr>
              <w:t>安装改造维修许可证编号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02" w:hRule="atLeast"/>
        </w:trPr>
        <w:tc>
          <w:tcPr>
            <w:tcW w:w="758" w:type="pct"/>
            <w:shd w:val="clear" w:color="auto" w:fill="auto"/>
            <w:noWrap/>
            <w:tcMar>
              <w:top w:w="12" w:type="dxa"/>
              <w:left w:w="12" w:type="dxa"/>
              <w:right w:w="12" w:type="dxa"/>
            </w:tcMar>
            <w:vAlign w:val="center"/>
          </w:tcPr>
          <w:p>
            <w:pPr>
              <w:widowControl/>
              <w:ind w:firstLine="560"/>
              <w:jc w:val="left"/>
              <w:textAlignment w:val="center"/>
              <w:rPr>
                <w:rFonts w:ascii="宋体" w:hAnsi="宋体" w:eastAsia="宋体" w:cs="宋体"/>
                <w:color w:val="000000"/>
                <w:sz w:val="28"/>
                <w:szCs w:val="28"/>
              </w:rPr>
            </w:pPr>
            <w:r>
              <w:rPr>
                <w:rFonts w:hint="eastAsia" w:ascii="宋体" w:hAnsi="宋体" w:eastAsia="宋体" w:cs="宋体"/>
                <w:color w:val="000000"/>
                <w:sz w:val="28"/>
                <w:szCs w:val="28"/>
              </w:rPr>
              <w:t>22</w:t>
            </w:r>
          </w:p>
        </w:tc>
        <w:tc>
          <w:tcPr>
            <w:tcW w:w="1497" w:type="pct"/>
            <w:vMerge w:val="continue"/>
            <w:shd w:val="clear" w:color="auto" w:fill="auto"/>
            <w:noWrap/>
            <w:tcMar>
              <w:top w:w="12" w:type="dxa"/>
              <w:left w:w="12" w:type="dxa"/>
              <w:right w:w="12" w:type="dxa"/>
            </w:tcMar>
            <w:vAlign w:val="center"/>
          </w:tcPr>
          <w:p>
            <w:pPr>
              <w:ind w:firstLine="560"/>
              <w:jc w:val="center"/>
              <w:rPr>
                <w:rFonts w:ascii="宋体" w:hAnsi="宋体" w:eastAsia="宋体" w:cs="宋体"/>
                <w:color w:val="000000"/>
                <w:sz w:val="28"/>
                <w:szCs w:val="28"/>
              </w:rPr>
            </w:pPr>
          </w:p>
        </w:tc>
        <w:tc>
          <w:tcPr>
            <w:tcW w:w="2743" w:type="pct"/>
            <w:shd w:val="clear" w:color="auto" w:fill="auto"/>
            <w:noWrap/>
            <w:tcMar>
              <w:top w:w="12" w:type="dxa"/>
              <w:left w:w="12" w:type="dxa"/>
              <w:right w:w="12" w:type="dxa"/>
            </w:tcMar>
            <w:vAlign w:val="center"/>
          </w:tcPr>
          <w:p>
            <w:pPr>
              <w:widowControl/>
              <w:ind w:firstLine="0" w:firstLineChars="0"/>
              <w:jc w:val="left"/>
              <w:textAlignment w:val="center"/>
              <w:rPr>
                <w:rFonts w:ascii="宋体" w:hAnsi="宋体" w:eastAsia="宋体" w:cs="宋体"/>
                <w:color w:val="000000"/>
                <w:kern w:val="0"/>
                <w:sz w:val="28"/>
                <w:szCs w:val="28"/>
                <w:lang w:bidi="ar"/>
              </w:rPr>
            </w:pPr>
            <w:r>
              <w:rPr>
                <w:rFonts w:hint="eastAsia" w:ascii="宋体" w:hAnsi="宋体" w:eastAsia="宋体" w:cs="宋体"/>
                <w:color w:val="000000"/>
                <w:kern w:val="0"/>
                <w:sz w:val="28"/>
                <w:szCs w:val="28"/>
                <w:lang w:bidi="ar"/>
              </w:rPr>
              <w:t>安装改造维修许可证有效期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21" w:hRule="atLeast"/>
        </w:trPr>
        <w:tc>
          <w:tcPr>
            <w:tcW w:w="758" w:type="pct"/>
            <w:shd w:val="clear" w:color="auto" w:fill="auto"/>
            <w:noWrap/>
            <w:tcMar>
              <w:top w:w="12" w:type="dxa"/>
              <w:left w:w="12" w:type="dxa"/>
              <w:right w:w="12" w:type="dxa"/>
            </w:tcMar>
            <w:vAlign w:val="center"/>
          </w:tcPr>
          <w:p>
            <w:pPr>
              <w:widowControl/>
              <w:ind w:firstLine="560"/>
              <w:jc w:val="left"/>
              <w:textAlignment w:val="center"/>
              <w:rPr>
                <w:rFonts w:ascii="宋体" w:hAnsi="宋体" w:eastAsia="宋体" w:cs="宋体"/>
                <w:color w:val="000000"/>
                <w:sz w:val="28"/>
                <w:szCs w:val="28"/>
              </w:rPr>
            </w:pPr>
            <w:r>
              <w:rPr>
                <w:rFonts w:hint="eastAsia" w:ascii="宋体" w:hAnsi="宋体" w:eastAsia="宋体" w:cs="宋体"/>
                <w:color w:val="000000"/>
                <w:sz w:val="28"/>
                <w:szCs w:val="28"/>
              </w:rPr>
              <w:t>23</w:t>
            </w:r>
          </w:p>
        </w:tc>
        <w:tc>
          <w:tcPr>
            <w:tcW w:w="1497" w:type="pct"/>
            <w:vMerge w:val="continue"/>
            <w:shd w:val="clear" w:color="auto" w:fill="auto"/>
            <w:noWrap/>
            <w:tcMar>
              <w:top w:w="12" w:type="dxa"/>
              <w:left w:w="12" w:type="dxa"/>
              <w:right w:w="12" w:type="dxa"/>
            </w:tcMar>
            <w:vAlign w:val="center"/>
          </w:tcPr>
          <w:p>
            <w:pPr>
              <w:ind w:firstLine="560"/>
              <w:jc w:val="center"/>
              <w:rPr>
                <w:rFonts w:ascii="宋体" w:hAnsi="宋体" w:eastAsia="宋体" w:cs="宋体"/>
                <w:color w:val="000000"/>
                <w:sz w:val="28"/>
                <w:szCs w:val="28"/>
              </w:rPr>
            </w:pPr>
          </w:p>
        </w:tc>
        <w:tc>
          <w:tcPr>
            <w:tcW w:w="2743" w:type="pct"/>
            <w:shd w:val="clear" w:color="auto" w:fill="auto"/>
            <w:noWrap/>
            <w:tcMar>
              <w:top w:w="12" w:type="dxa"/>
              <w:left w:w="12" w:type="dxa"/>
              <w:right w:w="12" w:type="dxa"/>
            </w:tcMar>
            <w:vAlign w:val="center"/>
          </w:tcPr>
          <w:p>
            <w:pPr>
              <w:widowControl/>
              <w:ind w:firstLine="0" w:firstLineChars="0"/>
              <w:jc w:val="left"/>
              <w:textAlignment w:val="center"/>
              <w:rPr>
                <w:rFonts w:ascii="宋体" w:hAnsi="宋体" w:eastAsia="宋体" w:cs="宋体"/>
                <w:color w:val="000000"/>
                <w:kern w:val="0"/>
                <w:sz w:val="28"/>
                <w:szCs w:val="28"/>
                <w:lang w:bidi="ar"/>
              </w:rPr>
            </w:pPr>
            <w:r>
              <w:rPr>
                <w:rFonts w:hint="eastAsia" w:ascii="宋体" w:hAnsi="宋体" w:eastAsia="宋体" w:cs="宋体"/>
                <w:color w:val="000000"/>
                <w:kern w:val="0"/>
                <w:sz w:val="28"/>
                <w:szCs w:val="28"/>
                <w:lang w:bidi="ar"/>
              </w:rPr>
              <w:t>施工单位联系人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61" w:hRule="atLeast"/>
        </w:trPr>
        <w:tc>
          <w:tcPr>
            <w:tcW w:w="758" w:type="pct"/>
            <w:shd w:val="clear" w:color="auto" w:fill="auto"/>
            <w:noWrap/>
            <w:tcMar>
              <w:top w:w="12" w:type="dxa"/>
              <w:left w:w="12" w:type="dxa"/>
              <w:right w:w="12" w:type="dxa"/>
            </w:tcMar>
            <w:vAlign w:val="center"/>
          </w:tcPr>
          <w:p>
            <w:pPr>
              <w:widowControl/>
              <w:ind w:firstLine="560"/>
              <w:jc w:val="left"/>
              <w:textAlignment w:val="center"/>
              <w:rPr>
                <w:rFonts w:ascii="宋体" w:hAnsi="宋体" w:eastAsia="宋体" w:cs="宋体"/>
                <w:color w:val="000000"/>
                <w:sz w:val="28"/>
                <w:szCs w:val="28"/>
              </w:rPr>
            </w:pPr>
            <w:r>
              <w:rPr>
                <w:rFonts w:hint="eastAsia" w:ascii="宋体" w:hAnsi="宋体" w:eastAsia="宋体" w:cs="宋体"/>
                <w:color w:val="000000"/>
                <w:sz w:val="28"/>
                <w:szCs w:val="28"/>
              </w:rPr>
              <w:t>24</w:t>
            </w:r>
          </w:p>
        </w:tc>
        <w:tc>
          <w:tcPr>
            <w:tcW w:w="1497" w:type="pct"/>
            <w:vMerge w:val="continue"/>
            <w:shd w:val="clear" w:color="auto" w:fill="auto"/>
            <w:noWrap/>
            <w:tcMar>
              <w:top w:w="12" w:type="dxa"/>
              <w:left w:w="12" w:type="dxa"/>
              <w:right w:w="12" w:type="dxa"/>
            </w:tcMar>
            <w:vAlign w:val="center"/>
          </w:tcPr>
          <w:p>
            <w:pPr>
              <w:ind w:firstLine="560"/>
              <w:jc w:val="center"/>
              <w:rPr>
                <w:rFonts w:ascii="宋体" w:hAnsi="宋体" w:eastAsia="宋体" w:cs="宋体"/>
                <w:color w:val="000000"/>
                <w:sz w:val="28"/>
                <w:szCs w:val="28"/>
              </w:rPr>
            </w:pPr>
          </w:p>
        </w:tc>
        <w:tc>
          <w:tcPr>
            <w:tcW w:w="2743" w:type="pct"/>
            <w:shd w:val="clear" w:color="auto" w:fill="auto"/>
            <w:noWrap/>
            <w:tcMar>
              <w:top w:w="12" w:type="dxa"/>
              <w:left w:w="12" w:type="dxa"/>
              <w:right w:w="12" w:type="dxa"/>
            </w:tcMar>
            <w:vAlign w:val="center"/>
          </w:tcPr>
          <w:p>
            <w:pPr>
              <w:widowControl/>
              <w:ind w:firstLine="0" w:firstLineChars="0"/>
              <w:jc w:val="left"/>
              <w:textAlignment w:val="center"/>
              <w:rPr>
                <w:rFonts w:ascii="宋体" w:hAnsi="宋体" w:eastAsia="宋体" w:cs="宋体"/>
                <w:color w:val="000000"/>
                <w:kern w:val="0"/>
                <w:sz w:val="28"/>
                <w:szCs w:val="28"/>
                <w:lang w:bidi="ar"/>
              </w:rPr>
            </w:pPr>
            <w:r>
              <w:rPr>
                <w:rFonts w:hint="eastAsia" w:ascii="宋体" w:hAnsi="宋体" w:eastAsia="宋体" w:cs="宋体"/>
                <w:color w:val="000000"/>
                <w:kern w:val="0"/>
                <w:sz w:val="28"/>
                <w:szCs w:val="28"/>
                <w:lang w:bidi="ar"/>
              </w:rPr>
              <w:t>施工单位电话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81" w:hRule="atLeast"/>
        </w:trPr>
        <w:tc>
          <w:tcPr>
            <w:tcW w:w="758" w:type="pct"/>
            <w:shd w:val="clear" w:color="auto" w:fill="auto"/>
            <w:noWrap/>
            <w:tcMar>
              <w:top w:w="12" w:type="dxa"/>
              <w:left w:w="12" w:type="dxa"/>
              <w:right w:w="12" w:type="dxa"/>
            </w:tcMar>
            <w:vAlign w:val="center"/>
          </w:tcPr>
          <w:p>
            <w:pPr>
              <w:widowControl/>
              <w:ind w:firstLine="560"/>
              <w:jc w:val="left"/>
              <w:textAlignment w:val="center"/>
              <w:rPr>
                <w:rFonts w:ascii="宋体" w:hAnsi="宋体" w:eastAsia="宋体" w:cs="宋体"/>
                <w:color w:val="000000"/>
                <w:sz w:val="28"/>
                <w:szCs w:val="28"/>
              </w:rPr>
            </w:pPr>
            <w:r>
              <w:rPr>
                <w:rFonts w:hint="eastAsia" w:ascii="宋体" w:hAnsi="宋体" w:eastAsia="宋体" w:cs="宋体"/>
                <w:color w:val="000000"/>
                <w:sz w:val="28"/>
                <w:szCs w:val="28"/>
              </w:rPr>
              <w:t>25</w:t>
            </w:r>
          </w:p>
        </w:tc>
        <w:tc>
          <w:tcPr>
            <w:tcW w:w="1497" w:type="pct"/>
            <w:vMerge w:val="continue"/>
            <w:shd w:val="clear" w:color="auto" w:fill="auto"/>
            <w:noWrap/>
            <w:tcMar>
              <w:top w:w="12" w:type="dxa"/>
              <w:left w:w="12" w:type="dxa"/>
              <w:right w:w="12" w:type="dxa"/>
            </w:tcMar>
            <w:vAlign w:val="center"/>
          </w:tcPr>
          <w:p>
            <w:pPr>
              <w:ind w:firstLine="560"/>
              <w:jc w:val="center"/>
              <w:rPr>
                <w:rFonts w:ascii="宋体" w:hAnsi="宋体" w:eastAsia="宋体" w:cs="宋体"/>
                <w:color w:val="000000"/>
                <w:sz w:val="28"/>
                <w:szCs w:val="28"/>
              </w:rPr>
            </w:pPr>
          </w:p>
        </w:tc>
        <w:tc>
          <w:tcPr>
            <w:tcW w:w="2743" w:type="pct"/>
            <w:shd w:val="clear" w:color="auto" w:fill="auto"/>
            <w:noWrap/>
            <w:tcMar>
              <w:top w:w="12" w:type="dxa"/>
              <w:left w:w="12" w:type="dxa"/>
              <w:right w:w="12" w:type="dxa"/>
            </w:tcMar>
            <w:vAlign w:val="center"/>
          </w:tcPr>
          <w:p>
            <w:pPr>
              <w:widowControl/>
              <w:ind w:firstLine="0" w:firstLineChars="0"/>
              <w:jc w:val="left"/>
              <w:textAlignment w:val="center"/>
              <w:rPr>
                <w:rFonts w:ascii="宋体" w:hAnsi="宋体" w:eastAsia="宋体" w:cs="宋体"/>
                <w:color w:val="000000"/>
                <w:kern w:val="0"/>
                <w:sz w:val="28"/>
                <w:szCs w:val="28"/>
                <w:lang w:bidi="ar"/>
              </w:rPr>
            </w:pPr>
            <w:r>
              <w:rPr>
                <w:rFonts w:hint="eastAsia" w:ascii="宋体" w:hAnsi="宋体" w:eastAsia="宋体" w:cs="宋体"/>
                <w:color w:val="000000"/>
                <w:kern w:val="0"/>
                <w:sz w:val="28"/>
                <w:szCs w:val="28"/>
                <w:lang w:bidi="ar"/>
              </w:rPr>
              <w:t>施工单位邮编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63" w:hRule="atLeast"/>
        </w:trPr>
        <w:tc>
          <w:tcPr>
            <w:tcW w:w="758" w:type="pct"/>
            <w:shd w:val="clear" w:color="auto" w:fill="auto"/>
            <w:noWrap/>
            <w:tcMar>
              <w:top w:w="12" w:type="dxa"/>
              <w:left w:w="12" w:type="dxa"/>
              <w:right w:w="12" w:type="dxa"/>
            </w:tcMar>
            <w:vAlign w:val="center"/>
          </w:tcPr>
          <w:p>
            <w:pPr>
              <w:widowControl/>
              <w:ind w:firstLine="560"/>
              <w:jc w:val="left"/>
              <w:textAlignment w:val="center"/>
              <w:rPr>
                <w:rFonts w:ascii="宋体" w:hAnsi="宋体" w:eastAsia="宋体" w:cs="宋体"/>
                <w:color w:val="000000"/>
                <w:sz w:val="28"/>
                <w:szCs w:val="28"/>
              </w:rPr>
            </w:pPr>
            <w:r>
              <w:rPr>
                <w:rFonts w:hint="eastAsia" w:ascii="宋体" w:hAnsi="宋体" w:eastAsia="宋体" w:cs="宋体"/>
                <w:color w:val="000000"/>
                <w:sz w:val="28"/>
                <w:szCs w:val="28"/>
              </w:rPr>
              <w:t>26</w:t>
            </w:r>
          </w:p>
        </w:tc>
        <w:tc>
          <w:tcPr>
            <w:tcW w:w="1497" w:type="pct"/>
            <w:vMerge w:val="continue"/>
            <w:shd w:val="clear" w:color="auto" w:fill="auto"/>
            <w:noWrap/>
            <w:tcMar>
              <w:top w:w="12" w:type="dxa"/>
              <w:left w:w="12" w:type="dxa"/>
              <w:right w:w="12" w:type="dxa"/>
            </w:tcMar>
            <w:vAlign w:val="center"/>
          </w:tcPr>
          <w:p>
            <w:pPr>
              <w:ind w:firstLine="560"/>
              <w:jc w:val="center"/>
              <w:rPr>
                <w:rFonts w:ascii="宋体" w:hAnsi="宋体" w:eastAsia="宋体" w:cs="宋体"/>
                <w:color w:val="000000"/>
                <w:sz w:val="28"/>
                <w:szCs w:val="28"/>
              </w:rPr>
            </w:pPr>
          </w:p>
        </w:tc>
        <w:tc>
          <w:tcPr>
            <w:tcW w:w="2743" w:type="pct"/>
            <w:shd w:val="clear" w:color="auto" w:fill="auto"/>
            <w:noWrap/>
            <w:tcMar>
              <w:top w:w="12" w:type="dxa"/>
              <w:left w:w="12" w:type="dxa"/>
              <w:right w:w="12" w:type="dxa"/>
            </w:tcMar>
            <w:vAlign w:val="center"/>
          </w:tcPr>
          <w:p>
            <w:pPr>
              <w:widowControl/>
              <w:ind w:firstLine="0" w:firstLineChars="0"/>
              <w:jc w:val="left"/>
              <w:textAlignment w:val="center"/>
              <w:rPr>
                <w:rFonts w:ascii="宋体" w:hAnsi="宋体" w:eastAsia="宋体" w:cs="宋体"/>
                <w:color w:val="000000"/>
                <w:kern w:val="0"/>
                <w:sz w:val="28"/>
                <w:szCs w:val="28"/>
                <w:lang w:bidi="ar"/>
              </w:rPr>
            </w:pPr>
            <w:r>
              <w:rPr>
                <w:rFonts w:hint="eastAsia" w:ascii="宋体" w:hAnsi="宋体" w:eastAsia="宋体" w:cs="宋体"/>
                <w:color w:val="000000"/>
                <w:kern w:val="0"/>
                <w:sz w:val="28"/>
                <w:szCs w:val="28"/>
                <w:lang w:bidi="ar"/>
              </w:rPr>
              <w:t>施工单位传真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63" w:hRule="atLeast"/>
        </w:trPr>
        <w:tc>
          <w:tcPr>
            <w:tcW w:w="758" w:type="pct"/>
            <w:shd w:val="clear" w:color="auto" w:fill="auto"/>
            <w:noWrap/>
            <w:tcMar>
              <w:top w:w="12" w:type="dxa"/>
              <w:left w:w="12" w:type="dxa"/>
              <w:right w:w="12" w:type="dxa"/>
            </w:tcMar>
            <w:vAlign w:val="center"/>
          </w:tcPr>
          <w:p>
            <w:pPr>
              <w:widowControl/>
              <w:ind w:firstLine="560"/>
              <w:jc w:val="left"/>
              <w:textAlignment w:val="center"/>
              <w:rPr>
                <w:rFonts w:ascii="宋体" w:hAnsi="宋体" w:eastAsia="宋体" w:cs="宋体"/>
                <w:color w:val="000000"/>
                <w:sz w:val="28"/>
                <w:szCs w:val="28"/>
              </w:rPr>
            </w:pPr>
            <w:r>
              <w:rPr>
                <w:rFonts w:hint="eastAsia" w:ascii="宋体" w:hAnsi="宋体" w:eastAsia="宋体" w:cs="宋体"/>
                <w:color w:val="000000"/>
                <w:sz w:val="28"/>
                <w:szCs w:val="28"/>
              </w:rPr>
              <w:t>27</w:t>
            </w:r>
          </w:p>
        </w:tc>
        <w:tc>
          <w:tcPr>
            <w:tcW w:w="1497" w:type="pct"/>
            <w:vMerge w:val="continue"/>
            <w:shd w:val="clear" w:color="auto" w:fill="auto"/>
            <w:noWrap/>
            <w:tcMar>
              <w:top w:w="12" w:type="dxa"/>
              <w:left w:w="12" w:type="dxa"/>
              <w:right w:w="12" w:type="dxa"/>
            </w:tcMar>
            <w:vAlign w:val="center"/>
          </w:tcPr>
          <w:p>
            <w:pPr>
              <w:ind w:firstLine="560"/>
              <w:jc w:val="center"/>
              <w:rPr>
                <w:rFonts w:ascii="宋体" w:hAnsi="宋体" w:eastAsia="宋体" w:cs="宋体"/>
                <w:color w:val="000000"/>
                <w:sz w:val="28"/>
                <w:szCs w:val="28"/>
              </w:rPr>
            </w:pPr>
          </w:p>
        </w:tc>
        <w:tc>
          <w:tcPr>
            <w:tcW w:w="2743" w:type="pct"/>
            <w:shd w:val="clear" w:color="auto" w:fill="auto"/>
            <w:noWrap/>
            <w:tcMar>
              <w:top w:w="12" w:type="dxa"/>
              <w:left w:w="12" w:type="dxa"/>
              <w:right w:w="12" w:type="dxa"/>
            </w:tcMar>
            <w:vAlign w:val="center"/>
          </w:tcPr>
          <w:p>
            <w:pPr>
              <w:widowControl/>
              <w:ind w:firstLine="0" w:firstLineChars="0"/>
              <w:jc w:val="left"/>
              <w:textAlignment w:val="center"/>
              <w:rPr>
                <w:rFonts w:ascii="宋体" w:hAnsi="宋体" w:eastAsia="宋体" w:cs="宋体"/>
                <w:color w:val="000000"/>
                <w:kern w:val="0"/>
                <w:sz w:val="28"/>
                <w:szCs w:val="28"/>
                <w:lang w:bidi="ar"/>
              </w:rPr>
            </w:pPr>
            <w:r>
              <w:rPr>
                <w:rFonts w:hint="eastAsia" w:ascii="宋体" w:hAnsi="宋体" w:eastAsia="宋体" w:cs="宋体"/>
                <w:color w:val="000000"/>
                <w:kern w:val="0"/>
                <w:sz w:val="28"/>
                <w:szCs w:val="28"/>
                <w:lang w:bidi="ar"/>
              </w:rPr>
              <w:t>施工合同编号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63" w:hRule="atLeast"/>
        </w:trPr>
        <w:tc>
          <w:tcPr>
            <w:tcW w:w="758" w:type="pct"/>
            <w:shd w:val="clear" w:color="auto" w:fill="auto"/>
            <w:noWrap/>
            <w:tcMar>
              <w:top w:w="12" w:type="dxa"/>
              <w:left w:w="12" w:type="dxa"/>
              <w:right w:w="12" w:type="dxa"/>
            </w:tcMar>
            <w:vAlign w:val="center"/>
          </w:tcPr>
          <w:p>
            <w:pPr>
              <w:widowControl/>
              <w:ind w:firstLine="560"/>
              <w:jc w:val="left"/>
              <w:textAlignment w:val="center"/>
              <w:rPr>
                <w:rFonts w:ascii="宋体" w:hAnsi="宋体" w:eastAsia="宋体" w:cs="宋体"/>
                <w:color w:val="000000"/>
                <w:sz w:val="28"/>
                <w:szCs w:val="28"/>
              </w:rPr>
            </w:pPr>
            <w:r>
              <w:rPr>
                <w:rFonts w:hint="eastAsia" w:ascii="宋体" w:hAnsi="宋体" w:eastAsia="宋体" w:cs="宋体"/>
                <w:color w:val="000000"/>
                <w:sz w:val="28"/>
                <w:szCs w:val="28"/>
              </w:rPr>
              <w:t>28</w:t>
            </w:r>
          </w:p>
        </w:tc>
        <w:tc>
          <w:tcPr>
            <w:tcW w:w="1497" w:type="pct"/>
            <w:vMerge w:val="restart"/>
            <w:shd w:val="clear" w:color="auto" w:fill="auto"/>
            <w:noWrap/>
            <w:tcMar>
              <w:top w:w="12" w:type="dxa"/>
              <w:left w:w="12" w:type="dxa"/>
              <w:right w:w="12" w:type="dxa"/>
            </w:tcMar>
            <w:vAlign w:val="center"/>
          </w:tcPr>
          <w:p>
            <w:pPr>
              <w:widowControl/>
              <w:ind w:firstLine="0" w:firstLineChars="0"/>
              <w:jc w:val="left"/>
              <w:textAlignment w:val="center"/>
              <w:rPr>
                <w:rFonts w:ascii="宋体" w:hAnsi="宋体" w:eastAsia="宋体" w:cs="宋体"/>
                <w:color w:val="000000"/>
                <w:sz w:val="28"/>
                <w:szCs w:val="28"/>
              </w:rPr>
            </w:pPr>
            <w:r>
              <w:rPr>
                <w:rFonts w:hint="eastAsia" w:ascii="宋体" w:hAnsi="宋体" w:eastAsia="宋体" w:cs="宋体"/>
                <w:color w:val="000000"/>
                <w:kern w:val="0"/>
                <w:sz w:val="28"/>
                <w:szCs w:val="28"/>
                <w:lang w:bidi="ar"/>
              </w:rPr>
              <w:t>其他</w:t>
            </w:r>
          </w:p>
        </w:tc>
        <w:tc>
          <w:tcPr>
            <w:tcW w:w="2743" w:type="pct"/>
            <w:shd w:val="clear" w:color="auto" w:fill="auto"/>
            <w:noWrap/>
            <w:tcMar>
              <w:top w:w="12" w:type="dxa"/>
              <w:left w:w="12" w:type="dxa"/>
              <w:right w:w="12" w:type="dxa"/>
            </w:tcMar>
            <w:vAlign w:val="center"/>
          </w:tcPr>
          <w:p>
            <w:pPr>
              <w:widowControl/>
              <w:ind w:firstLine="0" w:firstLineChars="0"/>
              <w:jc w:val="left"/>
              <w:textAlignment w:val="center"/>
              <w:rPr>
                <w:rFonts w:ascii="宋体" w:hAnsi="宋体" w:eastAsia="宋体" w:cs="宋体"/>
                <w:color w:val="000000"/>
                <w:kern w:val="0"/>
                <w:sz w:val="28"/>
                <w:szCs w:val="28"/>
                <w:lang w:bidi="ar"/>
              </w:rPr>
            </w:pPr>
            <w:r>
              <w:rPr>
                <w:rFonts w:hint="eastAsia" w:ascii="宋体" w:hAnsi="宋体" w:eastAsia="宋体" w:cs="宋体"/>
                <w:color w:val="000000"/>
                <w:kern w:val="0"/>
                <w:sz w:val="28"/>
                <w:szCs w:val="28"/>
                <w:lang w:bidi="ar"/>
              </w:rPr>
              <w:t>设备详细目录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63" w:hRule="atLeast"/>
        </w:trPr>
        <w:tc>
          <w:tcPr>
            <w:tcW w:w="758" w:type="pct"/>
            <w:shd w:val="clear" w:color="auto" w:fill="auto"/>
            <w:noWrap/>
            <w:tcMar>
              <w:top w:w="12" w:type="dxa"/>
              <w:left w:w="12" w:type="dxa"/>
              <w:right w:w="12" w:type="dxa"/>
            </w:tcMar>
            <w:vAlign w:val="center"/>
          </w:tcPr>
          <w:p>
            <w:pPr>
              <w:widowControl/>
              <w:ind w:firstLine="560"/>
              <w:jc w:val="left"/>
              <w:textAlignment w:val="center"/>
              <w:rPr>
                <w:rFonts w:ascii="宋体" w:hAnsi="宋体" w:eastAsia="宋体" w:cs="宋体"/>
                <w:color w:val="000000"/>
                <w:sz w:val="28"/>
                <w:szCs w:val="28"/>
              </w:rPr>
            </w:pPr>
            <w:r>
              <w:rPr>
                <w:rFonts w:hint="eastAsia" w:ascii="宋体" w:hAnsi="宋体" w:eastAsia="宋体" w:cs="宋体"/>
                <w:color w:val="000000"/>
                <w:sz w:val="28"/>
                <w:szCs w:val="28"/>
              </w:rPr>
              <w:t>29</w:t>
            </w:r>
          </w:p>
        </w:tc>
        <w:tc>
          <w:tcPr>
            <w:tcW w:w="1497" w:type="pct"/>
            <w:vMerge w:val="continue"/>
            <w:shd w:val="clear" w:color="auto" w:fill="auto"/>
            <w:noWrap/>
            <w:tcMar>
              <w:top w:w="12" w:type="dxa"/>
              <w:left w:w="12" w:type="dxa"/>
              <w:right w:w="12" w:type="dxa"/>
            </w:tcMar>
            <w:vAlign w:val="center"/>
          </w:tcPr>
          <w:p>
            <w:pPr>
              <w:widowControl/>
              <w:ind w:firstLine="560"/>
              <w:jc w:val="left"/>
              <w:textAlignment w:val="center"/>
              <w:rPr>
                <w:rFonts w:ascii="宋体" w:hAnsi="宋体" w:eastAsia="宋体" w:cs="宋体"/>
                <w:color w:val="000000"/>
                <w:kern w:val="0"/>
                <w:sz w:val="28"/>
                <w:szCs w:val="28"/>
                <w:lang w:bidi="ar"/>
              </w:rPr>
            </w:pPr>
          </w:p>
        </w:tc>
        <w:tc>
          <w:tcPr>
            <w:tcW w:w="2743" w:type="pct"/>
            <w:shd w:val="clear" w:color="auto" w:fill="auto"/>
            <w:noWrap/>
            <w:tcMar>
              <w:top w:w="12" w:type="dxa"/>
              <w:left w:w="12" w:type="dxa"/>
              <w:right w:w="12" w:type="dxa"/>
            </w:tcMar>
            <w:vAlign w:val="center"/>
          </w:tcPr>
          <w:p>
            <w:pPr>
              <w:widowControl/>
              <w:ind w:firstLine="0" w:firstLineChars="0"/>
              <w:jc w:val="left"/>
              <w:textAlignment w:val="center"/>
              <w:rPr>
                <w:rFonts w:ascii="宋体" w:hAnsi="宋体" w:eastAsia="宋体" w:cs="宋体"/>
                <w:color w:val="000000"/>
                <w:kern w:val="0"/>
                <w:sz w:val="28"/>
                <w:szCs w:val="28"/>
                <w:lang w:bidi="ar"/>
              </w:rPr>
            </w:pPr>
            <w:r>
              <w:rPr>
                <w:rFonts w:hint="eastAsia" w:ascii="宋体" w:hAnsi="宋体" w:eastAsia="宋体" w:cs="宋体"/>
                <w:color w:val="000000"/>
                <w:kern w:val="0"/>
                <w:sz w:val="28"/>
                <w:szCs w:val="28"/>
                <w:lang w:bidi="ar"/>
              </w:rPr>
              <w:t>施工类别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63" w:hRule="atLeast"/>
        </w:trPr>
        <w:tc>
          <w:tcPr>
            <w:tcW w:w="758" w:type="pct"/>
            <w:shd w:val="clear" w:color="auto" w:fill="auto"/>
            <w:noWrap/>
            <w:tcMar>
              <w:top w:w="12" w:type="dxa"/>
              <w:left w:w="12" w:type="dxa"/>
              <w:right w:w="12" w:type="dxa"/>
            </w:tcMar>
            <w:vAlign w:val="center"/>
          </w:tcPr>
          <w:p>
            <w:pPr>
              <w:widowControl/>
              <w:ind w:firstLine="560"/>
              <w:jc w:val="left"/>
              <w:textAlignment w:val="center"/>
              <w:rPr>
                <w:rFonts w:ascii="宋体" w:hAnsi="宋体" w:eastAsia="宋体" w:cs="宋体"/>
                <w:color w:val="000000"/>
                <w:sz w:val="28"/>
                <w:szCs w:val="28"/>
              </w:rPr>
            </w:pPr>
            <w:r>
              <w:rPr>
                <w:rFonts w:hint="eastAsia" w:ascii="宋体" w:hAnsi="宋体" w:eastAsia="宋体" w:cs="宋体"/>
                <w:color w:val="000000"/>
                <w:sz w:val="28"/>
                <w:szCs w:val="28"/>
              </w:rPr>
              <w:t>30</w:t>
            </w:r>
          </w:p>
        </w:tc>
        <w:tc>
          <w:tcPr>
            <w:tcW w:w="1497" w:type="pct"/>
            <w:vMerge w:val="continue"/>
            <w:shd w:val="clear" w:color="auto" w:fill="auto"/>
            <w:noWrap/>
            <w:tcMar>
              <w:top w:w="12" w:type="dxa"/>
              <w:left w:w="12" w:type="dxa"/>
              <w:right w:w="12" w:type="dxa"/>
            </w:tcMar>
            <w:vAlign w:val="center"/>
          </w:tcPr>
          <w:p>
            <w:pPr>
              <w:widowControl/>
              <w:ind w:firstLine="560"/>
              <w:jc w:val="left"/>
              <w:textAlignment w:val="center"/>
              <w:rPr>
                <w:rFonts w:ascii="宋体" w:hAnsi="宋体" w:eastAsia="宋体" w:cs="宋体"/>
                <w:color w:val="000000"/>
                <w:kern w:val="0"/>
                <w:sz w:val="28"/>
                <w:szCs w:val="28"/>
                <w:lang w:bidi="ar"/>
              </w:rPr>
            </w:pPr>
          </w:p>
        </w:tc>
        <w:tc>
          <w:tcPr>
            <w:tcW w:w="2743" w:type="pct"/>
            <w:shd w:val="clear" w:color="auto" w:fill="auto"/>
            <w:noWrap/>
            <w:tcMar>
              <w:top w:w="12" w:type="dxa"/>
              <w:left w:w="12" w:type="dxa"/>
              <w:right w:w="12" w:type="dxa"/>
            </w:tcMar>
            <w:vAlign w:val="center"/>
          </w:tcPr>
          <w:p>
            <w:pPr>
              <w:widowControl/>
              <w:ind w:firstLine="0" w:firstLineChars="0"/>
              <w:jc w:val="left"/>
              <w:textAlignment w:val="center"/>
              <w:rPr>
                <w:rFonts w:ascii="宋体" w:hAnsi="宋体" w:eastAsia="宋体" w:cs="宋体"/>
                <w:color w:val="000000"/>
                <w:kern w:val="0"/>
                <w:sz w:val="28"/>
                <w:szCs w:val="28"/>
                <w:lang w:bidi="ar"/>
              </w:rPr>
            </w:pPr>
            <w:r>
              <w:rPr>
                <w:rFonts w:hint="eastAsia" w:ascii="宋体" w:hAnsi="宋体" w:eastAsia="宋体" w:cs="宋体"/>
                <w:color w:val="000000"/>
                <w:kern w:val="0"/>
                <w:sz w:val="28"/>
                <w:szCs w:val="28"/>
                <w:lang w:bidi="ar"/>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63" w:hRule="atLeast"/>
        </w:trPr>
        <w:tc>
          <w:tcPr>
            <w:tcW w:w="758" w:type="pct"/>
            <w:shd w:val="clear" w:color="auto" w:fill="auto"/>
            <w:noWrap/>
            <w:tcMar>
              <w:top w:w="12" w:type="dxa"/>
              <w:left w:w="12" w:type="dxa"/>
              <w:right w:w="12" w:type="dxa"/>
            </w:tcMar>
            <w:vAlign w:val="center"/>
          </w:tcPr>
          <w:p>
            <w:pPr>
              <w:widowControl/>
              <w:ind w:firstLine="560"/>
              <w:jc w:val="left"/>
              <w:textAlignment w:val="center"/>
              <w:rPr>
                <w:rFonts w:ascii="宋体" w:hAnsi="宋体" w:eastAsia="宋体" w:cs="宋体"/>
                <w:color w:val="000000"/>
                <w:sz w:val="28"/>
                <w:szCs w:val="28"/>
              </w:rPr>
            </w:pPr>
            <w:r>
              <w:rPr>
                <w:rFonts w:hint="eastAsia" w:ascii="宋体" w:hAnsi="宋体" w:eastAsia="宋体" w:cs="宋体"/>
                <w:color w:val="000000"/>
                <w:sz w:val="28"/>
                <w:szCs w:val="28"/>
              </w:rPr>
              <w:t>31</w:t>
            </w:r>
          </w:p>
        </w:tc>
        <w:tc>
          <w:tcPr>
            <w:tcW w:w="1497" w:type="pct"/>
            <w:vMerge w:val="restart"/>
            <w:shd w:val="clear" w:color="auto" w:fill="auto"/>
            <w:noWrap/>
            <w:tcMar>
              <w:top w:w="12" w:type="dxa"/>
              <w:left w:w="12" w:type="dxa"/>
              <w:right w:w="12" w:type="dxa"/>
            </w:tcMar>
            <w:vAlign w:val="center"/>
          </w:tcPr>
          <w:p>
            <w:pPr>
              <w:widowControl/>
              <w:ind w:firstLine="0" w:firstLineChars="0"/>
              <w:jc w:val="left"/>
              <w:textAlignment w:val="center"/>
              <w:rPr>
                <w:rFonts w:ascii="宋体" w:hAnsi="宋体" w:eastAsia="宋体" w:cs="宋体"/>
                <w:color w:val="000000"/>
                <w:kern w:val="0"/>
                <w:sz w:val="28"/>
                <w:szCs w:val="28"/>
                <w:lang w:bidi="ar"/>
              </w:rPr>
            </w:pPr>
            <w:r>
              <w:rPr>
                <w:rFonts w:hint="eastAsia" w:ascii="宋体" w:hAnsi="宋体" w:eastAsia="宋体" w:cs="宋体"/>
                <w:color w:val="000000"/>
                <w:kern w:val="0"/>
                <w:sz w:val="28"/>
                <w:szCs w:val="28"/>
                <w:lang w:bidi="ar"/>
              </w:rPr>
              <w:t>提交材料</w:t>
            </w:r>
          </w:p>
        </w:tc>
        <w:tc>
          <w:tcPr>
            <w:tcW w:w="2743" w:type="pct"/>
            <w:shd w:val="clear" w:color="auto" w:fill="auto"/>
            <w:noWrap/>
            <w:tcMar>
              <w:top w:w="12" w:type="dxa"/>
              <w:left w:w="12" w:type="dxa"/>
              <w:right w:w="12" w:type="dxa"/>
            </w:tcMar>
            <w:vAlign w:val="center"/>
          </w:tcPr>
          <w:p>
            <w:pPr>
              <w:widowControl/>
              <w:ind w:firstLine="0" w:firstLineChars="0"/>
              <w:jc w:val="left"/>
              <w:textAlignment w:val="center"/>
              <w:rPr>
                <w:rFonts w:ascii="宋体" w:hAnsi="宋体" w:eastAsia="宋体" w:cs="宋体"/>
                <w:color w:val="000000"/>
                <w:kern w:val="0"/>
                <w:sz w:val="28"/>
                <w:szCs w:val="28"/>
                <w:lang w:bidi="ar"/>
              </w:rPr>
            </w:pPr>
            <w:r>
              <w:rPr>
                <w:rFonts w:hint="eastAsia" w:ascii="宋体" w:hAnsi="宋体" w:eastAsia="宋体" w:cs="宋体"/>
                <w:color w:val="000000"/>
                <w:kern w:val="0"/>
                <w:sz w:val="28"/>
                <w:szCs w:val="28"/>
                <w:lang w:bidi="ar"/>
              </w:rPr>
              <w:t>特种设备安装、改造、维修许可证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63" w:hRule="atLeast"/>
        </w:trPr>
        <w:tc>
          <w:tcPr>
            <w:tcW w:w="758" w:type="pct"/>
            <w:shd w:val="clear" w:color="auto" w:fill="auto"/>
            <w:noWrap/>
            <w:tcMar>
              <w:top w:w="12" w:type="dxa"/>
              <w:left w:w="12" w:type="dxa"/>
              <w:right w:w="12" w:type="dxa"/>
            </w:tcMar>
            <w:vAlign w:val="center"/>
          </w:tcPr>
          <w:p>
            <w:pPr>
              <w:widowControl/>
              <w:ind w:firstLine="560"/>
              <w:jc w:val="left"/>
              <w:textAlignment w:val="center"/>
              <w:rPr>
                <w:rFonts w:ascii="宋体" w:hAnsi="宋体" w:eastAsia="宋体" w:cs="宋体"/>
                <w:color w:val="000000"/>
                <w:sz w:val="28"/>
                <w:szCs w:val="28"/>
              </w:rPr>
            </w:pPr>
            <w:r>
              <w:rPr>
                <w:rFonts w:hint="eastAsia" w:ascii="宋体" w:hAnsi="宋体" w:eastAsia="宋体" w:cs="宋体"/>
                <w:color w:val="000000"/>
                <w:sz w:val="28"/>
                <w:szCs w:val="28"/>
              </w:rPr>
              <w:t>32</w:t>
            </w:r>
          </w:p>
        </w:tc>
        <w:tc>
          <w:tcPr>
            <w:tcW w:w="1497" w:type="pct"/>
            <w:vMerge w:val="continue"/>
            <w:shd w:val="clear" w:color="auto" w:fill="auto"/>
            <w:noWrap/>
            <w:tcMar>
              <w:top w:w="12" w:type="dxa"/>
              <w:left w:w="12" w:type="dxa"/>
              <w:right w:w="12" w:type="dxa"/>
            </w:tcMar>
            <w:vAlign w:val="center"/>
          </w:tcPr>
          <w:p>
            <w:pPr>
              <w:widowControl/>
              <w:ind w:firstLine="560"/>
              <w:jc w:val="left"/>
              <w:textAlignment w:val="center"/>
              <w:rPr>
                <w:rFonts w:ascii="宋体" w:hAnsi="宋体" w:eastAsia="宋体" w:cs="宋体"/>
                <w:color w:val="000000"/>
                <w:kern w:val="0"/>
                <w:sz w:val="28"/>
                <w:szCs w:val="28"/>
                <w:lang w:bidi="ar"/>
              </w:rPr>
            </w:pPr>
          </w:p>
        </w:tc>
        <w:tc>
          <w:tcPr>
            <w:tcW w:w="2743" w:type="pct"/>
            <w:shd w:val="clear" w:color="auto" w:fill="auto"/>
            <w:noWrap/>
            <w:tcMar>
              <w:top w:w="12" w:type="dxa"/>
              <w:left w:w="12" w:type="dxa"/>
              <w:right w:w="12" w:type="dxa"/>
            </w:tcMar>
            <w:vAlign w:val="center"/>
          </w:tcPr>
          <w:p>
            <w:pPr>
              <w:widowControl/>
              <w:ind w:firstLine="0" w:firstLineChars="0"/>
              <w:jc w:val="left"/>
              <w:textAlignment w:val="center"/>
              <w:rPr>
                <w:rFonts w:ascii="宋体" w:hAnsi="宋体" w:eastAsia="宋体" w:cs="宋体"/>
                <w:color w:val="000000"/>
                <w:kern w:val="0"/>
                <w:sz w:val="28"/>
                <w:szCs w:val="28"/>
                <w:lang w:bidi="ar"/>
              </w:rPr>
            </w:pPr>
            <w:r>
              <w:rPr>
                <w:rFonts w:hint="eastAsia" w:ascii="宋体" w:hAnsi="宋体" w:eastAsia="宋体" w:cs="宋体"/>
                <w:color w:val="000000"/>
                <w:kern w:val="0"/>
                <w:sz w:val="28"/>
                <w:szCs w:val="28"/>
                <w:lang w:bidi="ar"/>
              </w:rPr>
              <w:t>制造许可证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63" w:hRule="atLeast"/>
        </w:trPr>
        <w:tc>
          <w:tcPr>
            <w:tcW w:w="758" w:type="pct"/>
            <w:shd w:val="clear" w:color="auto" w:fill="auto"/>
            <w:noWrap/>
            <w:tcMar>
              <w:top w:w="12" w:type="dxa"/>
              <w:left w:w="12" w:type="dxa"/>
              <w:right w:w="12" w:type="dxa"/>
            </w:tcMar>
            <w:vAlign w:val="center"/>
          </w:tcPr>
          <w:p>
            <w:pPr>
              <w:widowControl/>
              <w:ind w:firstLine="560"/>
              <w:jc w:val="left"/>
              <w:textAlignment w:val="center"/>
              <w:rPr>
                <w:rFonts w:ascii="宋体" w:hAnsi="宋体" w:eastAsia="宋体" w:cs="宋体"/>
                <w:color w:val="000000"/>
                <w:sz w:val="28"/>
                <w:szCs w:val="28"/>
              </w:rPr>
            </w:pPr>
            <w:r>
              <w:rPr>
                <w:rFonts w:hint="eastAsia" w:ascii="宋体" w:hAnsi="宋体" w:eastAsia="宋体" w:cs="宋体"/>
                <w:color w:val="000000"/>
                <w:sz w:val="28"/>
                <w:szCs w:val="28"/>
              </w:rPr>
              <w:t>33</w:t>
            </w:r>
          </w:p>
        </w:tc>
        <w:tc>
          <w:tcPr>
            <w:tcW w:w="1497" w:type="pct"/>
            <w:vMerge w:val="continue"/>
            <w:shd w:val="clear" w:color="auto" w:fill="auto"/>
            <w:noWrap/>
            <w:tcMar>
              <w:top w:w="12" w:type="dxa"/>
              <w:left w:w="12" w:type="dxa"/>
              <w:right w:w="12" w:type="dxa"/>
            </w:tcMar>
            <w:vAlign w:val="center"/>
          </w:tcPr>
          <w:p>
            <w:pPr>
              <w:widowControl/>
              <w:ind w:firstLine="560"/>
              <w:jc w:val="left"/>
              <w:textAlignment w:val="center"/>
              <w:rPr>
                <w:rFonts w:ascii="宋体" w:hAnsi="宋体" w:eastAsia="宋体" w:cs="宋体"/>
                <w:color w:val="000000"/>
                <w:kern w:val="0"/>
                <w:sz w:val="28"/>
                <w:szCs w:val="28"/>
                <w:lang w:bidi="ar"/>
              </w:rPr>
            </w:pPr>
          </w:p>
        </w:tc>
        <w:tc>
          <w:tcPr>
            <w:tcW w:w="2743" w:type="pct"/>
            <w:shd w:val="clear" w:color="auto" w:fill="auto"/>
            <w:noWrap/>
            <w:tcMar>
              <w:top w:w="12" w:type="dxa"/>
              <w:left w:w="12" w:type="dxa"/>
              <w:right w:w="12" w:type="dxa"/>
            </w:tcMar>
            <w:vAlign w:val="center"/>
          </w:tcPr>
          <w:p>
            <w:pPr>
              <w:widowControl/>
              <w:ind w:firstLine="0" w:firstLineChars="0"/>
              <w:jc w:val="left"/>
              <w:textAlignment w:val="center"/>
              <w:rPr>
                <w:rFonts w:ascii="宋体" w:hAnsi="宋体" w:eastAsia="宋体" w:cs="宋体"/>
                <w:color w:val="000000"/>
                <w:kern w:val="0"/>
                <w:sz w:val="28"/>
                <w:szCs w:val="28"/>
                <w:lang w:bidi="ar"/>
              </w:rPr>
            </w:pPr>
            <w:r>
              <w:rPr>
                <w:rFonts w:hint="eastAsia" w:ascii="宋体" w:hAnsi="宋体" w:eastAsia="宋体" w:cs="宋体"/>
                <w:color w:val="000000"/>
                <w:kern w:val="0"/>
                <w:sz w:val="28"/>
                <w:szCs w:val="28"/>
                <w:lang w:bidi="ar"/>
              </w:rPr>
              <w:t>相关批文（仅样机）</w:t>
            </w:r>
          </w:p>
        </w:tc>
      </w:tr>
    </w:tbl>
    <w:p>
      <w:pPr>
        <w:ind w:firstLine="640"/>
      </w:pPr>
    </w:p>
    <w:p>
      <w:pPr>
        <w:ind w:firstLine="640"/>
        <w:sectPr>
          <w:pgSz w:w="11906" w:h="16838"/>
          <w:pgMar w:top="2098" w:right="1474" w:bottom="1985" w:left="1588" w:header="851" w:footer="992" w:gutter="0"/>
          <w:cols w:space="425" w:num="1"/>
          <w:docGrid w:type="lines" w:linePitch="312" w:charSpace="0"/>
        </w:sectPr>
      </w:pPr>
    </w:p>
    <w:p>
      <w:pPr>
        <w:ind w:firstLine="640"/>
      </w:pPr>
      <w:r>
        <w:drawing>
          <wp:anchor distT="0" distB="0" distL="114300" distR="114300" simplePos="0" relativeHeight="251674624" behindDoc="0" locked="0" layoutInCell="1" allowOverlap="1">
            <wp:simplePos x="0" y="0"/>
            <wp:positionH relativeFrom="column">
              <wp:posOffset>336550</wp:posOffset>
            </wp:positionH>
            <wp:positionV relativeFrom="paragraph">
              <wp:posOffset>641985</wp:posOffset>
            </wp:positionV>
            <wp:extent cx="5076825" cy="7249160"/>
            <wp:effectExtent l="0" t="0" r="13335" b="5080"/>
            <wp:wrapTopAndBottom/>
            <wp:docPr id="44" name="AXU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XU0.png"/>
                    <pic:cNvPicPr>
                      <a:picLocks noChangeAspect="1" noChangeArrowheads="1"/>
                    </pic:cNvPicPr>
                  </pic:nvPicPr>
                  <pic:blipFill>
                    <a:blip r:embed="rId17"/>
                    <a:srcRect t="6927"/>
                    <a:stretch>
                      <a:fillRect/>
                    </a:stretch>
                  </pic:blipFill>
                  <pic:spPr>
                    <a:xfrm>
                      <a:off x="0" y="0"/>
                      <a:ext cx="5076825" cy="7249160"/>
                    </a:xfrm>
                    <a:prstGeom prst="rect">
                      <a:avLst/>
                    </a:prstGeom>
                  </pic:spPr>
                </pic:pic>
              </a:graphicData>
            </a:graphic>
          </wp:anchor>
        </w:drawing>
      </w:r>
      <w:r>
        <w:rPr>
          <w:rFonts w:hint="eastAsia"/>
        </w:rPr>
        <w:t>施工告知业务基本流程：</w:t>
      </w:r>
    </w:p>
    <w:p>
      <w:pPr>
        <w:pStyle w:val="6"/>
        <w:ind w:firstLine="640"/>
      </w:pPr>
      <w:r>
        <w:rPr>
          <w:rFonts w:hint="eastAsia"/>
        </w:rPr>
        <w:t>（2）施工告知接收</w:t>
      </w:r>
    </w:p>
    <w:p>
      <w:pPr>
        <w:ind w:firstLine="640"/>
      </w:pPr>
      <w:r>
        <w:t>根据施工告知申请中设备施工地点，所属行政区划的监督管理部门可以接收其施工告知申请，查看到施工告知申请的施工单位、使用单位、施工设备、施工类型和资质证明文件等信息。</w:t>
      </w:r>
    </w:p>
    <w:p>
      <w:pPr>
        <w:ind w:firstLine="640"/>
      </w:pPr>
      <w:r>
        <w:rPr>
          <w:rFonts w:hint="eastAsia"/>
        </w:rPr>
        <w:t>同时根据相关规定，如监管人员在2个工作日内不进行接收处理系统将自动对施工告知进行接收处理，并提醒监管人员。</w:t>
      </w:r>
    </w:p>
    <w:p>
      <w:pPr>
        <w:pStyle w:val="6"/>
        <w:ind w:firstLine="640"/>
      </w:pPr>
      <w:r>
        <w:rPr>
          <w:rFonts w:hint="eastAsia"/>
        </w:rPr>
        <w:t>（3）施工告知审阅</w:t>
      </w:r>
    </w:p>
    <w:p>
      <w:pPr>
        <w:ind w:firstLine="640"/>
      </w:pPr>
      <w:r>
        <w:rPr>
          <w:rFonts w:hint="eastAsia"/>
        </w:rPr>
        <w:t>在施工告知接收列表中可直接筛选查看施工告知状态，包括：已接收、未接收、已受理、未受理、已退回、已作废等。</w:t>
      </w:r>
    </w:p>
    <w:p>
      <w:pPr>
        <w:ind w:firstLine="640"/>
      </w:pPr>
      <w:r>
        <w:rPr>
          <w:rFonts w:hint="eastAsia"/>
        </w:rPr>
        <w:t>在接收施工告知后相关工作人员可根据告知实际情况进行审阅，确认后可点击进行受理操作。受理后系统将会发送信息告知提交申办的施工单位。</w:t>
      </w:r>
    </w:p>
    <w:p>
      <w:pPr>
        <w:ind w:firstLine="640"/>
      </w:pPr>
      <w:r>
        <w:rPr>
          <w:rFonts w:hint="eastAsia"/>
        </w:rPr>
        <w:t>如在审阅施工告知时发现问题则可进行退回与撤销等操作，退回是指内容有遗误退回至施工单位进行进行填报内容的修正，作废是因各类原因需将该告知进行作废处理，该告知内容将不再入库。施工告知中的设备在报检后则该施工告知不可再进行作废处理。</w:t>
      </w:r>
    </w:p>
    <w:p>
      <w:pPr>
        <w:ind w:firstLine="640"/>
      </w:pPr>
      <w:r>
        <w:rPr>
          <w:rFonts w:hint="eastAsia"/>
        </w:rPr>
        <w:t>施工告知接收后系统提供设备识别码生成，设备识别码按地区规则单独生成，地区内不重复。</w:t>
      </w:r>
    </w:p>
    <w:p>
      <w:pPr>
        <w:pStyle w:val="6"/>
        <w:ind w:firstLine="640"/>
      </w:pPr>
      <w:r>
        <w:rPr>
          <w:rFonts w:hint="eastAsia"/>
        </w:rPr>
        <w:t>（5）历史告知查询</w:t>
      </w:r>
    </w:p>
    <w:p>
      <w:pPr>
        <w:ind w:firstLine="640"/>
      </w:pPr>
      <w:r>
        <w:t>根据施工告知申请的相关条件进行查询，包括设备种类、施工类型、施工单位、使用单位、受理机构、受理状态、告知编号、出厂编号、是否报检等。</w:t>
      </w:r>
      <w:r>
        <w:rPr>
          <w:rFonts w:hint="eastAsia"/>
        </w:rPr>
        <w:t>通过对列表进行筛选查找对历史施工告知进行详细信息查阅</w:t>
      </w:r>
      <w:r>
        <w:t>。</w:t>
      </w:r>
    </w:p>
    <w:p>
      <w:pPr>
        <w:pStyle w:val="5"/>
        <w:ind w:firstLine="643"/>
        <w:rPr>
          <w:rFonts w:ascii="仿宋_GB2312" w:hAnsi="仿宋_GB2312" w:cs="仿宋_GB2312"/>
          <w:szCs w:val="32"/>
        </w:rPr>
      </w:pPr>
      <w:r>
        <w:rPr>
          <w:rFonts w:ascii="Times New Roman" w:hAnsi="Times New Roman" w:cs="Times New Roman"/>
          <w:szCs w:val="32"/>
        </w:rPr>
        <w:t>2.</w:t>
      </w:r>
      <w:r>
        <w:rPr>
          <w:rFonts w:hint="eastAsia" w:ascii="仿宋_GB2312" w:hAnsi="仿宋_GB2312" w:cs="仿宋_GB2312"/>
          <w:szCs w:val="32"/>
        </w:rPr>
        <w:t>使用登记</w:t>
      </w:r>
    </w:p>
    <w:p>
      <w:pPr>
        <w:ind w:firstLine="640"/>
      </w:pPr>
      <w:r>
        <w:rPr>
          <w:rFonts w:hint="eastAsia"/>
        </w:rPr>
        <w:t>特种设备在投入使用前或者投入使用后30日内，使用单位应当向特种设备所在地的直辖市或者设区的市特种设备安全监管部门申请办理使用登记，办理使用登记的直辖市或者设区的市的特种设备安全监管部门，可以委托其下一级特种设备安全监管部门（一下简称登记机关）办理使用登记；对于整机出厂的特种设备，一般应当在投入使用前办理使用登记；流动作业的特种设备，向产权单位所在地的登记机关申请办理使用登记；移动式大型游乐设施每次重新安装后、投入使用前，使用单位应当向使用地的登记机关申请办理使用登记；车用气瓶应当在投入使用前，向产权单位所在地的登记机关申请办理使用登记；国家明令淘汰或者已经报废的特种设备，不符合安全性能或者能效指标要求的特种设备，不予办理使用登记。</w:t>
      </w:r>
    </w:p>
    <w:p>
      <w:pPr>
        <w:ind w:firstLine="640"/>
      </w:pPr>
      <w:r>
        <w:rPr>
          <w:rFonts w:hint="eastAsia"/>
        </w:rPr>
        <w:t>使用登记证包括申请、受理、审查和发放使用登记证等业务内容。使用登记证申办基本流程如下：</w:t>
      </w:r>
    </w:p>
    <w:p>
      <w:pPr>
        <w:ind w:firstLine="0" w:firstLineChars="0"/>
      </w:pPr>
      <w:r>
        <w:drawing>
          <wp:anchor distT="0" distB="0" distL="114300" distR="114300" simplePos="0" relativeHeight="251673600" behindDoc="0" locked="0" layoutInCell="1" allowOverlap="1">
            <wp:simplePos x="0" y="0"/>
            <wp:positionH relativeFrom="column">
              <wp:posOffset>1788160</wp:posOffset>
            </wp:positionH>
            <wp:positionV relativeFrom="paragraph">
              <wp:posOffset>306070</wp:posOffset>
            </wp:positionV>
            <wp:extent cx="2994025" cy="5453380"/>
            <wp:effectExtent l="0" t="0" r="8255" b="2540"/>
            <wp:wrapTopAndBottom/>
            <wp:docPr id="2" name="AX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XU1.png"/>
                    <pic:cNvPicPr>
                      <a:picLocks noChangeAspect="1" noChangeArrowheads="1"/>
                    </pic:cNvPicPr>
                  </pic:nvPicPr>
                  <pic:blipFill>
                    <a:blip r:embed="rId18"/>
                    <a:srcRect l="3187" t="18041"/>
                    <a:stretch>
                      <a:fillRect/>
                    </a:stretch>
                  </pic:blipFill>
                  <pic:spPr>
                    <a:xfrm>
                      <a:off x="0" y="0"/>
                      <a:ext cx="2994025" cy="5453380"/>
                    </a:xfrm>
                    <a:prstGeom prst="rect">
                      <a:avLst/>
                    </a:prstGeom>
                  </pic:spPr>
                </pic:pic>
              </a:graphicData>
            </a:graphic>
          </wp:anchor>
        </w:drawing>
      </w:r>
    </w:p>
    <w:p>
      <w:pPr>
        <w:pStyle w:val="6"/>
        <w:ind w:firstLine="640"/>
      </w:pPr>
      <w:r>
        <w:rPr>
          <w:rFonts w:hint="eastAsia"/>
        </w:rPr>
        <w:t>（1）登记方式</w:t>
      </w:r>
    </w:p>
    <w:p>
      <w:pPr>
        <w:ind w:firstLine="640"/>
      </w:pPr>
      <w:r>
        <w:rPr>
          <w:rFonts w:hint="eastAsia"/>
        </w:rPr>
        <w:t>本部分内容使用登记主要是指使用单位在某登记机关首次办理使用登记。特种设备使用登记证分为按台（套）办理使用登记和按单位办理使用登记。其中气瓶（除车用气瓶除外）、工业管道按单位办理使用登记，其他特种设备按台套进行使用登记办理。</w:t>
      </w:r>
    </w:p>
    <w:p>
      <w:pPr>
        <w:pStyle w:val="6"/>
        <w:ind w:firstLine="640"/>
      </w:pPr>
      <w:r>
        <w:rPr>
          <w:rFonts w:hint="eastAsia"/>
        </w:rPr>
        <w:t>（2）使用登记办理（按台套）</w:t>
      </w:r>
    </w:p>
    <w:p>
      <w:pPr>
        <w:pStyle w:val="7"/>
        <w:ind w:firstLine="643"/>
      </w:pPr>
      <w:r>
        <w:rPr>
          <w:rFonts w:hint="eastAsia"/>
        </w:rPr>
        <w:t>申请</w:t>
      </w:r>
    </w:p>
    <w:p>
      <w:pPr>
        <w:ind w:firstLine="640"/>
      </w:pPr>
      <w:r>
        <w:t>使用单位自主发起使用登记证办理申请</w:t>
      </w:r>
      <w:r>
        <w:rPr>
          <w:rFonts w:hint="eastAsia"/>
        </w:rPr>
        <w:t>，</w:t>
      </w:r>
      <w:r>
        <w:t>填写相关信息并上传各类文件资料</w:t>
      </w:r>
      <w:r>
        <w:rPr>
          <w:rFonts w:hint="eastAsia"/>
        </w:rPr>
        <w:t>进行申办提交</w:t>
      </w:r>
      <w:r>
        <w:t>。</w:t>
      </w:r>
    </w:p>
    <w:p>
      <w:pPr>
        <w:numPr>
          <w:ilvl w:val="0"/>
          <w:numId w:val="10"/>
        </w:numPr>
        <w:ind w:firstLine="640"/>
      </w:pPr>
      <w:r>
        <w:rPr>
          <w:rFonts w:hint="eastAsia"/>
        </w:rPr>
        <w:t>申办资料</w:t>
      </w:r>
    </w:p>
    <w:tbl>
      <w:tblPr>
        <w:tblStyle w:val="28"/>
        <w:tblW w:w="4997"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6"/>
        <w:gridCol w:w="1802"/>
        <w:gridCol w:w="2208"/>
        <w:gridCol w:w="41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 w:type="pct"/>
          </w:tcPr>
          <w:p>
            <w:pPr>
              <w:ind w:firstLine="0" w:firstLineChars="0"/>
              <w:jc w:val="center"/>
              <w:rPr>
                <w:sz w:val="30"/>
                <w:szCs w:val="30"/>
              </w:rPr>
            </w:pPr>
            <w:r>
              <w:rPr>
                <w:rFonts w:hint="eastAsia"/>
                <w:sz w:val="30"/>
                <w:szCs w:val="30"/>
              </w:rPr>
              <w:t>序号</w:t>
            </w:r>
          </w:p>
        </w:tc>
        <w:tc>
          <w:tcPr>
            <w:tcW w:w="995" w:type="pct"/>
          </w:tcPr>
          <w:p>
            <w:pPr>
              <w:ind w:firstLine="0" w:firstLineChars="0"/>
              <w:jc w:val="center"/>
              <w:rPr>
                <w:sz w:val="30"/>
                <w:szCs w:val="30"/>
              </w:rPr>
            </w:pPr>
            <w:r>
              <w:rPr>
                <w:rFonts w:hint="eastAsia"/>
                <w:sz w:val="30"/>
                <w:szCs w:val="30"/>
              </w:rPr>
              <w:t>模块</w:t>
            </w:r>
          </w:p>
        </w:tc>
        <w:tc>
          <w:tcPr>
            <w:tcW w:w="1219" w:type="pct"/>
          </w:tcPr>
          <w:p>
            <w:pPr>
              <w:ind w:firstLine="0" w:firstLineChars="0"/>
              <w:jc w:val="center"/>
              <w:rPr>
                <w:sz w:val="30"/>
                <w:szCs w:val="30"/>
              </w:rPr>
            </w:pPr>
            <w:r>
              <w:rPr>
                <w:rFonts w:hint="eastAsia"/>
                <w:sz w:val="30"/>
                <w:szCs w:val="30"/>
              </w:rPr>
              <w:t>内容</w:t>
            </w:r>
          </w:p>
        </w:tc>
        <w:tc>
          <w:tcPr>
            <w:tcW w:w="2318" w:type="pct"/>
          </w:tcPr>
          <w:p>
            <w:pPr>
              <w:ind w:firstLine="0" w:firstLineChars="0"/>
              <w:jc w:val="center"/>
              <w:rPr>
                <w:sz w:val="30"/>
                <w:szCs w:val="30"/>
              </w:rPr>
            </w:pPr>
            <w:r>
              <w:rPr>
                <w:rFonts w:hint="eastAsia"/>
                <w:sz w:val="30"/>
                <w:szCs w:val="30"/>
              </w:rPr>
              <w:t>详细数据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 w:type="pct"/>
            <w:vAlign w:val="center"/>
          </w:tcPr>
          <w:p>
            <w:pPr>
              <w:ind w:firstLine="0" w:firstLineChars="0"/>
              <w:jc w:val="center"/>
              <w:rPr>
                <w:sz w:val="30"/>
                <w:szCs w:val="30"/>
              </w:rPr>
            </w:pPr>
            <w:r>
              <w:rPr>
                <w:sz w:val="30"/>
                <w:szCs w:val="30"/>
              </w:rPr>
              <w:t>1</w:t>
            </w:r>
          </w:p>
        </w:tc>
        <w:tc>
          <w:tcPr>
            <w:tcW w:w="995" w:type="pct"/>
            <w:vMerge w:val="restart"/>
            <w:vAlign w:val="center"/>
          </w:tcPr>
          <w:p>
            <w:pPr>
              <w:ind w:firstLine="0" w:firstLineChars="0"/>
              <w:jc w:val="center"/>
              <w:rPr>
                <w:sz w:val="30"/>
                <w:szCs w:val="30"/>
              </w:rPr>
            </w:pPr>
            <w:r>
              <w:rPr>
                <w:sz w:val="30"/>
                <w:szCs w:val="30"/>
              </w:rPr>
              <w:t>使用登记表</w:t>
            </w:r>
          </w:p>
        </w:tc>
        <w:tc>
          <w:tcPr>
            <w:tcW w:w="1219" w:type="pct"/>
            <w:vMerge w:val="restart"/>
            <w:vAlign w:val="center"/>
          </w:tcPr>
          <w:p>
            <w:pPr>
              <w:ind w:firstLine="0" w:firstLineChars="0"/>
              <w:jc w:val="center"/>
              <w:rPr>
                <w:sz w:val="30"/>
                <w:szCs w:val="30"/>
              </w:rPr>
            </w:pPr>
            <w:r>
              <w:rPr>
                <w:sz w:val="30"/>
                <w:szCs w:val="30"/>
              </w:rPr>
              <w:t>设备基本信息</w:t>
            </w:r>
          </w:p>
        </w:tc>
        <w:tc>
          <w:tcPr>
            <w:tcW w:w="2318" w:type="pct"/>
            <w:vAlign w:val="center"/>
          </w:tcPr>
          <w:p>
            <w:pPr>
              <w:ind w:firstLine="0" w:firstLineChars="0"/>
              <w:jc w:val="center"/>
              <w:rPr>
                <w:sz w:val="30"/>
                <w:szCs w:val="30"/>
              </w:rPr>
            </w:pPr>
            <w:r>
              <w:rPr>
                <w:sz w:val="30"/>
                <w:szCs w:val="30"/>
              </w:rPr>
              <w:t>设备代码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 w:type="pct"/>
            <w:vAlign w:val="center"/>
          </w:tcPr>
          <w:p>
            <w:pPr>
              <w:ind w:firstLine="0" w:firstLineChars="0"/>
              <w:jc w:val="center"/>
              <w:rPr>
                <w:sz w:val="30"/>
                <w:szCs w:val="30"/>
              </w:rPr>
            </w:pPr>
            <w:r>
              <w:rPr>
                <w:sz w:val="30"/>
                <w:szCs w:val="30"/>
              </w:rPr>
              <w:t>2</w:t>
            </w:r>
          </w:p>
        </w:tc>
        <w:tc>
          <w:tcPr>
            <w:tcW w:w="995" w:type="pct"/>
            <w:vMerge w:val="continue"/>
            <w:vAlign w:val="center"/>
          </w:tcPr>
          <w:p>
            <w:pPr>
              <w:ind w:firstLine="0" w:firstLineChars="0"/>
              <w:jc w:val="center"/>
              <w:rPr>
                <w:sz w:val="30"/>
                <w:szCs w:val="30"/>
              </w:rPr>
            </w:pPr>
          </w:p>
        </w:tc>
        <w:tc>
          <w:tcPr>
            <w:tcW w:w="1219" w:type="pct"/>
            <w:vMerge w:val="continue"/>
            <w:vAlign w:val="center"/>
          </w:tcPr>
          <w:p>
            <w:pPr>
              <w:ind w:firstLine="0" w:firstLineChars="0"/>
              <w:jc w:val="center"/>
              <w:rPr>
                <w:sz w:val="30"/>
                <w:szCs w:val="30"/>
              </w:rPr>
            </w:pPr>
          </w:p>
        </w:tc>
        <w:tc>
          <w:tcPr>
            <w:tcW w:w="2318" w:type="pct"/>
            <w:vAlign w:val="center"/>
          </w:tcPr>
          <w:p>
            <w:pPr>
              <w:ind w:firstLine="0" w:firstLineChars="0"/>
              <w:jc w:val="center"/>
              <w:rPr>
                <w:sz w:val="30"/>
                <w:szCs w:val="30"/>
              </w:rPr>
            </w:pPr>
            <w:r>
              <w:rPr>
                <w:sz w:val="30"/>
                <w:szCs w:val="30"/>
              </w:rPr>
              <w:t>设备类别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 w:type="pct"/>
            <w:vAlign w:val="center"/>
          </w:tcPr>
          <w:p>
            <w:pPr>
              <w:ind w:firstLine="0" w:firstLineChars="0"/>
              <w:jc w:val="center"/>
              <w:rPr>
                <w:sz w:val="30"/>
                <w:szCs w:val="30"/>
              </w:rPr>
            </w:pPr>
            <w:r>
              <w:rPr>
                <w:sz w:val="30"/>
                <w:szCs w:val="30"/>
              </w:rPr>
              <w:t>3</w:t>
            </w:r>
          </w:p>
        </w:tc>
        <w:tc>
          <w:tcPr>
            <w:tcW w:w="995" w:type="pct"/>
            <w:vMerge w:val="continue"/>
            <w:vAlign w:val="center"/>
          </w:tcPr>
          <w:p>
            <w:pPr>
              <w:ind w:firstLine="0" w:firstLineChars="0"/>
              <w:jc w:val="center"/>
              <w:rPr>
                <w:sz w:val="30"/>
                <w:szCs w:val="30"/>
              </w:rPr>
            </w:pPr>
          </w:p>
        </w:tc>
        <w:tc>
          <w:tcPr>
            <w:tcW w:w="1219" w:type="pct"/>
            <w:vMerge w:val="continue"/>
            <w:vAlign w:val="center"/>
          </w:tcPr>
          <w:p>
            <w:pPr>
              <w:ind w:firstLine="0" w:firstLineChars="0"/>
              <w:jc w:val="center"/>
              <w:rPr>
                <w:sz w:val="30"/>
                <w:szCs w:val="30"/>
              </w:rPr>
            </w:pPr>
          </w:p>
        </w:tc>
        <w:tc>
          <w:tcPr>
            <w:tcW w:w="2318" w:type="pct"/>
            <w:vAlign w:val="center"/>
          </w:tcPr>
          <w:p>
            <w:pPr>
              <w:ind w:firstLine="0" w:firstLineChars="0"/>
              <w:jc w:val="center"/>
              <w:rPr>
                <w:sz w:val="30"/>
                <w:szCs w:val="30"/>
              </w:rPr>
            </w:pPr>
            <w:r>
              <w:rPr>
                <w:sz w:val="30"/>
                <w:szCs w:val="30"/>
              </w:rPr>
              <w:t>设备品种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 w:type="pct"/>
            <w:vAlign w:val="center"/>
          </w:tcPr>
          <w:p>
            <w:pPr>
              <w:ind w:firstLine="0" w:firstLineChars="0"/>
              <w:jc w:val="center"/>
              <w:rPr>
                <w:sz w:val="30"/>
                <w:szCs w:val="30"/>
              </w:rPr>
            </w:pPr>
            <w:r>
              <w:rPr>
                <w:sz w:val="30"/>
                <w:szCs w:val="30"/>
              </w:rPr>
              <w:t>4</w:t>
            </w:r>
          </w:p>
        </w:tc>
        <w:tc>
          <w:tcPr>
            <w:tcW w:w="995" w:type="pct"/>
            <w:vMerge w:val="continue"/>
            <w:vAlign w:val="center"/>
          </w:tcPr>
          <w:p>
            <w:pPr>
              <w:ind w:firstLine="0" w:firstLineChars="0"/>
              <w:jc w:val="center"/>
              <w:rPr>
                <w:sz w:val="30"/>
                <w:szCs w:val="30"/>
              </w:rPr>
            </w:pPr>
          </w:p>
        </w:tc>
        <w:tc>
          <w:tcPr>
            <w:tcW w:w="1219" w:type="pct"/>
            <w:vMerge w:val="continue"/>
            <w:vAlign w:val="center"/>
          </w:tcPr>
          <w:p>
            <w:pPr>
              <w:ind w:firstLine="0" w:firstLineChars="0"/>
              <w:jc w:val="center"/>
              <w:rPr>
                <w:sz w:val="30"/>
                <w:szCs w:val="30"/>
              </w:rPr>
            </w:pPr>
          </w:p>
        </w:tc>
        <w:tc>
          <w:tcPr>
            <w:tcW w:w="2318" w:type="pct"/>
            <w:vAlign w:val="center"/>
          </w:tcPr>
          <w:p>
            <w:pPr>
              <w:ind w:firstLine="0" w:firstLineChars="0"/>
              <w:jc w:val="center"/>
              <w:rPr>
                <w:sz w:val="30"/>
                <w:szCs w:val="30"/>
              </w:rPr>
            </w:pPr>
            <w:r>
              <w:rPr>
                <w:sz w:val="30"/>
                <w:szCs w:val="30"/>
              </w:rPr>
              <w:t>产品名称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 w:type="pct"/>
            <w:vAlign w:val="center"/>
          </w:tcPr>
          <w:p>
            <w:pPr>
              <w:ind w:firstLine="0" w:firstLineChars="0"/>
              <w:jc w:val="center"/>
              <w:rPr>
                <w:sz w:val="30"/>
                <w:szCs w:val="30"/>
              </w:rPr>
            </w:pPr>
            <w:r>
              <w:rPr>
                <w:sz w:val="30"/>
                <w:szCs w:val="30"/>
              </w:rPr>
              <w:t>5</w:t>
            </w:r>
          </w:p>
        </w:tc>
        <w:tc>
          <w:tcPr>
            <w:tcW w:w="995" w:type="pct"/>
            <w:vMerge w:val="continue"/>
            <w:vAlign w:val="center"/>
          </w:tcPr>
          <w:p>
            <w:pPr>
              <w:ind w:firstLine="0" w:firstLineChars="0"/>
              <w:jc w:val="center"/>
              <w:rPr>
                <w:sz w:val="30"/>
                <w:szCs w:val="30"/>
              </w:rPr>
            </w:pPr>
          </w:p>
        </w:tc>
        <w:tc>
          <w:tcPr>
            <w:tcW w:w="1219" w:type="pct"/>
            <w:vMerge w:val="continue"/>
            <w:vAlign w:val="center"/>
          </w:tcPr>
          <w:p>
            <w:pPr>
              <w:ind w:firstLine="0" w:firstLineChars="0"/>
              <w:jc w:val="center"/>
              <w:rPr>
                <w:sz w:val="30"/>
                <w:szCs w:val="30"/>
              </w:rPr>
            </w:pPr>
          </w:p>
        </w:tc>
        <w:tc>
          <w:tcPr>
            <w:tcW w:w="2318" w:type="pct"/>
            <w:vAlign w:val="center"/>
          </w:tcPr>
          <w:p>
            <w:pPr>
              <w:ind w:firstLine="0" w:firstLineChars="0"/>
              <w:jc w:val="center"/>
              <w:rPr>
                <w:sz w:val="30"/>
                <w:szCs w:val="30"/>
              </w:rPr>
            </w:pPr>
            <w:r>
              <w:rPr>
                <w:sz w:val="30"/>
                <w:szCs w:val="30"/>
              </w:rPr>
              <w:t>型号（规格）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 w:type="pct"/>
            <w:vAlign w:val="center"/>
          </w:tcPr>
          <w:p>
            <w:pPr>
              <w:ind w:firstLine="0" w:firstLineChars="0"/>
              <w:jc w:val="center"/>
              <w:rPr>
                <w:sz w:val="30"/>
                <w:szCs w:val="30"/>
              </w:rPr>
            </w:pPr>
            <w:r>
              <w:rPr>
                <w:sz w:val="30"/>
                <w:szCs w:val="30"/>
              </w:rPr>
              <w:t>6</w:t>
            </w:r>
          </w:p>
        </w:tc>
        <w:tc>
          <w:tcPr>
            <w:tcW w:w="995" w:type="pct"/>
            <w:vMerge w:val="continue"/>
            <w:vAlign w:val="center"/>
          </w:tcPr>
          <w:p>
            <w:pPr>
              <w:ind w:firstLine="0" w:firstLineChars="0"/>
              <w:jc w:val="center"/>
              <w:rPr>
                <w:sz w:val="30"/>
                <w:szCs w:val="30"/>
              </w:rPr>
            </w:pPr>
          </w:p>
        </w:tc>
        <w:tc>
          <w:tcPr>
            <w:tcW w:w="1219" w:type="pct"/>
            <w:vMerge w:val="continue"/>
            <w:vAlign w:val="center"/>
          </w:tcPr>
          <w:p>
            <w:pPr>
              <w:ind w:firstLine="0" w:firstLineChars="0"/>
              <w:jc w:val="center"/>
              <w:rPr>
                <w:sz w:val="30"/>
                <w:szCs w:val="30"/>
              </w:rPr>
            </w:pPr>
          </w:p>
        </w:tc>
        <w:tc>
          <w:tcPr>
            <w:tcW w:w="2318" w:type="pct"/>
            <w:vAlign w:val="center"/>
          </w:tcPr>
          <w:p>
            <w:pPr>
              <w:ind w:firstLine="0" w:firstLineChars="0"/>
              <w:jc w:val="center"/>
              <w:rPr>
                <w:sz w:val="30"/>
                <w:szCs w:val="30"/>
              </w:rPr>
            </w:pPr>
            <w:r>
              <w:rPr>
                <w:sz w:val="30"/>
                <w:szCs w:val="30"/>
              </w:rPr>
              <w:t>设计使用年限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 w:type="pct"/>
            <w:vAlign w:val="center"/>
          </w:tcPr>
          <w:p>
            <w:pPr>
              <w:ind w:firstLine="0" w:firstLineChars="0"/>
              <w:jc w:val="center"/>
              <w:rPr>
                <w:sz w:val="30"/>
                <w:szCs w:val="30"/>
              </w:rPr>
            </w:pPr>
            <w:r>
              <w:rPr>
                <w:sz w:val="30"/>
                <w:szCs w:val="30"/>
              </w:rPr>
              <w:t>7</w:t>
            </w:r>
          </w:p>
        </w:tc>
        <w:tc>
          <w:tcPr>
            <w:tcW w:w="995" w:type="pct"/>
            <w:vMerge w:val="continue"/>
            <w:vAlign w:val="center"/>
          </w:tcPr>
          <w:p>
            <w:pPr>
              <w:ind w:firstLine="0" w:firstLineChars="0"/>
              <w:jc w:val="center"/>
              <w:rPr>
                <w:sz w:val="30"/>
                <w:szCs w:val="30"/>
              </w:rPr>
            </w:pPr>
          </w:p>
        </w:tc>
        <w:tc>
          <w:tcPr>
            <w:tcW w:w="1219" w:type="pct"/>
            <w:vMerge w:val="continue"/>
            <w:vAlign w:val="center"/>
          </w:tcPr>
          <w:p>
            <w:pPr>
              <w:ind w:firstLine="0" w:firstLineChars="0"/>
              <w:jc w:val="center"/>
              <w:rPr>
                <w:sz w:val="30"/>
                <w:szCs w:val="30"/>
              </w:rPr>
            </w:pPr>
          </w:p>
        </w:tc>
        <w:tc>
          <w:tcPr>
            <w:tcW w:w="2318" w:type="pct"/>
            <w:vAlign w:val="center"/>
          </w:tcPr>
          <w:p>
            <w:pPr>
              <w:ind w:firstLine="0" w:firstLineChars="0"/>
              <w:jc w:val="center"/>
              <w:rPr>
                <w:sz w:val="30"/>
                <w:szCs w:val="30"/>
              </w:rPr>
            </w:pPr>
            <w:r>
              <w:rPr>
                <w:sz w:val="30"/>
                <w:szCs w:val="30"/>
              </w:rPr>
              <w:t>设计单位名称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 w:type="pct"/>
            <w:vAlign w:val="center"/>
          </w:tcPr>
          <w:p>
            <w:pPr>
              <w:ind w:firstLine="0" w:firstLineChars="0"/>
              <w:jc w:val="center"/>
              <w:rPr>
                <w:sz w:val="30"/>
                <w:szCs w:val="30"/>
              </w:rPr>
            </w:pPr>
            <w:r>
              <w:rPr>
                <w:sz w:val="30"/>
                <w:szCs w:val="30"/>
              </w:rPr>
              <w:t>8</w:t>
            </w:r>
          </w:p>
        </w:tc>
        <w:tc>
          <w:tcPr>
            <w:tcW w:w="995" w:type="pct"/>
            <w:vMerge w:val="continue"/>
            <w:vAlign w:val="center"/>
          </w:tcPr>
          <w:p>
            <w:pPr>
              <w:ind w:firstLine="0" w:firstLineChars="0"/>
              <w:jc w:val="center"/>
              <w:rPr>
                <w:sz w:val="30"/>
                <w:szCs w:val="30"/>
              </w:rPr>
            </w:pPr>
          </w:p>
        </w:tc>
        <w:tc>
          <w:tcPr>
            <w:tcW w:w="1219" w:type="pct"/>
            <w:vMerge w:val="continue"/>
            <w:vAlign w:val="center"/>
          </w:tcPr>
          <w:p>
            <w:pPr>
              <w:ind w:firstLine="0" w:firstLineChars="0"/>
              <w:jc w:val="center"/>
              <w:rPr>
                <w:sz w:val="30"/>
                <w:szCs w:val="30"/>
              </w:rPr>
            </w:pPr>
          </w:p>
        </w:tc>
        <w:tc>
          <w:tcPr>
            <w:tcW w:w="2318" w:type="pct"/>
            <w:vAlign w:val="center"/>
          </w:tcPr>
          <w:p>
            <w:pPr>
              <w:ind w:firstLine="0" w:firstLineChars="0"/>
              <w:jc w:val="center"/>
              <w:rPr>
                <w:sz w:val="30"/>
                <w:szCs w:val="30"/>
              </w:rPr>
            </w:pPr>
            <w:r>
              <w:rPr>
                <w:sz w:val="30"/>
                <w:szCs w:val="30"/>
              </w:rPr>
              <w:t>制造单位名称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 w:type="pct"/>
            <w:vAlign w:val="center"/>
          </w:tcPr>
          <w:p>
            <w:pPr>
              <w:ind w:firstLine="0" w:firstLineChars="0"/>
              <w:jc w:val="center"/>
              <w:rPr>
                <w:sz w:val="30"/>
                <w:szCs w:val="30"/>
              </w:rPr>
            </w:pPr>
            <w:r>
              <w:rPr>
                <w:sz w:val="30"/>
                <w:szCs w:val="30"/>
              </w:rPr>
              <w:t>9</w:t>
            </w:r>
          </w:p>
        </w:tc>
        <w:tc>
          <w:tcPr>
            <w:tcW w:w="995" w:type="pct"/>
            <w:vMerge w:val="continue"/>
            <w:vAlign w:val="center"/>
          </w:tcPr>
          <w:p>
            <w:pPr>
              <w:ind w:firstLine="0" w:firstLineChars="0"/>
              <w:jc w:val="center"/>
              <w:rPr>
                <w:sz w:val="30"/>
                <w:szCs w:val="30"/>
              </w:rPr>
            </w:pPr>
          </w:p>
        </w:tc>
        <w:tc>
          <w:tcPr>
            <w:tcW w:w="1219" w:type="pct"/>
            <w:vMerge w:val="continue"/>
            <w:vAlign w:val="center"/>
          </w:tcPr>
          <w:p>
            <w:pPr>
              <w:ind w:firstLine="0" w:firstLineChars="0"/>
              <w:jc w:val="center"/>
              <w:rPr>
                <w:sz w:val="30"/>
                <w:szCs w:val="30"/>
              </w:rPr>
            </w:pPr>
          </w:p>
        </w:tc>
        <w:tc>
          <w:tcPr>
            <w:tcW w:w="2318" w:type="pct"/>
            <w:vAlign w:val="center"/>
          </w:tcPr>
          <w:p>
            <w:pPr>
              <w:ind w:firstLine="0" w:firstLineChars="0"/>
              <w:jc w:val="center"/>
              <w:rPr>
                <w:sz w:val="30"/>
                <w:szCs w:val="30"/>
              </w:rPr>
            </w:pPr>
            <w:r>
              <w:rPr>
                <w:sz w:val="30"/>
                <w:szCs w:val="30"/>
              </w:rPr>
              <w:t>施工单位名称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 w:type="pct"/>
            <w:vAlign w:val="center"/>
          </w:tcPr>
          <w:p>
            <w:pPr>
              <w:ind w:firstLine="0" w:firstLineChars="0"/>
              <w:jc w:val="center"/>
              <w:rPr>
                <w:sz w:val="30"/>
                <w:szCs w:val="30"/>
              </w:rPr>
            </w:pPr>
            <w:r>
              <w:rPr>
                <w:sz w:val="30"/>
                <w:szCs w:val="30"/>
              </w:rPr>
              <w:t>10</w:t>
            </w:r>
          </w:p>
        </w:tc>
        <w:tc>
          <w:tcPr>
            <w:tcW w:w="995" w:type="pct"/>
            <w:vMerge w:val="continue"/>
            <w:vAlign w:val="center"/>
          </w:tcPr>
          <w:p>
            <w:pPr>
              <w:ind w:firstLine="0" w:firstLineChars="0"/>
              <w:jc w:val="center"/>
              <w:rPr>
                <w:sz w:val="30"/>
                <w:szCs w:val="30"/>
              </w:rPr>
            </w:pPr>
          </w:p>
        </w:tc>
        <w:tc>
          <w:tcPr>
            <w:tcW w:w="1219" w:type="pct"/>
            <w:vMerge w:val="continue"/>
            <w:vAlign w:val="center"/>
          </w:tcPr>
          <w:p>
            <w:pPr>
              <w:ind w:firstLine="0" w:firstLineChars="0"/>
              <w:jc w:val="center"/>
              <w:rPr>
                <w:sz w:val="30"/>
                <w:szCs w:val="30"/>
              </w:rPr>
            </w:pPr>
          </w:p>
        </w:tc>
        <w:tc>
          <w:tcPr>
            <w:tcW w:w="2318" w:type="pct"/>
            <w:vAlign w:val="center"/>
          </w:tcPr>
          <w:p>
            <w:pPr>
              <w:ind w:firstLine="0" w:firstLineChars="0"/>
              <w:jc w:val="center"/>
              <w:rPr>
                <w:sz w:val="30"/>
                <w:szCs w:val="30"/>
              </w:rPr>
            </w:pPr>
            <w:r>
              <w:rPr>
                <w:sz w:val="30"/>
                <w:szCs w:val="30"/>
              </w:rPr>
              <w:t>监督检验机构名称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 w:type="pct"/>
            <w:vAlign w:val="center"/>
          </w:tcPr>
          <w:p>
            <w:pPr>
              <w:ind w:firstLine="0" w:firstLineChars="0"/>
              <w:jc w:val="center"/>
              <w:rPr>
                <w:sz w:val="30"/>
                <w:szCs w:val="30"/>
              </w:rPr>
            </w:pPr>
            <w:r>
              <w:rPr>
                <w:sz w:val="30"/>
                <w:szCs w:val="30"/>
              </w:rPr>
              <w:t>11</w:t>
            </w:r>
          </w:p>
        </w:tc>
        <w:tc>
          <w:tcPr>
            <w:tcW w:w="995" w:type="pct"/>
            <w:vMerge w:val="continue"/>
            <w:vAlign w:val="center"/>
          </w:tcPr>
          <w:p>
            <w:pPr>
              <w:ind w:firstLine="0" w:firstLineChars="0"/>
              <w:jc w:val="center"/>
              <w:rPr>
                <w:sz w:val="30"/>
                <w:szCs w:val="30"/>
              </w:rPr>
            </w:pPr>
          </w:p>
        </w:tc>
        <w:tc>
          <w:tcPr>
            <w:tcW w:w="1219" w:type="pct"/>
            <w:vMerge w:val="continue"/>
            <w:vAlign w:val="center"/>
          </w:tcPr>
          <w:p>
            <w:pPr>
              <w:ind w:firstLine="0" w:firstLineChars="0"/>
              <w:jc w:val="center"/>
              <w:rPr>
                <w:sz w:val="30"/>
                <w:szCs w:val="30"/>
              </w:rPr>
            </w:pPr>
          </w:p>
        </w:tc>
        <w:tc>
          <w:tcPr>
            <w:tcW w:w="2318" w:type="pct"/>
            <w:vAlign w:val="center"/>
          </w:tcPr>
          <w:p>
            <w:pPr>
              <w:ind w:firstLine="0" w:firstLineChars="0"/>
              <w:jc w:val="center"/>
              <w:rPr>
                <w:sz w:val="30"/>
                <w:szCs w:val="30"/>
              </w:rPr>
            </w:pPr>
            <w:r>
              <w:rPr>
                <w:sz w:val="30"/>
                <w:szCs w:val="30"/>
              </w:rPr>
              <w:t>型式试验机构名称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 w:type="pct"/>
            <w:vAlign w:val="center"/>
          </w:tcPr>
          <w:p>
            <w:pPr>
              <w:ind w:firstLine="0" w:firstLineChars="0"/>
              <w:jc w:val="center"/>
              <w:rPr>
                <w:sz w:val="30"/>
                <w:szCs w:val="30"/>
              </w:rPr>
            </w:pPr>
            <w:r>
              <w:rPr>
                <w:sz w:val="30"/>
                <w:szCs w:val="30"/>
              </w:rPr>
              <w:t>12</w:t>
            </w:r>
          </w:p>
        </w:tc>
        <w:tc>
          <w:tcPr>
            <w:tcW w:w="995" w:type="pct"/>
            <w:vMerge w:val="continue"/>
            <w:vAlign w:val="center"/>
          </w:tcPr>
          <w:p>
            <w:pPr>
              <w:ind w:firstLine="0" w:firstLineChars="0"/>
              <w:jc w:val="center"/>
              <w:rPr>
                <w:sz w:val="30"/>
                <w:szCs w:val="30"/>
              </w:rPr>
            </w:pPr>
          </w:p>
        </w:tc>
        <w:tc>
          <w:tcPr>
            <w:tcW w:w="1219" w:type="pct"/>
            <w:vMerge w:val="continue"/>
            <w:vAlign w:val="center"/>
          </w:tcPr>
          <w:p>
            <w:pPr>
              <w:ind w:firstLine="0" w:firstLineChars="0"/>
              <w:jc w:val="center"/>
              <w:rPr>
                <w:sz w:val="30"/>
                <w:szCs w:val="30"/>
              </w:rPr>
            </w:pPr>
          </w:p>
        </w:tc>
        <w:tc>
          <w:tcPr>
            <w:tcW w:w="2318" w:type="pct"/>
            <w:vAlign w:val="center"/>
          </w:tcPr>
          <w:p>
            <w:pPr>
              <w:ind w:firstLine="0" w:firstLineChars="0"/>
              <w:jc w:val="center"/>
              <w:rPr>
                <w:sz w:val="30"/>
                <w:szCs w:val="30"/>
              </w:rPr>
            </w:pPr>
            <w:r>
              <w:rPr>
                <w:sz w:val="30"/>
                <w:szCs w:val="30"/>
              </w:rPr>
              <w:t>风险等级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 w:type="pct"/>
            <w:vAlign w:val="center"/>
          </w:tcPr>
          <w:p>
            <w:pPr>
              <w:ind w:firstLine="0" w:firstLineChars="0"/>
              <w:jc w:val="center"/>
              <w:rPr>
                <w:sz w:val="30"/>
                <w:szCs w:val="30"/>
              </w:rPr>
            </w:pPr>
            <w:r>
              <w:rPr>
                <w:sz w:val="30"/>
                <w:szCs w:val="30"/>
              </w:rPr>
              <w:t>13</w:t>
            </w:r>
          </w:p>
        </w:tc>
        <w:tc>
          <w:tcPr>
            <w:tcW w:w="995" w:type="pct"/>
            <w:vMerge w:val="continue"/>
            <w:vAlign w:val="center"/>
          </w:tcPr>
          <w:p>
            <w:pPr>
              <w:ind w:firstLine="0" w:firstLineChars="0"/>
              <w:jc w:val="center"/>
              <w:rPr>
                <w:sz w:val="30"/>
                <w:szCs w:val="30"/>
              </w:rPr>
            </w:pPr>
          </w:p>
        </w:tc>
        <w:tc>
          <w:tcPr>
            <w:tcW w:w="1219" w:type="pct"/>
            <w:vMerge w:val="restart"/>
            <w:vAlign w:val="center"/>
          </w:tcPr>
          <w:p>
            <w:pPr>
              <w:ind w:firstLine="0" w:firstLineChars="0"/>
              <w:jc w:val="center"/>
              <w:rPr>
                <w:sz w:val="30"/>
                <w:szCs w:val="30"/>
              </w:rPr>
            </w:pPr>
            <w:r>
              <w:rPr>
                <w:sz w:val="30"/>
                <w:szCs w:val="30"/>
              </w:rPr>
              <w:t>设备使用情况</w:t>
            </w:r>
          </w:p>
        </w:tc>
        <w:tc>
          <w:tcPr>
            <w:tcW w:w="2318" w:type="pct"/>
            <w:vAlign w:val="center"/>
          </w:tcPr>
          <w:p>
            <w:pPr>
              <w:ind w:firstLine="0" w:firstLineChars="0"/>
              <w:jc w:val="center"/>
              <w:rPr>
                <w:sz w:val="30"/>
                <w:szCs w:val="30"/>
              </w:rPr>
            </w:pPr>
            <w:r>
              <w:rPr>
                <w:sz w:val="30"/>
                <w:szCs w:val="30"/>
              </w:rPr>
              <w:t>使用单位名称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 w:type="pct"/>
            <w:vAlign w:val="center"/>
          </w:tcPr>
          <w:p>
            <w:pPr>
              <w:ind w:firstLine="0" w:firstLineChars="0"/>
              <w:jc w:val="center"/>
              <w:rPr>
                <w:sz w:val="30"/>
                <w:szCs w:val="30"/>
              </w:rPr>
            </w:pPr>
            <w:r>
              <w:rPr>
                <w:sz w:val="30"/>
                <w:szCs w:val="30"/>
              </w:rPr>
              <w:t>14</w:t>
            </w:r>
          </w:p>
        </w:tc>
        <w:tc>
          <w:tcPr>
            <w:tcW w:w="995" w:type="pct"/>
            <w:vMerge w:val="continue"/>
            <w:vAlign w:val="center"/>
          </w:tcPr>
          <w:p>
            <w:pPr>
              <w:ind w:firstLine="0" w:firstLineChars="0"/>
              <w:jc w:val="center"/>
              <w:rPr>
                <w:sz w:val="30"/>
                <w:szCs w:val="30"/>
              </w:rPr>
            </w:pPr>
          </w:p>
        </w:tc>
        <w:tc>
          <w:tcPr>
            <w:tcW w:w="1219" w:type="pct"/>
            <w:vMerge w:val="continue"/>
            <w:vAlign w:val="center"/>
          </w:tcPr>
          <w:p>
            <w:pPr>
              <w:ind w:firstLine="0" w:firstLineChars="0"/>
              <w:jc w:val="center"/>
              <w:rPr>
                <w:sz w:val="30"/>
                <w:szCs w:val="30"/>
              </w:rPr>
            </w:pPr>
          </w:p>
        </w:tc>
        <w:tc>
          <w:tcPr>
            <w:tcW w:w="2318" w:type="pct"/>
            <w:vAlign w:val="center"/>
          </w:tcPr>
          <w:p>
            <w:pPr>
              <w:ind w:firstLine="0" w:firstLineChars="0"/>
              <w:jc w:val="center"/>
              <w:rPr>
                <w:sz w:val="30"/>
                <w:szCs w:val="30"/>
              </w:rPr>
            </w:pPr>
            <w:r>
              <w:rPr>
                <w:sz w:val="30"/>
                <w:szCs w:val="30"/>
              </w:rPr>
              <w:t>使用单位地址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 w:type="pct"/>
            <w:vAlign w:val="center"/>
          </w:tcPr>
          <w:p>
            <w:pPr>
              <w:ind w:firstLine="0" w:firstLineChars="0"/>
              <w:jc w:val="center"/>
              <w:rPr>
                <w:sz w:val="30"/>
                <w:szCs w:val="30"/>
              </w:rPr>
            </w:pPr>
            <w:r>
              <w:rPr>
                <w:sz w:val="30"/>
                <w:szCs w:val="30"/>
              </w:rPr>
              <w:t>15</w:t>
            </w:r>
          </w:p>
        </w:tc>
        <w:tc>
          <w:tcPr>
            <w:tcW w:w="995" w:type="pct"/>
            <w:vMerge w:val="continue"/>
            <w:vAlign w:val="center"/>
          </w:tcPr>
          <w:p>
            <w:pPr>
              <w:ind w:firstLine="0" w:firstLineChars="0"/>
              <w:jc w:val="center"/>
              <w:rPr>
                <w:sz w:val="30"/>
                <w:szCs w:val="30"/>
              </w:rPr>
            </w:pPr>
          </w:p>
        </w:tc>
        <w:tc>
          <w:tcPr>
            <w:tcW w:w="1219" w:type="pct"/>
            <w:vMerge w:val="continue"/>
            <w:vAlign w:val="center"/>
          </w:tcPr>
          <w:p>
            <w:pPr>
              <w:ind w:firstLine="0" w:firstLineChars="0"/>
              <w:jc w:val="center"/>
              <w:rPr>
                <w:sz w:val="30"/>
                <w:szCs w:val="30"/>
              </w:rPr>
            </w:pPr>
          </w:p>
        </w:tc>
        <w:tc>
          <w:tcPr>
            <w:tcW w:w="2318" w:type="pct"/>
            <w:vAlign w:val="center"/>
          </w:tcPr>
          <w:p>
            <w:pPr>
              <w:ind w:firstLine="0" w:firstLineChars="0"/>
              <w:jc w:val="center"/>
              <w:rPr>
                <w:sz w:val="30"/>
                <w:szCs w:val="30"/>
              </w:rPr>
            </w:pPr>
            <w:r>
              <w:rPr>
                <w:sz w:val="30"/>
                <w:szCs w:val="30"/>
              </w:rPr>
              <w:t>使用单位统一社会信用代码/组织机构代码/身份证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 w:type="pct"/>
            <w:vAlign w:val="center"/>
          </w:tcPr>
          <w:p>
            <w:pPr>
              <w:ind w:firstLine="0" w:firstLineChars="0"/>
              <w:jc w:val="center"/>
              <w:rPr>
                <w:sz w:val="30"/>
                <w:szCs w:val="30"/>
              </w:rPr>
            </w:pPr>
            <w:r>
              <w:rPr>
                <w:sz w:val="30"/>
                <w:szCs w:val="30"/>
              </w:rPr>
              <w:t>16</w:t>
            </w:r>
          </w:p>
        </w:tc>
        <w:tc>
          <w:tcPr>
            <w:tcW w:w="995" w:type="pct"/>
            <w:vMerge w:val="continue"/>
            <w:vAlign w:val="center"/>
          </w:tcPr>
          <w:p>
            <w:pPr>
              <w:ind w:firstLine="0" w:firstLineChars="0"/>
              <w:jc w:val="center"/>
              <w:rPr>
                <w:sz w:val="30"/>
                <w:szCs w:val="30"/>
              </w:rPr>
            </w:pPr>
          </w:p>
        </w:tc>
        <w:tc>
          <w:tcPr>
            <w:tcW w:w="1219" w:type="pct"/>
            <w:vMerge w:val="continue"/>
            <w:vAlign w:val="center"/>
          </w:tcPr>
          <w:p>
            <w:pPr>
              <w:ind w:firstLine="0" w:firstLineChars="0"/>
              <w:jc w:val="center"/>
              <w:rPr>
                <w:sz w:val="30"/>
                <w:szCs w:val="30"/>
              </w:rPr>
            </w:pPr>
          </w:p>
        </w:tc>
        <w:tc>
          <w:tcPr>
            <w:tcW w:w="2318" w:type="pct"/>
            <w:vAlign w:val="center"/>
          </w:tcPr>
          <w:p>
            <w:pPr>
              <w:ind w:firstLine="0" w:firstLineChars="0"/>
              <w:jc w:val="center"/>
              <w:rPr>
                <w:sz w:val="30"/>
                <w:szCs w:val="30"/>
              </w:rPr>
            </w:pPr>
            <w:r>
              <w:rPr>
                <w:sz w:val="30"/>
                <w:szCs w:val="30"/>
              </w:rPr>
              <w:t>邮政编码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 w:type="pct"/>
            <w:vAlign w:val="center"/>
          </w:tcPr>
          <w:p>
            <w:pPr>
              <w:ind w:firstLine="0" w:firstLineChars="0"/>
              <w:jc w:val="center"/>
              <w:rPr>
                <w:sz w:val="30"/>
                <w:szCs w:val="30"/>
              </w:rPr>
            </w:pPr>
            <w:r>
              <w:rPr>
                <w:sz w:val="30"/>
                <w:szCs w:val="30"/>
              </w:rPr>
              <w:t>17</w:t>
            </w:r>
          </w:p>
        </w:tc>
        <w:tc>
          <w:tcPr>
            <w:tcW w:w="995" w:type="pct"/>
            <w:vMerge w:val="continue"/>
            <w:vAlign w:val="center"/>
          </w:tcPr>
          <w:p>
            <w:pPr>
              <w:ind w:firstLine="0" w:firstLineChars="0"/>
              <w:jc w:val="center"/>
              <w:rPr>
                <w:sz w:val="30"/>
                <w:szCs w:val="30"/>
              </w:rPr>
            </w:pPr>
          </w:p>
        </w:tc>
        <w:tc>
          <w:tcPr>
            <w:tcW w:w="1219" w:type="pct"/>
            <w:vMerge w:val="continue"/>
            <w:vAlign w:val="center"/>
          </w:tcPr>
          <w:p>
            <w:pPr>
              <w:ind w:firstLine="0" w:firstLineChars="0"/>
              <w:jc w:val="center"/>
              <w:rPr>
                <w:sz w:val="30"/>
                <w:szCs w:val="30"/>
              </w:rPr>
            </w:pPr>
          </w:p>
        </w:tc>
        <w:tc>
          <w:tcPr>
            <w:tcW w:w="2318" w:type="pct"/>
            <w:vAlign w:val="center"/>
          </w:tcPr>
          <w:p>
            <w:pPr>
              <w:ind w:firstLine="0" w:firstLineChars="0"/>
              <w:jc w:val="center"/>
              <w:rPr>
                <w:sz w:val="30"/>
                <w:szCs w:val="30"/>
              </w:rPr>
            </w:pPr>
            <w:r>
              <w:rPr>
                <w:sz w:val="30"/>
                <w:szCs w:val="30"/>
              </w:rPr>
              <w:t>单位内编号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 w:type="pct"/>
            <w:vAlign w:val="center"/>
          </w:tcPr>
          <w:p>
            <w:pPr>
              <w:ind w:firstLine="0" w:firstLineChars="0"/>
              <w:jc w:val="center"/>
              <w:rPr>
                <w:sz w:val="30"/>
                <w:szCs w:val="30"/>
              </w:rPr>
            </w:pPr>
            <w:r>
              <w:rPr>
                <w:sz w:val="30"/>
                <w:szCs w:val="30"/>
              </w:rPr>
              <w:t>18</w:t>
            </w:r>
          </w:p>
        </w:tc>
        <w:tc>
          <w:tcPr>
            <w:tcW w:w="995" w:type="pct"/>
            <w:vMerge w:val="continue"/>
            <w:vAlign w:val="center"/>
          </w:tcPr>
          <w:p>
            <w:pPr>
              <w:ind w:firstLine="0" w:firstLineChars="0"/>
              <w:jc w:val="center"/>
              <w:rPr>
                <w:sz w:val="30"/>
                <w:szCs w:val="30"/>
              </w:rPr>
            </w:pPr>
          </w:p>
        </w:tc>
        <w:tc>
          <w:tcPr>
            <w:tcW w:w="1219" w:type="pct"/>
            <w:vMerge w:val="continue"/>
            <w:vAlign w:val="center"/>
          </w:tcPr>
          <w:p>
            <w:pPr>
              <w:ind w:firstLine="0" w:firstLineChars="0"/>
              <w:jc w:val="center"/>
              <w:rPr>
                <w:sz w:val="30"/>
                <w:szCs w:val="30"/>
              </w:rPr>
            </w:pPr>
          </w:p>
        </w:tc>
        <w:tc>
          <w:tcPr>
            <w:tcW w:w="2318" w:type="pct"/>
            <w:vAlign w:val="center"/>
          </w:tcPr>
          <w:p>
            <w:pPr>
              <w:ind w:firstLine="0" w:firstLineChars="0"/>
              <w:jc w:val="center"/>
              <w:rPr>
                <w:sz w:val="30"/>
                <w:szCs w:val="30"/>
              </w:rPr>
            </w:pPr>
            <w:r>
              <w:rPr>
                <w:sz w:val="30"/>
                <w:szCs w:val="30"/>
              </w:rPr>
              <w:t>设备使用地点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 w:type="pct"/>
            <w:vAlign w:val="center"/>
          </w:tcPr>
          <w:p>
            <w:pPr>
              <w:ind w:firstLine="0" w:firstLineChars="0"/>
              <w:jc w:val="center"/>
              <w:rPr>
                <w:sz w:val="30"/>
                <w:szCs w:val="30"/>
              </w:rPr>
            </w:pPr>
            <w:r>
              <w:rPr>
                <w:sz w:val="30"/>
                <w:szCs w:val="30"/>
              </w:rPr>
              <w:t>19</w:t>
            </w:r>
          </w:p>
        </w:tc>
        <w:tc>
          <w:tcPr>
            <w:tcW w:w="995" w:type="pct"/>
            <w:vMerge w:val="continue"/>
            <w:vAlign w:val="center"/>
          </w:tcPr>
          <w:p>
            <w:pPr>
              <w:ind w:firstLine="0" w:firstLineChars="0"/>
              <w:jc w:val="center"/>
              <w:rPr>
                <w:sz w:val="30"/>
                <w:szCs w:val="30"/>
              </w:rPr>
            </w:pPr>
          </w:p>
        </w:tc>
        <w:tc>
          <w:tcPr>
            <w:tcW w:w="1219" w:type="pct"/>
            <w:vMerge w:val="continue"/>
            <w:vAlign w:val="center"/>
          </w:tcPr>
          <w:p>
            <w:pPr>
              <w:ind w:firstLine="0" w:firstLineChars="0"/>
              <w:jc w:val="center"/>
              <w:rPr>
                <w:sz w:val="30"/>
                <w:szCs w:val="30"/>
              </w:rPr>
            </w:pPr>
          </w:p>
        </w:tc>
        <w:tc>
          <w:tcPr>
            <w:tcW w:w="2318" w:type="pct"/>
            <w:vAlign w:val="center"/>
          </w:tcPr>
          <w:p>
            <w:pPr>
              <w:ind w:firstLine="0" w:firstLineChars="0"/>
              <w:jc w:val="center"/>
              <w:rPr>
                <w:sz w:val="30"/>
                <w:szCs w:val="30"/>
              </w:rPr>
            </w:pPr>
            <w:r>
              <w:rPr>
                <w:sz w:val="30"/>
                <w:szCs w:val="30"/>
              </w:rPr>
              <w:t>投入使用日期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 w:type="pct"/>
            <w:vAlign w:val="center"/>
          </w:tcPr>
          <w:p>
            <w:pPr>
              <w:ind w:firstLine="0" w:firstLineChars="0"/>
              <w:jc w:val="center"/>
              <w:rPr>
                <w:sz w:val="30"/>
                <w:szCs w:val="30"/>
              </w:rPr>
            </w:pPr>
            <w:r>
              <w:rPr>
                <w:sz w:val="30"/>
                <w:szCs w:val="30"/>
              </w:rPr>
              <w:t>20</w:t>
            </w:r>
          </w:p>
        </w:tc>
        <w:tc>
          <w:tcPr>
            <w:tcW w:w="995" w:type="pct"/>
            <w:vMerge w:val="continue"/>
            <w:vAlign w:val="center"/>
          </w:tcPr>
          <w:p>
            <w:pPr>
              <w:ind w:firstLine="0" w:firstLineChars="0"/>
              <w:jc w:val="center"/>
              <w:rPr>
                <w:sz w:val="30"/>
                <w:szCs w:val="30"/>
              </w:rPr>
            </w:pPr>
          </w:p>
        </w:tc>
        <w:tc>
          <w:tcPr>
            <w:tcW w:w="1219" w:type="pct"/>
            <w:vMerge w:val="continue"/>
            <w:vAlign w:val="center"/>
          </w:tcPr>
          <w:p>
            <w:pPr>
              <w:ind w:firstLine="0" w:firstLineChars="0"/>
              <w:jc w:val="center"/>
              <w:rPr>
                <w:sz w:val="30"/>
                <w:szCs w:val="30"/>
              </w:rPr>
            </w:pPr>
          </w:p>
        </w:tc>
        <w:tc>
          <w:tcPr>
            <w:tcW w:w="2318" w:type="pct"/>
            <w:vAlign w:val="center"/>
          </w:tcPr>
          <w:p>
            <w:pPr>
              <w:ind w:firstLine="0" w:firstLineChars="0"/>
              <w:jc w:val="center"/>
              <w:rPr>
                <w:sz w:val="30"/>
                <w:szCs w:val="30"/>
              </w:rPr>
            </w:pPr>
            <w:r>
              <w:rPr>
                <w:sz w:val="30"/>
                <w:szCs w:val="30"/>
              </w:rPr>
              <w:t>单位固定电话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 w:type="pct"/>
            <w:vAlign w:val="center"/>
          </w:tcPr>
          <w:p>
            <w:pPr>
              <w:ind w:firstLine="0" w:firstLineChars="0"/>
              <w:jc w:val="center"/>
              <w:rPr>
                <w:sz w:val="30"/>
                <w:szCs w:val="30"/>
              </w:rPr>
            </w:pPr>
            <w:r>
              <w:rPr>
                <w:sz w:val="30"/>
                <w:szCs w:val="30"/>
              </w:rPr>
              <w:t>21</w:t>
            </w:r>
          </w:p>
        </w:tc>
        <w:tc>
          <w:tcPr>
            <w:tcW w:w="995" w:type="pct"/>
            <w:vMerge w:val="continue"/>
            <w:vAlign w:val="center"/>
          </w:tcPr>
          <w:p>
            <w:pPr>
              <w:ind w:firstLine="0" w:firstLineChars="0"/>
              <w:jc w:val="center"/>
              <w:rPr>
                <w:sz w:val="30"/>
                <w:szCs w:val="30"/>
              </w:rPr>
            </w:pPr>
          </w:p>
        </w:tc>
        <w:tc>
          <w:tcPr>
            <w:tcW w:w="1219" w:type="pct"/>
            <w:vMerge w:val="continue"/>
            <w:vAlign w:val="center"/>
          </w:tcPr>
          <w:p>
            <w:pPr>
              <w:ind w:firstLine="0" w:firstLineChars="0"/>
              <w:jc w:val="center"/>
              <w:rPr>
                <w:sz w:val="30"/>
                <w:szCs w:val="30"/>
              </w:rPr>
            </w:pPr>
          </w:p>
        </w:tc>
        <w:tc>
          <w:tcPr>
            <w:tcW w:w="2318" w:type="pct"/>
            <w:vAlign w:val="center"/>
          </w:tcPr>
          <w:p>
            <w:pPr>
              <w:ind w:firstLine="0" w:firstLineChars="0"/>
              <w:jc w:val="center"/>
              <w:rPr>
                <w:sz w:val="30"/>
                <w:szCs w:val="30"/>
              </w:rPr>
            </w:pPr>
            <w:r>
              <w:rPr>
                <w:sz w:val="30"/>
                <w:szCs w:val="30"/>
              </w:rPr>
              <w:t>安全管理员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 w:type="pct"/>
            <w:vAlign w:val="center"/>
          </w:tcPr>
          <w:p>
            <w:pPr>
              <w:ind w:firstLine="0" w:firstLineChars="0"/>
              <w:jc w:val="center"/>
              <w:rPr>
                <w:sz w:val="30"/>
                <w:szCs w:val="30"/>
              </w:rPr>
            </w:pPr>
            <w:r>
              <w:rPr>
                <w:sz w:val="30"/>
                <w:szCs w:val="30"/>
              </w:rPr>
              <w:t>22</w:t>
            </w:r>
          </w:p>
        </w:tc>
        <w:tc>
          <w:tcPr>
            <w:tcW w:w="995" w:type="pct"/>
            <w:vMerge w:val="continue"/>
            <w:vAlign w:val="center"/>
          </w:tcPr>
          <w:p>
            <w:pPr>
              <w:ind w:firstLine="0" w:firstLineChars="0"/>
              <w:jc w:val="center"/>
              <w:rPr>
                <w:sz w:val="30"/>
                <w:szCs w:val="30"/>
              </w:rPr>
            </w:pPr>
          </w:p>
        </w:tc>
        <w:tc>
          <w:tcPr>
            <w:tcW w:w="1219" w:type="pct"/>
            <w:vMerge w:val="continue"/>
            <w:vAlign w:val="center"/>
          </w:tcPr>
          <w:p>
            <w:pPr>
              <w:ind w:firstLine="0" w:firstLineChars="0"/>
              <w:jc w:val="center"/>
              <w:rPr>
                <w:sz w:val="30"/>
                <w:szCs w:val="30"/>
              </w:rPr>
            </w:pPr>
          </w:p>
        </w:tc>
        <w:tc>
          <w:tcPr>
            <w:tcW w:w="2318" w:type="pct"/>
            <w:vAlign w:val="center"/>
          </w:tcPr>
          <w:p>
            <w:pPr>
              <w:ind w:firstLine="0" w:firstLineChars="0"/>
              <w:jc w:val="center"/>
              <w:rPr>
                <w:sz w:val="30"/>
                <w:szCs w:val="30"/>
              </w:rPr>
            </w:pPr>
            <w:r>
              <w:rPr>
                <w:sz w:val="30"/>
                <w:szCs w:val="30"/>
              </w:rPr>
              <w:t>移动电话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 w:type="pct"/>
            <w:vAlign w:val="center"/>
          </w:tcPr>
          <w:p>
            <w:pPr>
              <w:ind w:firstLine="0" w:firstLineChars="0"/>
              <w:jc w:val="center"/>
              <w:rPr>
                <w:sz w:val="30"/>
                <w:szCs w:val="30"/>
              </w:rPr>
            </w:pPr>
            <w:r>
              <w:rPr>
                <w:sz w:val="30"/>
                <w:szCs w:val="30"/>
              </w:rPr>
              <w:t>23</w:t>
            </w:r>
          </w:p>
        </w:tc>
        <w:tc>
          <w:tcPr>
            <w:tcW w:w="995" w:type="pct"/>
            <w:vMerge w:val="continue"/>
            <w:vAlign w:val="center"/>
          </w:tcPr>
          <w:p>
            <w:pPr>
              <w:ind w:firstLine="0" w:firstLineChars="0"/>
              <w:jc w:val="center"/>
              <w:rPr>
                <w:sz w:val="30"/>
                <w:szCs w:val="30"/>
              </w:rPr>
            </w:pPr>
          </w:p>
        </w:tc>
        <w:tc>
          <w:tcPr>
            <w:tcW w:w="1219" w:type="pct"/>
            <w:vMerge w:val="continue"/>
            <w:vAlign w:val="center"/>
          </w:tcPr>
          <w:p>
            <w:pPr>
              <w:ind w:firstLine="0" w:firstLineChars="0"/>
              <w:jc w:val="center"/>
              <w:rPr>
                <w:sz w:val="30"/>
                <w:szCs w:val="30"/>
              </w:rPr>
            </w:pPr>
          </w:p>
        </w:tc>
        <w:tc>
          <w:tcPr>
            <w:tcW w:w="2318" w:type="pct"/>
            <w:vAlign w:val="center"/>
          </w:tcPr>
          <w:p>
            <w:pPr>
              <w:ind w:firstLine="0" w:firstLineChars="0"/>
              <w:jc w:val="center"/>
              <w:rPr>
                <w:sz w:val="30"/>
                <w:szCs w:val="30"/>
              </w:rPr>
            </w:pPr>
            <w:r>
              <w:rPr>
                <w:sz w:val="30"/>
                <w:szCs w:val="30"/>
              </w:rPr>
              <w:t>产权单位名称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 w:type="pct"/>
            <w:vAlign w:val="center"/>
          </w:tcPr>
          <w:p>
            <w:pPr>
              <w:ind w:firstLine="0" w:firstLineChars="0"/>
              <w:jc w:val="center"/>
              <w:rPr>
                <w:sz w:val="30"/>
                <w:szCs w:val="30"/>
              </w:rPr>
            </w:pPr>
            <w:r>
              <w:rPr>
                <w:sz w:val="30"/>
                <w:szCs w:val="30"/>
              </w:rPr>
              <w:t>24</w:t>
            </w:r>
          </w:p>
        </w:tc>
        <w:tc>
          <w:tcPr>
            <w:tcW w:w="995" w:type="pct"/>
            <w:vMerge w:val="continue"/>
            <w:vAlign w:val="center"/>
          </w:tcPr>
          <w:p>
            <w:pPr>
              <w:ind w:firstLine="0" w:firstLineChars="0"/>
              <w:jc w:val="center"/>
              <w:rPr>
                <w:sz w:val="30"/>
                <w:szCs w:val="30"/>
              </w:rPr>
            </w:pPr>
          </w:p>
        </w:tc>
        <w:tc>
          <w:tcPr>
            <w:tcW w:w="1219" w:type="pct"/>
            <w:vMerge w:val="continue"/>
            <w:vAlign w:val="center"/>
          </w:tcPr>
          <w:p>
            <w:pPr>
              <w:ind w:firstLine="0" w:firstLineChars="0"/>
              <w:jc w:val="center"/>
              <w:rPr>
                <w:sz w:val="30"/>
                <w:szCs w:val="30"/>
              </w:rPr>
            </w:pPr>
          </w:p>
        </w:tc>
        <w:tc>
          <w:tcPr>
            <w:tcW w:w="2318" w:type="pct"/>
            <w:vAlign w:val="center"/>
          </w:tcPr>
          <w:p>
            <w:pPr>
              <w:ind w:firstLine="0" w:firstLineChars="0"/>
              <w:jc w:val="center"/>
              <w:rPr>
                <w:sz w:val="30"/>
                <w:szCs w:val="30"/>
              </w:rPr>
            </w:pPr>
            <w:r>
              <w:rPr>
                <w:sz w:val="30"/>
                <w:szCs w:val="30"/>
              </w:rPr>
              <w:t>产权单位统一社会信用代码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 w:type="pct"/>
            <w:vAlign w:val="center"/>
          </w:tcPr>
          <w:p>
            <w:pPr>
              <w:ind w:firstLine="0" w:firstLineChars="0"/>
              <w:jc w:val="center"/>
              <w:rPr>
                <w:sz w:val="30"/>
                <w:szCs w:val="30"/>
              </w:rPr>
            </w:pPr>
            <w:r>
              <w:rPr>
                <w:sz w:val="30"/>
                <w:szCs w:val="30"/>
              </w:rPr>
              <w:t>25</w:t>
            </w:r>
          </w:p>
        </w:tc>
        <w:tc>
          <w:tcPr>
            <w:tcW w:w="995" w:type="pct"/>
            <w:vMerge w:val="continue"/>
            <w:vAlign w:val="center"/>
          </w:tcPr>
          <w:p>
            <w:pPr>
              <w:ind w:firstLine="0" w:firstLineChars="0"/>
              <w:jc w:val="center"/>
              <w:rPr>
                <w:sz w:val="30"/>
                <w:szCs w:val="30"/>
              </w:rPr>
            </w:pPr>
          </w:p>
        </w:tc>
        <w:tc>
          <w:tcPr>
            <w:tcW w:w="1219" w:type="pct"/>
            <w:vMerge w:val="restart"/>
            <w:vAlign w:val="center"/>
          </w:tcPr>
          <w:p>
            <w:pPr>
              <w:ind w:firstLine="0" w:firstLineChars="0"/>
              <w:jc w:val="center"/>
              <w:rPr>
                <w:sz w:val="30"/>
                <w:szCs w:val="30"/>
              </w:rPr>
            </w:pPr>
            <w:r>
              <w:rPr>
                <w:sz w:val="30"/>
                <w:szCs w:val="30"/>
              </w:rPr>
              <w:t>设备检验情况</w:t>
            </w:r>
          </w:p>
        </w:tc>
        <w:tc>
          <w:tcPr>
            <w:tcW w:w="2318" w:type="pct"/>
            <w:vAlign w:val="center"/>
          </w:tcPr>
          <w:p>
            <w:pPr>
              <w:ind w:firstLine="0" w:firstLineChars="0"/>
              <w:jc w:val="center"/>
              <w:rPr>
                <w:sz w:val="30"/>
                <w:szCs w:val="30"/>
              </w:rPr>
            </w:pPr>
            <w:r>
              <w:rPr>
                <w:sz w:val="30"/>
                <w:szCs w:val="30"/>
              </w:rPr>
              <w:t>检验机构名称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 w:type="pct"/>
            <w:vAlign w:val="center"/>
          </w:tcPr>
          <w:p>
            <w:pPr>
              <w:ind w:firstLine="0" w:firstLineChars="0"/>
              <w:jc w:val="center"/>
              <w:rPr>
                <w:sz w:val="30"/>
                <w:szCs w:val="30"/>
              </w:rPr>
            </w:pPr>
            <w:r>
              <w:rPr>
                <w:sz w:val="30"/>
                <w:szCs w:val="30"/>
              </w:rPr>
              <w:t>26</w:t>
            </w:r>
          </w:p>
        </w:tc>
        <w:tc>
          <w:tcPr>
            <w:tcW w:w="995" w:type="pct"/>
            <w:vMerge w:val="continue"/>
            <w:vAlign w:val="center"/>
          </w:tcPr>
          <w:p>
            <w:pPr>
              <w:ind w:firstLine="0" w:firstLineChars="0"/>
              <w:jc w:val="center"/>
              <w:rPr>
                <w:sz w:val="30"/>
                <w:szCs w:val="30"/>
              </w:rPr>
            </w:pPr>
          </w:p>
        </w:tc>
        <w:tc>
          <w:tcPr>
            <w:tcW w:w="1219" w:type="pct"/>
            <w:vMerge w:val="continue"/>
            <w:vAlign w:val="center"/>
          </w:tcPr>
          <w:p>
            <w:pPr>
              <w:ind w:firstLine="0" w:firstLineChars="0"/>
              <w:jc w:val="center"/>
              <w:rPr>
                <w:sz w:val="30"/>
                <w:szCs w:val="30"/>
              </w:rPr>
            </w:pPr>
          </w:p>
        </w:tc>
        <w:tc>
          <w:tcPr>
            <w:tcW w:w="2318" w:type="pct"/>
            <w:vAlign w:val="center"/>
          </w:tcPr>
          <w:p>
            <w:pPr>
              <w:ind w:firstLine="0" w:firstLineChars="0"/>
              <w:jc w:val="center"/>
              <w:rPr>
                <w:sz w:val="30"/>
                <w:szCs w:val="30"/>
              </w:rPr>
            </w:pPr>
            <w:r>
              <w:rPr>
                <w:sz w:val="30"/>
                <w:szCs w:val="30"/>
              </w:rPr>
              <w:t>检验类别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 w:type="pct"/>
            <w:vAlign w:val="center"/>
          </w:tcPr>
          <w:p>
            <w:pPr>
              <w:ind w:firstLine="0" w:firstLineChars="0"/>
              <w:jc w:val="center"/>
              <w:rPr>
                <w:sz w:val="30"/>
                <w:szCs w:val="30"/>
              </w:rPr>
            </w:pPr>
            <w:r>
              <w:rPr>
                <w:sz w:val="30"/>
                <w:szCs w:val="30"/>
              </w:rPr>
              <w:t>27</w:t>
            </w:r>
          </w:p>
        </w:tc>
        <w:tc>
          <w:tcPr>
            <w:tcW w:w="995" w:type="pct"/>
            <w:vMerge w:val="continue"/>
            <w:vAlign w:val="center"/>
          </w:tcPr>
          <w:p>
            <w:pPr>
              <w:ind w:firstLine="0" w:firstLineChars="0"/>
              <w:jc w:val="center"/>
              <w:rPr>
                <w:sz w:val="30"/>
                <w:szCs w:val="30"/>
              </w:rPr>
            </w:pPr>
          </w:p>
        </w:tc>
        <w:tc>
          <w:tcPr>
            <w:tcW w:w="1219" w:type="pct"/>
            <w:vMerge w:val="continue"/>
            <w:vAlign w:val="center"/>
          </w:tcPr>
          <w:p>
            <w:pPr>
              <w:ind w:firstLine="0" w:firstLineChars="0"/>
              <w:jc w:val="center"/>
              <w:rPr>
                <w:sz w:val="30"/>
                <w:szCs w:val="30"/>
              </w:rPr>
            </w:pPr>
          </w:p>
        </w:tc>
        <w:tc>
          <w:tcPr>
            <w:tcW w:w="2318" w:type="pct"/>
            <w:vAlign w:val="center"/>
          </w:tcPr>
          <w:p>
            <w:pPr>
              <w:ind w:firstLine="0" w:firstLineChars="0"/>
              <w:jc w:val="center"/>
              <w:rPr>
                <w:sz w:val="30"/>
                <w:szCs w:val="30"/>
              </w:rPr>
            </w:pPr>
            <w:r>
              <w:rPr>
                <w:sz w:val="30"/>
                <w:szCs w:val="30"/>
              </w:rPr>
              <w:t>检验报告编号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 w:type="pct"/>
            <w:vAlign w:val="center"/>
          </w:tcPr>
          <w:p>
            <w:pPr>
              <w:ind w:firstLine="0" w:firstLineChars="0"/>
              <w:jc w:val="center"/>
              <w:rPr>
                <w:sz w:val="30"/>
                <w:szCs w:val="30"/>
              </w:rPr>
            </w:pPr>
            <w:r>
              <w:rPr>
                <w:sz w:val="30"/>
                <w:szCs w:val="30"/>
              </w:rPr>
              <w:t>28</w:t>
            </w:r>
          </w:p>
        </w:tc>
        <w:tc>
          <w:tcPr>
            <w:tcW w:w="995" w:type="pct"/>
            <w:vMerge w:val="continue"/>
            <w:vAlign w:val="center"/>
          </w:tcPr>
          <w:p>
            <w:pPr>
              <w:ind w:firstLine="0" w:firstLineChars="0"/>
              <w:jc w:val="center"/>
              <w:rPr>
                <w:sz w:val="30"/>
                <w:szCs w:val="30"/>
              </w:rPr>
            </w:pPr>
          </w:p>
        </w:tc>
        <w:tc>
          <w:tcPr>
            <w:tcW w:w="1219" w:type="pct"/>
            <w:vMerge w:val="continue"/>
            <w:vAlign w:val="center"/>
          </w:tcPr>
          <w:p>
            <w:pPr>
              <w:ind w:firstLine="0" w:firstLineChars="0"/>
              <w:jc w:val="center"/>
              <w:rPr>
                <w:sz w:val="30"/>
                <w:szCs w:val="30"/>
              </w:rPr>
            </w:pPr>
          </w:p>
        </w:tc>
        <w:tc>
          <w:tcPr>
            <w:tcW w:w="2318" w:type="pct"/>
            <w:vAlign w:val="center"/>
          </w:tcPr>
          <w:p>
            <w:pPr>
              <w:ind w:firstLine="0" w:firstLineChars="0"/>
              <w:jc w:val="center"/>
              <w:rPr>
                <w:sz w:val="30"/>
                <w:szCs w:val="30"/>
              </w:rPr>
            </w:pPr>
            <w:r>
              <w:rPr>
                <w:sz w:val="30"/>
                <w:szCs w:val="30"/>
              </w:rPr>
              <w:t>检验日期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 w:type="pct"/>
            <w:vAlign w:val="center"/>
          </w:tcPr>
          <w:p>
            <w:pPr>
              <w:ind w:firstLine="0" w:firstLineChars="0"/>
              <w:jc w:val="center"/>
              <w:rPr>
                <w:sz w:val="30"/>
                <w:szCs w:val="30"/>
              </w:rPr>
            </w:pPr>
            <w:r>
              <w:rPr>
                <w:sz w:val="30"/>
                <w:szCs w:val="30"/>
              </w:rPr>
              <w:t>29</w:t>
            </w:r>
          </w:p>
        </w:tc>
        <w:tc>
          <w:tcPr>
            <w:tcW w:w="995" w:type="pct"/>
            <w:vMerge w:val="continue"/>
            <w:vAlign w:val="center"/>
          </w:tcPr>
          <w:p>
            <w:pPr>
              <w:ind w:firstLine="0" w:firstLineChars="0"/>
              <w:jc w:val="center"/>
              <w:rPr>
                <w:sz w:val="30"/>
                <w:szCs w:val="30"/>
              </w:rPr>
            </w:pPr>
          </w:p>
        </w:tc>
        <w:tc>
          <w:tcPr>
            <w:tcW w:w="1219" w:type="pct"/>
            <w:vMerge w:val="continue"/>
            <w:vAlign w:val="center"/>
          </w:tcPr>
          <w:p>
            <w:pPr>
              <w:ind w:firstLine="0" w:firstLineChars="0"/>
              <w:jc w:val="center"/>
              <w:rPr>
                <w:sz w:val="30"/>
                <w:szCs w:val="30"/>
              </w:rPr>
            </w:pPr>
          </w:p>
        </w:tc>
        <w:tc>
          <w:tcPr>
            <w:tcW w:w="2318" w:type="pct"/>
            <w:vAlign w:val="center"/>
          </w:tcPr>
          <w:p>
            <w:pPr>
              <w:ind w:firstLine="0" w:firstLineChars="0"/>
              <w:jc w:val="center"/>
              <w:rPr>
                <w:sz w:val="30"/>
                <w:szCs w:val="30"/>
              </w:rPr>
            </w:pPr>
            <w:r>
              <w:rPr>
                <w:sz w:val="30"/>
                <w:szCs w:val="30"/>
              </w:rPr>
              <w:t>检验结论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 w:type="pct"/>
            <w:vAlign w:val="center"/>
          </w:tcPr>
          <w:p>
            <w:pPr>
              <w:ind w:firstLine="0" w:firstLineChars="0"/>
              <w:jc w:val="center"/>
              <w:rPr>
                <w:sz w:val="30"/>
                <w:szCs w:val="30"/>
              </w:rPr>
            </w:pPr>
            <w:r>
              <w:rPr>
                <w:sz w:val="30"/>
                <w:szCs w:val="30"/>
              </w:rPr>
              <w:t>30</w:t>
            </w:r>
          </w:p>
        </w:tc>
        <w:tc>
          <w:tcPr>
            <w:tcW w:w="995" w:type="pct"/>
            <w:vMerge w:val="continue"/>
            <w:vAlign w:val="center"/>
          </w:tcPr>
          <w:p>
            <w:pPr>
              <w:ind w:firstLine="0" w:firstLineChars="0"/>
              <w:jc w:val="center"/>
              <w:rPr>
                <w:sz w:val="30"/>
                <w:szCs w:val="30"/>
              </w:rPr>
            </w:pPr>
          </w:p>
        </w:tc>
        <w:tc>
          <w:tcPr>
            <w:tcW w:w="1219" w:type="pct"/>
            <w:vMerge w:val="continue"/>
            <w:vAlign w:val="center"/>
          </w:tcPr>
          <w:p>
            <w:pPr>
              <w:ind w:firstLine="0" w:firstLineChars="0"/>
              <w:jc w:val="center"/>
              <w:rPr>
                <w:sz w:val="30"/>
                <w:szCs w:val="30"/>
              </w:rPr>
            </w:pPr>
          </w:p>
        </w:tc>
        <w:tc>
          <w:tcPr>
            <w:tcW w:w="2318" w:type="pct"/>
            <w:vAlign w:val="center"/>
          </w:tcPr>
          <w:p>
            <w:pPr>
              <w:ind w:firstLine="0" w:firstLineChars="0"/>
              <w:jc w:val="center"/>
              <w:rPr>
                <w:sz w:val="30"/>
                <w:szCs w:val="30"/>
              </w:rPr>
            </w:pPr>
            <w:r>
              <w:rPr>
                <w:sz w:val="30"/>
                <w:szCs w:val="30"/>
              </w:rPr>
              <w:t>下次检验日期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 w:type="pct"/>
            <w:vAlign w:val="center"/>
          </w:tcPr>
          <w:p>
            <w:pPr>
              <w:ind w:firstLine="0" w:firstLineChars="0"/>
              <w:jc w:val="center"/>
              <w:rPr>
                <w:sz w:val="30"/>
                <w:szCs w:val="30"/>
              </w:rPr>
            </w:pPr>
            <w:r>
              <w:rPr>
                <w:sz w:val="30"/>
                <w:szCs w:val="30"/>
              </w:rPr>
              <w:t>31</w:t>
            </w:r>
          </w:p>
        </w:tc>
        <w:tc>
          <w:tcPr>
            <w:tcW w:w="995" w:type="pct"/>
            <w:vMerge w:val="continue"/>
            <w:vAlign w:val="center"/>
          </w:tcPr>
          <w:p>
            <w:pPr>
              <w:ind w:firstLine="0" w:firstLineChars="0"/>
              <w:jc w:val="center"/>
              <w:rPr>
                <w:sz w:val="30"/>
                <w:szCs w:val="30"/>
              </w:rPr>
            </w:pPr>
          </w:p>
        </w:tc>
        <w:tc>
          <w:tcPr>
            <w:tcW w:w="1219" w:type="pct"/>
            <w:vMerge w:val="restart"/>
            <w:vAlign w:val="center"/>
          </w:tcPr>
          <w:p>
            <w:pPr>
              <w:ind w:firstLine="0" w:firstLineChars="0"/>
              <w:jc w:val="center"/>
              <w:rPr>
                <w:sz w:val="30"/>
                <w:szCs w:val="30"/>
              </w:rPr>
            </w:pPr>
            <w:r>
              <w:rPr>
                <w:sz w:val="30"/>
                <w:szCs w:val="30"/>
              </w:rPr>
              <w:t>其他信息</w:t>
            </w:r>
          </w:p>
        </w:tc>
        <w:tc>
          <w:tcPr>
            <w:tcW w:w="2318" w:type="pct"/>
            <w:vAlign w:val="center"/>
          </w:tcPr>
          <w:p>
            <w:pPr>
              <w:ind w:firstLine="0" w:firstLineChars="0"/>
              <w:jc w:val="center"/>
              <w:rPr>
                <w:sz w:val="30"/>
                <w:szCs w:val="30"/>
              </w:rPr>
            </w:pPr>
            <w:r>
              <w:rPr>
                <w:sz w:val="30"/>
                <w:szCs w:val="30"/>
              </w:rPr>
              <w:t>填写人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 w:type="pct"/>
            <w:vAlign w:val="center"/>
          </w:tcPr>
          <w:p>
            <w:pPr>
              <w:ind w:firstLine="0" w:firstLineChars="0"/>
              <w:jc w:val="center"/>
              <w:rPr>
                <w:sz w:val="30"/>
                <w:szCs w:val="30"/>
              </w:rPr>
            </w:pPr>
            <w:r>
              <w:rPr>
                <w:sz w:val="30"/>
                <w:szCs w:val="30"/>
              </w:rPr>
              <w:t>32</w:t>
            </w:r>
          </w:p>
        </w:tc>
        <w:tc>
          <w:tcPr>
            <w:tcW w:w="995" w:type="pct"/>
            <w:vMerge w:val="continue"/>
            <w:vAlign w:val="center"/>
          </w:tcPr>
          <w:p>
            <w:pPr>
              <w:ind w:firstLine="0" w:firstLineChars="0"/>
              <w:jc w:val="center"/>
              <w:rPr>
                <w:sz w:val="30"/>
                <w:szCs w:val="30"/>
              </w:rPr>
            </w:pPr>
          </w:p>
        </w:tc>
        <w:tc>
          <w:tcPr>
            <w:tcW w:w="1219" w:type="pct"/>
            <w:vMerge w:val="continue"/>
            <w:vAlign w:val="center"/>
          </w:tcPr>
          <w:p>
            <w:pPr>
              <w:ind w:firstLine="0" w:firstLineChars="0"/>
              <w:jc w:val="center"/>
              <w:rPr>
                <w:sz w:val="30"/>
                <w:szCs w:val="30"/>
              </w:rPr>
            </w:pPr>
          </w:p>
        </w:tc>
        <w:tc>
          <w:tcPr>
            <w:tcW w:w="2318" w:type="pct"/>
            <w:vAlign w:val="center"/>
          </w:tcPr>
          <w:p>
            <w:pPr>
              <w:ind w:firstLine="0" w:firstLineChars="0"/>
              <w:jc w:val="center"/>
              <w:rPr>
                <w:sz w:val="30"/>
                <w:szCs w:val="30"/>
              </w:rPr>
            </w:pPr>
            <w:r>
              <w:rPr>
                <w:sz w:val="30"/>
                <w:szCs w:val="30"/>
              </w:rPr>
              <w:t>制造日期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 w:type="pct"/>
            <w:vAlign w:val="center"/>
          </w:tcPr>
          <w:p>
            <w:pPr>
              <w:ind w:firstLine="0" w:firstLineChars="0"/>
              <w:jc w:val="center"/>
              <w:rPr>
                <w:sz w:val="30"/>
                <w:szCs w:val="30"/>
              </w:rPr>
            </w:pPr>
            <w:r>
              <w:rPr>
                <w:sz w:val="30"/>
                <w:szCs w:val="30"/>
              </w:rPr>
              <w:t>33</w:t>
            </w:r>
          </w:p>
        </w:tc>
        <w:tc>
          <w:tcPr>
            <w:tcW w:w="995" w:type="pct"/>
            <w:vMerge w:val="continue"/>
            <w:vAlign w:val="center"/>
          </w:tcPr>
          <w:p>
            <w:pPr>
              <w:ind w:firstLine="0" w:firstLineChars="0"/>
              <w:jc w:val="center"/>
              <w:rPr>
                <w:sz w:val="30"/>
                <w:szCs w:val="30"/>
              </w:rPr>
            </w:pPr>
          </w:p>
        </w:tc>
        <w:tc>
          <w:tcPr>
            <w:tcW w:w="1219" w:type="pct"/>
            <w:vMerge w:val="continue"/>
            <w:vAlign w:val="center"/>
          </w:tcPr>
          <w:p>
            <w:pPr>
              <w:ind w:firstLine="0" w:firstLineChars="0"/>
              <w:jc w:val="center"/>
              <w:rPr>
                <w:sz w:val="30"/>
                <w:szCs w:val="30"/>
              </w:rPr>
            </w:pPr>
          </w:p>
        </w:tc>
        <w:tc>
          <w:tcPr>
            <w:tcW w:w="2318" w:type="pct"/>
            <w:vAlign w:val="center"/>
          </w:tcPr>
          <w:p>
            <w:pPr>
              <w:ind w:firstLine="0" w:firstLineChars="0"/>
              <w:jc w:val="center"/>
              <w:rPr>
                <w:sz w:val="30"/>
                <w:szCs w:val="30"/>
              </w:rPr>
            </w:pPr>
            <w:r>
              <w:rPr>
                <w:sz w:val="30"/>
                <w:szCs w:val="30"/>
              </w:rPr>
              <w:t>登记机关人员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 w:type="pct"/>
            <w:vAlign w:val="center"/>
          </w:tcPr>
          <w:p>
            <w:pPr>
              <w:ind w:firstLine="0" w:firstLineChars="0"/>
              <w:jc w:val="center"/>
              <w:rPr>
                <w:sz w:val="30"/>
                <w:szCs w:val="30"/>
              </w:rPr>
            </w:pPr>
            <w:r>
              <w:rPr>
                <w:sz w:val="30"/>
                <w:szCs w:val="30"/>
              </w:rPr>
              <w:t>34</w:t>
            </w:r>
          </w:p>
        </w:tc>
        <w:tc>
          <w:tcPr>
            <w:tcW w:w="995" w:type="pct"/>
            <w:vMerge w:val="continue"/>
            <w:vAlign w:val="center"/>
          </w:tcPr>
          <w:p>
            <w:pPr>
              <w:ind w:firstLine="0" w:firstLineChars="0"/>
              <w:jc w:val="center"/>
              <w:rPr>
                <w:sz w:val="30"/>
                <w:szCs w:val="30"/>
              </w:rPr>
            </w:pPr>
          </w:p>
        </w:tc>
        <w:tc>
          <w:tcPr>
            <w:tcW w:w="1219" w:type="pct"/>
            <w:vMerge w:val="continue"/>
            <w:vAlign w:val="center"/>
          </w:tcPr>
          <w:p>
            <w:pPr>
              <w:ind w:firstLine="0" w:firstLineChars="0"/>
              <w:jc w:val="center"/>
              <w:rPr>
                <w:sz w:val="30"/>
                <w:szCs w:val="30"/>
              </w:rPr>
            </w:pPr>
          </w:p>
        </w:tc>
        <w:tc>
          <w:tcPr>
            <w:tcW w:w="2318" w:type="pct"/>
            <w:vAlign w:val="center"/>
          </w:tcPr>
          <w:p>
            <w:pPr>
              <w:ind w:firstLine="0" w:firstLineChars="0"/>
              <w:jc w:val="center"/>
              <w:rPr>
                <w:sz w:val="30"/>
                <w:szCs w:val="30"/>
              </w:rPr>
            </w:pPr>
            <w:r>
              <w:rPr>
                <w:sz w:val="30"/>
                <w:szCs w:val="30"/>
              </w:rPr>
              <w:t>使用登记证编号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 w:type="pct"/>
            <w:vAlign w:val="center"/>
          </w:tcPr>
          <w:p>
            <w:pPr>
              <w:ind w:firstLine="0" w:firstLineChars="0"/>
              <w:jc w:val="center"/>
              <w:rPr>
                <w:sz w:val="30"/>
                <w:szCs w:val="30"/>
              </w:rPr>
            </w:pPr>
            <w:r>
              <w:rPr>
                <w:sz w:val="30"/>
                <w:szCs w:val="30"/>
              </w:rPr>
              <w:t>35</w:t>
            </w:r>
          </w:p>
        </w:tc>
        <w:tc>
          <w:tcPr>
            <w:tcW w:w="995" w:type="pct"/>
            <w:vMerge w:val="restart"/>
            <w:vAlign w:val="center"/>
          </w:tcPr>
          <w:p>
            <w:pPr>
              <w:ind w:firstLine="0" w:firstLineChars="0"/>
              <w:jc w:val="center"/>
              <w:rPr>
                <w:sz w:val="30"/>
                <w:szCs w:val="30"/>
              </w:rPr>
            </w:pPr>
            <w:r>
              <w:rPr>
                <w:rFonts w:hint="eastAsia"/>
                <w:sz w:val="30"/>
                <w:szCs w:val="30"/>
              </w:rPr>
              <w:t>相关文件</w:t>
            </w:r>
          </w:p>
        </w:tc>
        <w:tc>
          <w:tcPr>
            <w:tcW w:w="1219" w:type="pct"/>
            <w:vMerge w:val="restart"/>
            <w:vAlign w:val="center"/>
          </w:tcPr>
          <w:p>
            <w:pPr>
              <w:ind w:firstLine="0" w:firstLineChars="0"/>
              <w:jc w:val="center"/>
              <w:rPr>
                <w:sz w:val="30"/>
                <w:szCs w:val="30"/>
              </w:rPr>
            </w:pPr>
            <w:r>
              <w:rPr>
                <w:rFonts w:hint="eastAsia"/>
                <w:sz w:val="30"/>
                <w:szCs w:val="30"/>
              </w:rPr>
              <w:t>上传材料</w:t>
            </w:r>
          </w:p>
        </w:tc>
        <w:tc>
          <w:tcPr>
            <w:tcW w:w="2318" w:type="pct"/>
            <w:vAlign w:val="center"/>
          </w:tcPr>
          <w:p>
            <w:pPr>
              <w:ind w:firstLine="0" w:firstLineChars="0"/>
              <w:jc w:val="center"/>
              <w:rPr>
                <w:sz w:val="30"/>
                <w:szCs w:val="30"/>
              </w:rPr>
            </w:pPr>
            <w:r>
              <w:rPr>
                <w:sz w:val="30"/>
                <w:szCs w:val="30"/>
              </w:rPr>
              <w:t>使用登记表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 w:type="pct"/>
            <w:vAlign w:val="center"/>
          </w:tcPr>
          <w:p>
            <w:pPr>
              <w:ind w:firstLine="0" w:firstLineChars="0"/>
              <w:jc w:val="center"/>
              <w:rPr>
                <w:sz w:val="30"/>
                <w:szCs w:val="30"/>
              </w:rPr>
            </w:pPr>
            <w:r>
              <w:rPr>
                <w:sz w:val="30"/>
                <w:szCs w:val="30"/>
              </w:rPr>
              <w:t>36</w:t>
            </w:r>
          </w:p>
        </w:tc>
        <w:tc>
          <w:tcPr>
            <w:tcW w:w="995" w:type="pct"/>
            <w:vMerge w:val="continue"/>
            <w:vAlign w:val="center"/>
          </w:tcPr>
          <w:p>
            <w:pPr>
              <w:ind w:firstLine="0" w:firstLineChars="0"/>
              <w:jc w:val="center"/>
              <w:rPr>
                <w:sz w:val="30"/>
                <w:szCs w:val="30"/>
              </w:rPr>
            </w:pPr>
          </w:p>
        </w:tc>
        <w:tc>
          <w:tcPr>
            <w:tcW w:w="1219" w:type="pct"/>
            <w:vMerge w:val="continue"/>
            <w:vAlign w:val="center"/>
          </w:tcPr>
          <w:p>
            <w:pPr>
              <w:ind w:firstLine="0" w:firstLineChars="0"/>
              <w:jc w:val="center"/>
              <w:rPr>
                <w:sz w:val="30"/>
                <w:szCs w:val="30"/>
              </w:rPr>
            </w:pPr>
          </w:p>
        </w:tc>
        <w:tc>
          <w:tcPr>
            <w:tcW w:w="2318" w:type="pct"/>
            <w:vAlign w:val="center"/>
          </w:tcPr>
          <w:p>
            <w:pPr>
              <w:ind w:firstLine="0" w:firstLineChars="0"/>
              <w:jc w:val="center"/>
              <w:rPr>
                <w:sz w:val="30"/>
                <w:szCs w:val="30"/>
              </w:rPr>
            </w:pPr>
            <w:r>
              <w:rPr>
                <w:sz w:val="30"/>
                <w:szCs w:val="30"/>
              </w:rPr>
              <w:t>含有使用单位统一社会信用代码的证明或者个人身份证明（适用于公民个人所有的特种设备）复印件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 w:type="pct"/>
            <w:vAlign w:val="center"/>
          </w:tcPr>
          <w:p>
            <w:pPr>
              <w:ind w:firstLine="0" w:firstLineChars="0"/>
              <w:jc w:val="center"/>
              <w:rPr>
                <w:sz w:val="30"/>
                <w:szCs w:val="30"/>
              </w:rPr>
            </w:pPr>
            <w:r>
              <w:rPr>
                <w:sz w:val="30"/>
                <w:szCs w:val="30"/>
              </w:rPr>
              <w:t>37</w:t>
            </w:r>
          </w:p>
        </w:tc>
        <w:tc>
          <w:tcPr>
            <w:tcW w:w="995" w:type="pct"/>
            <w:vMerge w:val="continue"/>
            <w:vAlign w:val="center"/>
          </w:tcPr>
          <w:p>
            <w:pPr>
              <w:ind w:firstLine="0" w:firstLineChars="0"/>
              <w:jc w:val="center"/>
              <w:rPr>
                <w:sz w:val="30"/>
                <w:szCs w:val="30"/>
              </w:rPr>
            </w:pPr>
          </w:p>
        </w:tc>
        <w:tc>
          <w:tcPr>
            <w:tcW w:w="1219" w:type="pct"/>
            <w:vMerge w:val="continue"/>
            <w:vAlign w:val="center"/>
          </w:tcPr>
          <w:p>
            <w:pPr>
              <w:ind w:firstLine="0" w:firstLineChars="0"/>
              <w:jc w:val="center"/>
              <w:rPr>
                <w:sz w:val="30"/>
                <w:szCs w:val="30"/>
              </w:rPr>
            </w:pPr>
          </w:p>
        </w:tc>
        <w:tc>
          <w:tcPr>
            <w:tcW w:w="2318" w:type="pct"/>
            <w:vAlign w:val="center"/>
          </w:tcPr>
          <w:p>
            <w:pPr>
              <w:ind w:firstLine="0" w:firstLineChars="0"/>
              <w:jc w:val="center"/>
              <w:rPr>
                <w:sz w:val="30"/>
                <w:szCs w:val="30"/>
              </w:rPr>
            </w:pPr>
            <w:r>
              <w:rPr>
                <w:sz w:val="30"/>
                <w:szCs w:val="30"/>
              </w:rPr>
              <w:t>特种设备产品合格证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 w:type="pct"/>
            <w:vAlign w:val="center"/>
          </w:tcPr>
          <w:p>
            <w:pPr>
              <w:ind w:firstLine="0" w:firstLineChars="0"/>
              <w:jc w:val="center"/>
              <w:rPr>
                <w:sz w:val="30"/>
                <w:szCs w:val="30"/>
              </w:rPr>
            </w:pPr>
            <w:r>
              <w:rPr>
                <w:sz w:val="30"/>
                <w:szCs w:val="30"/>
              </w:rPr>
              <w:t>38</w:t>
            </w:r>
          </w:p>
        </w:tc>
        <w:tc>
          <w:tcPr>
            <w:tcW w:w="995" w:type="pct"/>
            <w:vMerge w:val="continue"/>
            <w:vAlign w:val="center"/>
          </w:tcPr>
          <w:p>
            <w:pPr>
              <w:ind w:firstLine="0" w:firstLineChars="0"/>
              <w:jc w:val="center"/>
              <w:rPr>
                <w:sz w:val="30"/>
                <w:szCs w:val="30"/>
              </w:rPr>
            </w:pPr>
          </w:p>
        </w:tc>
        <w:tc>
          <w:tcPr>
            <w:tcW w:w="1219" w:type="pct"/>
            <w:vMerge w:val="continue"/>
            <w:vAlign w:val="center"/>
          </w:tcPr>
          <w:p>
            <w:pPr>
              <w:ind w:firstLine="0" w:firstLineChars="0"/>
              <w:jc w:val="center"/>
              <w:rPr>
                <w:sz w:val="30"/>
                <w:szCs w:val="30"/>
              </w:rPr>
            </w:pPr>
          </w:p>
        </w:tc>
        <w:tc>
          <w:tcPr>
            <w:tcW w:w="2318" w:type="pct"/>
            <w:vAlign w:val="center"/>
          </w:tcPr>
          <w:p>
            <w:pPr>
              <w:ind w:firstLine="0" w:firstLineChars="0"/>
              <w:jc w:val="center"/>
              <w:rPr>
                <w:sz w:val="30"/>
                <w:szCs w:val="30"/>
              </w:rPr>
            </w:pPr>
            <w:r>
              <w:rPr>
                <w:sz w:val="30"/>
                <w:szCs w:val="30"/>
              </w:rPr>
              <w:t>特种设备产品数据表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 w:type="pct"/>
            <w:vAlign w:val="center"/>
          </w:tcPr>
          <w:p>
            <w:pPr>
              <w:ind w:firstLine="0" w:firstLineChars="0"/>
              <w:jc w:val="center"/>
              <w:rPr>
                <w:sz w:val="30"/>
                <w:szCs w:val="30"/>
              </w:rPr>
            </w:pPr>
            <w:r>
              <w:rPr>
                <w:sz w:val="30"/>
                <w:szCs w:val="30"/>
              </w:rPr>
              <w:t>39</w:t>
            </w:r>
          </w:p>
        </w:tc>
        <w:tc>
          <w:tcPr>
            <w:tcW w:w="995" w:type="pct"/>
            <w:vMerge w:val="continue"/>
            <w:vAlign w:val="center"/>
          </w:tcPr>
          <w:p>
            <w:pPr>
              <w:ind w:firstLine="0" w:firstLineChars="0"/>
              <w:jc w:val="center"/>
              <w:rPr>
                <w:sz w:val="30"/>
                <w:szCs w:val="30"/>
              </w:rPr>
            </w:pPr>
          </w:p>
        </w:tc>
        <w:tc>
          <w:tcPr>
            <w:tcW w:w="1219" w:type="pct"/>
            <w:vMerge w:val="continue"/>
            <w:vAlign w:val="center"/>
          </w:tcPr>
          <w:p>
            <w:pPr>
              <w:ind w:firstLine="0" w:firstLineChars="0"/>
              <w:jc w:val="center"/>
              <w:rPr>
                <w:sz w:val="30"/>
                <w:szCs w:val="30"/>
              </w:rPr>
            </w:pPr>
          </w:p>
        </w:tc>
        <w:tc>
          <w:tcPr>
            <w:tcW w:w="2318" w:type="pct"/>
            <w:vAlign w:val="center"/>
          </w:tcPr>
          <w:p>
            <w:pPr>
              <w:ind w:firstLine="0" w:firstLineChars="0"/>
              <w:jc w:val="center"/>
              <w:rPr>
                <w:sz w:val="30"/>
                <w:szCs w:val="30"/>
              </w:rPr>
            </w:pPr>
            <w:r>
              <w:rPr>
                <w:sz w:val="30"/>
                <w:szCs w:val="30"/>
              </w:rPr>
              <w:t>有效期内的检验报告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 w:type="pct"/>
            <w:vAlign w:val="center"/>
          </w:tcPr>
          <w:p>
            <w:pPr>
              <w:ind w:firstLine="0" w:firstLineChars="0"/>
              <w:jc w:val="center"/>
              <w:rPr>
                <w:sz w:val="30"/>
                <w:szCs w:val="30"/>
              </w:rPr>
            </w:pPr>
            <w:r>
              <w:rPr>
                <w:sz w:val="30"/>
                <w:szCs w:val="30"/>
              </w:rPr>
              <w:t>40</w:t>
            </w:r>
          </w:p>
        </w:tc>
        <w:tc>
          <w:tcPr>
            <w:tcW w:w="995" w:type="pct"/>
            <w:vMerge w:val="continue"/>
            <w:vAlign w:val="center"/>
          </w:tcPr>
          <w:p>
            <w:pPr>
              <w:ind w:firstLine="0" w:firstLineChars="0"/>
              <w:jc w:val="center"/>
              <w:rPr>
                <w:sz w:val="30"/>
                <w:szCs w:val="30"/>
              </w:rPr>
            </w:pPr>
          </w:p>
        </w:tc>
        <w:tc>
          <w:tcPr>
            <w:tcW w:w="1219" w:type="pct"/>
            <w:vMerge w:val="continue"/>
            <w:vAlign w:val="center"/>
          </w:tcPr>
          <w:p>
            <w:pPr>
              <w:ind w:firstLine="0" w:firstLineChars="0"/>
              <w:jc w:val="center"/>
              <w:rPr>
                <w:sz w:val="30"/>
                <w:szCs w:val="30"/>
              </w:rPr>
            </w:pPr>
          </w:p>
        </w:tc>
        <w:tc>
          <w:tcPr>
            <w:tcW w:w="2318" w:type="pct"/>
            <w:vAlign w:val="center"/>
          </w:tcPr>
          <w:p>
            <w:pPr>
              <w:ind w:firstLine="0" w:firstLineChars="0"/>
              <w:jc w:val="center"/>
              <w:rPr>
                <w:sz w:val="30"/>
                <w:szCs w:val="30"/>
              </w:rPr>
            </w:pPr>
            <w:r>
              <w:rPr>
                <w:rFonts w:hint="eastAsia"/>
                <w:sz w:val="30"/>
                <w:szCs w:val="30"/>
              </w:rPr>
              <w:t>跨区域</w:t>
            </w:r>
            <w:r>
              <w:rPr>
                <w:sz w:val="30"/>
                <w:szCs w:val="30"/>
              </w:rPr>
              <w:t>移入设备原登记表及变更证明</w:t>
            </w:r>
            <w:r>
              <w:rPr>
                <w:rFonts w:hint="eastAsia"/>
                <w:sz w:val="30"/>
                <w:szCs w:val="30"/>
              </w:rPr>
              <w:t>（选填）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 w:type="pct"/>
            <w:vAlign w:val="center"/>
          </w:tcPr>
          <w:p>
            <w:pPr>
              <w:ind w:firstLine="0" w:firstLineChars="0"/>
              <w:jc w:val="center"/>
              <w:rPr>
                <w:sz w:val="30"/>
                <w:szCs w:val="30"/>
              </w:rPr>
            </w:pPr>
            <w:r>
              <w:rPr>
                <w:rFonts w:hint="eastAsia"/>
                <w:sz w:val="30"/>
                <w:szCs w:val="30"/>
              </w:rPr>
              <w:t>41</w:t>
            </w:r>
          </w:p>
        </w:tc>
        <w:tc>
          <w:tcPr>
            <w:tcW w:w="995" w:type="pct"/>
            <w:vAlign w:val="center"/>
          </w:tcPr>
          <w:p>
            <w:pPr>
              <w:ind w:firstLine="0" w:firstLineChars="0"/>
              <w:jc w:val="center"/>
              <w:rPr>
                <w:sz w:val="30"/>
                <w:szCs w:val="30"/>
              </w:rPr>
            </w:pPr>
            <w:r>
              <w:rPr>
                <w:rFonts w:hint="eastAsia"/>
                <w:sz w:val="30"/>
                <w:szCs w:val="30"/>
              </w:rPr>
              <w:t>设备参数</w:t>
            </w:r>
          </w:p>
        </w:tc>
        <w:tc>
          <w:tcPr>
            <w:tcW w:w="1219" w:type="pct"/>
            <w:vAlign w:val="center"/>
          </w:tcPr>
          <w:p>
            <w:pPr>
              <w:ind w:firstLine="0" w:firstLineChars="0"/>
              <w:jc w:val="center"/>
              <w:rPr>
                <w:sz w:val="30"/>
                <w:szCs w:val="30"/>
              </w:rPr>
            </w:pPr>
            <w:r>
              <w:rPr>
                <w:rFonts w:hint="eastAsia"/>
                <w:sz w:val="30"/>
                <w:szCs w:val="30"/>
              </w:rPr>
              <w:t>各类设备参数</w:t>
            </w:r>
          </w:p>
        </w:tc>
        <w:tc>
          <w:tcPr>
            <w:tcW w:w="2318" w:type="pct"/>
            <w:vAlign w:val="center"/>
          </w:tcPr>
          <w:p>
            <w:pPr>
              <w:ind w:firstLine="0" w:firstLineChars="0"/>
              <w:rPr>
                <w:sz w:val="30"/>
                <w:szCs w:val="30"/>
              </w:rPr>
            </w:pPr>
            <w:r>
              <w:rPr>
                <w:sz w:val="30"/>
                <w:szCs w:val="30"/>
              </w:rPr>
              <w:t>产品数据表</w:t>
            </w:r>
            <w:r>
              <w:rPr>
                <w:rFonts w:hint="eastAsia"/>
                <w:sz w:val="30"/>
                <w:szCs w:val="30"/>
              </w:rPr>
              <w:t>数据（详见前文设备库设备参数表内容）</w:t>
            </w:r>
          </w:p>
        </w:tc>
      </w:tr>
    </w:tbl>
    <w:p>
      <w:pPr>
        <w:ind w:left="640" w:leftChars="200" w:firstLine="0" w:firstLineChars="0"/>
      </w:pPr>
      <w:r>
        <w:rPr>
          <w:rFonts w:hint="eastAsia"/>
        </w:rPr>
        <w:t>注：1.更多上传附件以当地监管机构要求为准；</w:t>
      </w:r>
    </w:p>
    <w:p>
      <w:pPr>
        <w:numPr>
          <w:ilvl w:val="0"/>
          <w:numId w:val="11"/>
        </w:numPr>
        <w:ind w:left="640" w:leftChars="200" w:firstLine="640"/>
      </w:pPr>
      <w:r>
        <w:rPr>
          <w:rFonts w:hint="eastAsia"/>
        </w:rPr>
        <w:t>其中锅炉办理使用登记证需上传能效证明文件。</w:t>
      </w:r>
    </w:p>
    <w:p>
      <w:pPr>
        <w:ind w:left="640" w:leftChars="200" w:firstLine="0" w:firstLineChars="0"/>
      </w:pPr>
    </w:p>
    <w:p>
      <w:pPr>
        <w:pStyle w:val="7"/>
        <w:ind w:firstLine="643"/>
      </w:pPr>
      <w:r>
        <w:rPr>
          <w:rFonts w:hint="eastAsia"/>
        </w:rPr>
        <w:t>受理</w:t>
      </w:r>
    </w:p>
    <w:p>
      <w:pPr>
        <w:ind w:firstLine="640"/>
      </w:pPr>
      <w:r>
        <w:t>登记机关收到使用单位提交的申请资料后，能够当场办理的，应当当场作出受理或者</w:t>
      </w:r>
      <w:r>
        <w:rPr>
          <w:rFonts w:hint="eastAsia"/>
        </w:rPr>
        <w:t>告知不予受理的决定</w:t>
      </w:r>
      <w:r>
        <w:t>；不能当场办理的，应当在5个工作日内作出受理或者不予受理的</w:t>
      </w:r>
      <w:r>
        <w:rPr>
          <w:rFonts w:hint="eastAsia"/>
        </w:rPr>
        <w:t>告知</w:t>
      </w:r>
      <w:r>
        <w:t>。申请资料不符合规定时，应当一次性告知需要补正的全部内容。</w:t>
      </w:r>
    </w:p>
    <w:p>
      <w:pPr>
        <w:numPr>
          <w:ilvl w:val="0"/>
          <w:numId w:val="12"/>
        </w:numPr>
        <w:ind w:firstLine="640"/>
      </w:pPr>
      <w:r>
        <w:rPr>
          <w:rFonts w:hint="eastAsia"/>
        </w:rPr>
        <w:t>现场受理</w:t>
      </w:r>
    </w:p>
    <w:p>
      <w:pPr>
        <w:ind w:firstLine="640"/>
      </w:pPr>
      <w:r>
        <w:rPr>
          <w:rFonts w:hint="eastAsia"/>
        </w:rPr>
        <w:t>现场受理由受理人员现场判定是否受理，如进行受理则现场通过监管端点击新增完成申报资料的录入和提交。</w:t>
      </w:r>
    </w:p>
    <w:p>
      <w:pPr>
        <w:numPr>
          <w:ilvl w:val="0"/>
          <w:numId w:val="12"/>
        </w:numPr>
        <w:ind w:firstLine="640"/>
      </w:pPr>
      <w:r>
        <w:rPr>
          <w:rFonts w:hint="eastAsia"/>
        </w:rPr>
        <w:t>线上受理</w:t>
      </w:r>
    </w:p>
    <w:p>
      <w:pPr>
        <w:ind w:firstLine="640"/>
      </w:pPr>
      <w:r>
        <w:rPr>
          <w:rFonts w:hint="eastAsia"/>
        </w:rPr>
        <w:t>登记机关接收使用登记证申办资料后可进行点击查看，并比对相关资料，如发现不予受理的点击相关按钮进行不予受理的相关文件出具，并发送至使用单位，也可打印后进行文件发放。</w:t>
      </w:r>
    </w:p>
    <w:p>
      <w:pPr>
        <w:ind w:firstLine="640"/>
        <w:rPr>
          <w:color w:val="FF0000"/>
        </w:rPr>
      </w:pPr>
      <w:r>
        <w:rPr>
          <w:rFonts w:hint="eastAsia"/>
        </w:rPr>
        <w:t>如发现资料不齐或不符时可点击进行提醒，相关信息将会发送至相关使用单位进行修正补报操作，并通过短信等方式进行提醒。</w:t>
      </w:r>
    </w:p>
    <w:p>
      <w:pPr>
        <w:pStyle w:val="7"/>
        <w:ind w:firstLine="643"/>
      </w:pPr>
      <w:r>
        <w:rPr>
          <w:rFonts w:hint="eastAsia"/>
        </w:rPr>
        <w:t>审查</w:t>
      </w:r>
    </w:p>
    <w:p>
      <w:pPr>
        <w:ind w:firstLine="640"/>
      </w:pPr>
      <w:r>
        <w:t>自受理之日起15个工作日内，登记机关应当完成审查、发证或者出具不予登记的决定，对于一次申请登记数量超过50台或者按单位办理使用登记证的可以延长至20个工作日。不予登记的，出具不予登记的决定，并且告知不予登记的理由。登记机关对申请资料有疑问的可以对各种设备进行现场核查。进行现场核查的，办理使用登记日期可以延长至20个工作日。准予登记的特种设备，登记机关应当按照《特种设备使用登记证编号编制方法》编制使用登记证编号，签发使用登记证，并且在使用登记表最后一栏签署意见、盖章。</w:t>
      </w:r>
    </w:p>
    <w:p>
      <w:pPr>
        <w:ind w:firstLine="640"/>
      </w:pPr>
      <w:r>
        <w:rPr>
          <w:rFonts w:hint="eastAsia"/>
        </w:rPr>
        <w:t>1）使用登记证编号编制方式</w:t>
      </w:r>
    </w:p>
    <w:p>
      <w:pPr>
        <w:ind w:firstLine="640"/>
      </w:pPr>
      <w:r>
        <w:t>特种设备使用登记证编号由登记机关在颁发《特种设备使用登记证》时编制。使用登记证编号由设备特种代号、登记机关代号、登记顺序号、登记年份组成，包括</w:t>
      </w:r>
      <w:r>
        <w:rPr>
          <w:rFonts w:hint="eastAsia"/>
        </w:rPr>
        <w:t>汉字</w:t>
      </w:r>
      <w:r>
        <w:t>、拼音字母与阿拉伯数字。</w:t>
      </w:r>
    </w:p>
    <w:p>
      <w:pPr>
        <w:ind w:firstLine="640"/>
      </w:pPr>
      <w:r>
        <w:rPr>
          <w:rFonts w:hint="eastAsia"/>
        </w:rPr>
        <w:t>2）使用登记证编号含义</w:t>
      </w:r>
    </w:p>
    <w:p>
      <w:pPr>
        <w:ind w:firstLine="640"/>
      </w:pPr>
      <w:r>
        <w:rPr>
          <w:rFonts w:hint="eastAsia"/>
        </w:rPr>
        <w:t>特征代号</w:t>
      </w:r>
    </w:p>
    <w:p>
      <w:pPr>
        <w:ind w:firstLine="640"/>
      </w:pPr>
      <w:r>
        <w:rPr>
          <w:rFonts w:hint="eastAsia"/>
        </w:rPr>
        <w:t>两部分，第一部分为设备种类的简称表示，其中锅炉为锅，压力容器为容，压力管道为管，气瓶为瓶，电梯为梯，起重机械-为起，客运索道为索，大型游乐设施为游，场（厂）内专用机动车辆为车。第二部分为两位阿拉伯数字，取《特种设备目录》设备基本代码的中间两位数表示</w:t>
      </w:r>
    </w:p>
    <w:p>
      <w:pPr>
        <w:ind w:firstLine="640"/>
      </w:pPr>
      <w:r>
        <w:rPr>
          <w:rFonts w:hint="eastAsia"/>
        </w:rPr>
        <w:t>登记机关代号</w:t>
      </w:r>
    </w:p>
    <w:p>
      <w:pPr>
        <w:ind w:firstLine="640"/>
      </w:pPr>
      <w:r>
        <w:t>第一部分为省、自治区、直辖市代号。第二部分为社区的市代号，编排方式按照该市在GB/T2260《中华人民共和国行政区划代码》中本省的排列顺序，用拼音字母A、B、C等一次作为简称编写代号。</w:t>
      </w:r>
    </w:p>
    <w:p>
      <w:pPr>
        <w:ind w:firstLine="640"/>
      </w:pPr>
      <w:r>
        <w:rPr>
          <w:rFonts w:hint="eastAsia"/>
        </w:rPr>
        <w:t>登记顺序号</w:t>
      </w:r>
    </w:p>
    <w:p>
      <w:pPr>
        <w:ind w:firstLine="640"/>
      </w:pPr>
      <w:r>
        <w:t>用五位阿拉伯数字表示，以颁发该类特种设备使用登记证的登记序号。如序号超过99999，首位可顺序使用大写的拼音字母ABC等代替。</w:t>
      </w:r>
    </w:p>
    <w:p>
      <w:pPr>
        <w:ind w:firstLine="640"/>
      </w:pPr>
      <w:r>
        <w:rPr>
          <w:rFonts w:hint="eastAsia"/>
        </w:rPr>
        <w:t>登记年份</w:t>
      </w:r>
    </w:p>
    <w:p>
      <w:pPr>
        <w:ind w:firstLine="640"/>
      </w:pPr>
      <w:r>
        <w:t>用两位阿拉伯数字表示该设备的登记年份，并且加”（）“（括号为半角形式）。</w:t>
      </w:r>
    </w:p>
    <w:p>
      <w:pPr>
        <w:pStyle w:val="7"/>
        <w:ind w:firstLine="643"/>
      </w:pPr>
      <w:r>
        <w:rPr>
          <w:rFonts w:hint="eastAsia"/>
        </w:rPr>
        <w:t>打印发放</w:t>
      </w:r>
    </w:p>
    <w:p>
      <w:pPr>
        <w:ind w:firstLine="640"/>
      </w:pPr>
      <w:r>
        <w:rPr>
          <w:rFonts w:hint="eastAsia"/>
        </w:rPr>
        <w:t>使用登记证的打印发放是</w:t>
      </w:r>
      <w:r>
        <w:t>审查通过后打印使用登记证</w:t>
      </w:r>
      <w:r>
        <w:rPr>
          <w:rFonts w:hint="eastAsia"/>
        </w:rPr>
        <w:t>，</w:t>
      </w:r>
      <w:r>
        <w:t>根据企业预留联系方式进行通知并根据预留领取方式进行登记证签发。</w:t>
      </w:r>
      <w:r>
        <w:rPr>
          <w:rFonts w:hint="eastAsia"/>
        </w:rPr>
        <w:t>包括使用登记证的打印、补打、发放记录等。</w:t>
      </w:r>
    </w:p>
    <w:p>
      <w:pPr>
        <w:ind w:firstLine="640"/>
      </w:pPr>
      <w:r>
        <w:rPr>
          <w:rFonts w:hint="eastAsia"/>
        </w:rPr>
        <w:t>特种设备使用标志上的二维码区域关联设备安全码，进行打印。</w:t>
      </w:r>
    </w:p>
    <w:p>
      <w:pPr>
        <w:pStyle w:val="6"/>
        <w:numPr>
          <w:ilvl w:val="0"/>
          <w:numId w:val="13"/>
        </w:numPr>
        <w:ind w:firstLine="640"/>
      </w:pPr>
      <w:r>
        <w:rPr>
          <w:rFonts w:hint="eastAsia"/>
        </w:rPr>
        <w:t>按单位办理使用登记</w:t>
      </w:r>
    </w:p>
    <w:p>
      <w:pPr>
        <w:ind w:firstLine="640"/>
      </w:pPr>
      <w:r>
        <w:rPr>
          <w:rFonts w:hint="eastAsia"/>
        </w:rPr>
        <w:t>按单位办理使用登记主要是指工业管道的使用登记办理，气瓶部分不做办理，只做数据统计汇总。</w:t>
      </w:r>
    </w:p>
    <w:p>
      <w:pPr>
        <w:ind w:firstLine="640"/>
      </w:pPr>
      <w:r>
        <w:rPr>
          <w:rFonts w:hint="eastAsia"/>
        </w:rPr>
        <w:t>按单位办理使用登记应向登记机关提交以下相应资料：</w:t>
      </w:r>
    </w:p>
    <w:p>
      <w:pPr>
        <w:numPr>
          <w:ilvl w:val="0"/>
          <w:numId w:val="14"/>
        </w:numPr>
        <w:ind w:firstLine="220" w:firstLineChars="0"/>
      </w:pPr>
      <w:r>
        <w:rPr>
          <w:rFonts w:hint="eastAsia"/>
        </w:rPr>
        <w:t>使用登记表；</w:t>
      </w:r>
    </w:p>
    <w:p>
      <w:pPr>
        <w:numPr>
          <w:ilvl w:val="0"/>
          <w:numId w:val="14"/>
        </w:numPr>
        <w:ind w:firstLine="220" w:firstLineChars="0"/>
      </w:pPr>
      <w:r>
        <w:rPr>
          <w:rFonts w:hint="eastAsia"/>
        </w:rPr>
        <w:t>含有使用单位统一社会信用代码的证明；</w:t>
      </w:r>
    </w:p>
    <w:p>
      <w:pPr>
        <w:numPr>
          <w:ilvl w:val="0"/>
          <w:numId w:val="14"/>
        </w:numPr>
        <w:ind w:firstLine="220" w:firstLineChars="0"/>
      </w:pPr>
      <w:r>
        <w:rPr>
          <w:rFonts w:hint="eastAsia"/>
        </w:rPr>
        <w:t>监督检验、定期检验证明；</w:t>
      </w:r>
    </w:p>
    <w:p>
      <w:pPr>
        <w:numPr>
          <w:ilvl w:val="0"/>
          <w:numId w:val="14"/>
        </w:numPr>
        <w:ind w:firstLine="220" w:firstLineChars="0"/>
      </w:pPr>
      <w:r>
        <w:rPr>
          <w:rFonts w:hint="eastAsia"/>
        </w:rPr>
        <w:t>工业管道使用单位提供《压力管道基本信息汇总表——工业管道》；</w:t>
      </w:r>
    </w:p>
    <w:p>
      <w:pPr>
        <w:ind w:left="640" w:firstLine="0" w:firstLineChars="0"/>
      </w:pPr>
      <w:r>
        <w:rPr>
          <w:rFonts w:hint="eastAsia"/>
        </w:rPr>
        <w:t>使用登记表：</w:t>
      </w:r>
    </w:p>
    <w:tbl>
      <w:tblPr>
        <w:tblStyle w:val="28"/>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93"/>
        <w:gridCol w:w="2336"/>
        <w:gridCol w:w="1740"/>
        <w:gridCol w:w="1758"/>
        <w:gridCol w:w="21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4" w:type="pct"/>
          </w:tcPr>
          <w:p>
            <w:pPr>
              <w:ind w:firstLine="0" w:firstLineChars="0"/>
            </w:pPr>
            <w:r>
              <w:rPr>
                <w:rFonts w:hint="eastAsia"/>
              </w:rPr>
              <w:t>登记类别</w:t>
            </w:r>
          </w:p>
        </w:tc>
        <w:tc>
          <w:tcPr>
            <w:tcW w:w="4395" w:type="pct"/>
            <w:gridSpan w:val="4"/>
          </w:tcPr>
          <w:p>
            <w:pPr>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4" w:type="pct"/>
            <w:vMerge w:val="restart"/>
          </w:tcPr>
          <w:p>
            <w:pPr>
              <w:ind w:firstLine="0" w:firstLineChars="0"/>
            </w:pPr>
            <w:r>
              <w:rPr>
                <w:rFonts w:hint="eastAsia"/>
              </w:rPr>
              <w:t>设备基本情况</w:t>
            </w:r>
          </w:p>
        </w:tc>
        <w:tc>
          <w:tcPr>
            <w:tcW w:w="1289" w:type="pct"/>
          </w:tcPr>
          <w:p>
            <w:pPr>
              <w:ind w:firstLine="0" w:firstLineChars="0"/>
            </w:pPr>
            <w:r>
              <w:rPr>
                <w:rFonts w:hint="eastAsia"/>
              </w:rPr>
              <w:t>设备类别</w:t>
            </w:r>
          </w:p>
        </w:tc>
        <w:tc>
          <w:tcPr>
            <w:tcW w:w="960" w:type="pct"/>
          </w:tcPr>
          <w:p>
            <w:pPr>
              <w:ind w:firstLine="0" w:firstLineChars="0"/>
            </w:pPr>
          </w:p>
        </w:tc>
        <w:tc>
          <w:tcPr>
            <w:tcW w:w="970" w:type="pct"/>
          </w:tcPr>
          <w:p>
            <w:pPr>
              <w:ind w:firstLine="0" w:firstLineChars="0"/>
            </w:pPr>
            <w:r>
              <w:rPr>
                <w:rFonts w:hint="eastAsia"/>
              </w:rPr>
              <w:t>设备品种</w:t>
            </w:r>
          </w:p>
        </w:tc>
        <w:tc>
          <w:tcPr>
            <w:tcW w:w="1174" w:type="pct"/>
          </w:tcPr>
          <w:p>
            <w:pPr>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4" w:type="pct"/>
            <w:vMerge w:val="continue"/>
          </w:tcPr>
          <w:p>
            <w:pPr>
              <w:ind w:firstLine="0" w:firstLineChars="0"/>
            </w:pPr>
          </w:p>
        </w:tc>
        <w:tc>
          <w:tcPr>
            <w:tcW w:w="1289" w:type="pct"/>
          </w:tcPr>
          <w:p>
            <w:pPr>
              <w:ind w:firstLine="0" w:firstLineChars="0"/>
            </w:pPr>
            <w:r>
              <w:rPr>
                <w:rFonts w:hint="eastAsia"/>
              </w:rPr>
              <w:t>产品名称</w:t>
            </w:r>
          </w:p>
        </w:tc>
        <w:tc>
          <w:tcPr>
            <w:tcW w:w="960" w:type="pct"/>
          </w:tcPr>
          <w:p>
            <w:pPr>
              <w:ind w:firstLine="0" w:firstLineChars="0"/>
            </w:pPr>
          </w:p>
        </w:tc>
        <w:tc>
          <w:tcPr>
            <w:tcW w:w="970" w:type="pct"/>
          </w:tcPr>
          <w:p>
            <w:pPr>
              <w:ind w:firstLine="0" w:firstLineChars="0"/>
            </w:pPr>
            <w:r>
              <w:rPr>
                <w:rFonts w:hint="eastAsia"/>
              </w:rPr>
              <w:t>设备数量</w:t>
            </w:r>
          </w:p>
        </w:tc>
        <w:tc>
          <w:tcPr>
            <w:tcW w:w="1174" w:type="pct"/>
          </w:tcPr>
          <w:p>
            <w:pPr>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4" w:type="pct"/>
            <w:vMerge w:val="restart"/>
          </w:tcPr>
          <w:p>
            <w:pPr>
              <w:ind w:firstLine="0" w:firstLineChars="0"/>
            </w:pPr>
            <w:r>
              <w:rPr>
                <w:rFonts w:hint="eastAsia"/>
              </w:rPr>
              <w:t>设备使用情况</w:t>
            </w:r>
          </w:p>
        </w:tc>
        <w:tc>
          <w:tcPr>
            <w:tcW w:w="1289" w:type="pct"/>
          </w:tcPr>
          <w:p>
            <w:pPr>
              <w:ind w:firstLine="0" w:firstLineChars="0"/>
            </w:pPr>
            <w:r>
              <w:rPr>
                <w:rFonts w:hint="eastAsia"/>
              </w:rPr>
              <w:t>使用单位名称</w:t>
            </w:r>
          </w:p>
        </w:tc>
        <w:tc>
          <w:tcPr>
            <w:tcW w:w="3105" w:type="pct"/>
            <w:gridSpan w:val="3"/>
          </w:tcPr>
          <w:p>
            <w:pPr>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4" w:type="pct"/>
            <w:vMerge w:val="continue"/>
          </w:tcPr>
          <w:p>
            <w:pPr>
              <w:ind w:firstLine="0" w:firstLineChars="0"/>
            </w:pPr>
          </w:p>
        </w:tc>
        <w:tc>
          <w:tcPr>
            <w:tcW w:w="1289" w:type="pct"/>
          </w:tcPr>
          <w:p>
            <w:pPr>
              <w:ind w:firstLine="0" w:firstLineChars="0"/>
            </w:pPr>
            <w:r>
              <w:rPr>
                <w:rFonts w:hint="eastAsia"/>
              </w:rPr>
              <w:t>使用单位地址</w:t>
            </w:r>
          </w:p>
        </w:tc>
        <w:tc>
          <w:tcPr>
            <w:tcW w:w="3105" w:type="pct"/>
            <w:gridSpan w:val="3"/>
          </w:tcPr>
          <w:p>
            <w:pPr>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4" w:type="pct"/>
            <w:vMerge w:val="continue"/>
          </w:tcPr>
          <w:p>
            <w:pPr>
              <w:ind w:firstLine="0" w:firstLineChars="0"/>
            </w:pPr>
          </w:p>
        </w:tc>
        <w:tc>
          <w:tcPr>
            <w:tcW w:w="1289" w:type="pct"/>
          </w:tcPr>
          <w:p>
            <w:pPr>
              <w:ind w:firstLine="0" w:firstLineChars="0"/>
            </w:pPr>
            <w:r>
              <w:rPr>
                <w:rFonts w:hint="eastAsia"/>
              </w:rPr>
              <w:t>设备使用地点</w:t>
            </w:r>
          </w:p>
        </w:tc>
        <w:tc>
          <w:tcPr>
            <w:tcW w:w="960" w:type="pct"/>
          </w:tcPr>
          <w:p>
            <w:pPr>
              <w:ind w:firstLine="0" w:firstLineChars="0"/>
            </w:pPr>
          </w:p>
        </w:tc>
        <w:tc>
          <w:tcPr>
            <w:tcW w:w="970" w:type="pct"/>
          </w:tcPr>
          <w:p>
            <w:pPr>
              <w:ind w:firstLine="0" w:firstLineChars="0"/>
            </w:pPr>
            <w:r>
              <w:rPr>
                <w:rFonts w:hint="eastAsia"/>
              </w:rPr>
              <w:t>单位固定电话</w:t>
            </w:r>
          </w:p>
        </w:tc>
        <w:tc>
          <w:tcPr>
            <w:tcW w:w="1174" w:type="pct"/>
          </w:tcPr>
          <w:p>
            <w:pPr>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4" w:type="pct"/>
            <w:vMerge w:val="continue"/>
          </w:tcPr>
          <w:p>
            <w:pPr>
              <w:ind w:firstLine="0" w:firstLineChars="0"/>
            </w:pPr>
          </w:p>
        </w:tc>
        <w:tc>
          <w:tcPr>
            <w:tcW w:w="1289" w:type="pct"/>
          </w:tcPr>
          <w:p>
            <w:pPr>
              <w:ind w:firstLine="0" w:firstLineChars="0"/>
            </w:pPr>
            <w:r>
              <w:rPr>
                <w:rFonts w:hint="eastAsia"/>
              </w:rPr>
              <w:t>使用单位统一社会信用代码</w:t>
            </w:r>
          </w:p>
        </w:tc>
        <w:tc>
          <w:tcPr>
            <w:tcW w:w="960" w:type="pct"/>
          </w:tcPr>
          <w:p>
            <w:pPr>
              <w:ind w:firstLine="0" w:firstLineChars="0"/>
            </w:pPr>
          </w:p>
        </w:tc>
        <w:tc>
          <w:tcPr>
            <w:tcW w:w="970" w:type="pct"/>
          </w:tcPr>
          <w:p>
            <w:pPr>
              <w:ind w:firstLine="0" w:firstLineChars="0"/>
            </w:pPr>
            <w:r>
              <w:rPr>
                <w:rFonts w:hint="eastAsia"/>
              </w:rPr>
              <w:t>邮政编码</w:t>
            </w:r>
          </w:p>
        </w:tc>
        <w:tc>
          <w:tcPr>
            <w:tcW w:w="1174" w:type="pct"/>
          </w:tcPr>
          <w:p>
            <w:pPr>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4" w:type="pct"/>
            <w:vMerge w:val="continue"/>
          </w:tcPr>
          <w:p>
            <w:pPr>
              <w:ind w:firstLine="0" w:firstLineChars="0"/>
            </w:pPr>
          </w:p>
        </w:tc>
        <w:tc>
          <w:tcPr>
            <w:tcW w:w="1289" w:type="pct"/>
          </w:tcPr>
          <w:p>
            <w:pPr>
              <w:ind w:firstLine="0" w:firstLineChars="0"/>
            </w:pPr>
            <w:r>
              <w:rPr>
                <w:rFonts w:hint="eastAsia"/>
              </w:rPr>
              <w:t>安全管理员</w:t>
            </w:r>
          </w:p>
        </w:tc>
        <w:tc>
          <w:tcPr>
            <w:tcW w:w="960" w:type="pct"/>
          </w:tcPr>
          <w:p>
            <w:pPr>
              <w:ind w:firstLine="0" w:firstLineChars="0"/>
            </w:pPr>
          </w:p>
        </w:tc>
        <w:tc>
          <w:tcPr>
            <w:tcW w:w="970" w:type="pct"/>
          </w:tcPr>
          <w:p>
            <w:pPr>
              <w:ind w:firstLine="0" w:firstLineChars="0"/>
            </w:pPr>
            <w:r>
              <w:rPr>
                <w:rFonts w:hint="eastAsia"/>
              </w:rPr>
              <w:t>移动电话</w:t>
            </w:r>
          </w:p>
        </w:tc>
        <w:tc>
          <w:tcPr>
            <w:tcW w:w="1174" w:type="pct"/>
          </w:tcPr>
          <w:p>
            <w:pPr>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gridSpan w:val="5"/>
          </w:tcPr>
          <w:p>
            <w:pPr>
              <w:ind w:firstLine="0" w:firstLineChars="0"/>
            </w:pPr>
            <w:r>
              <w:rPr>
                <w:rFonts w:hint="eastAsia"/>
              </w:rPr>
              <w:t xml:space="preserve">    在此申明：所有申报的内容真实；在使用过程中，将严格执行《中华人民共和国特种设备安全法》及相关规定，并且接受特种设备安全监督管理部门的监督管理。</w:t>
            </w:r>
          </w:p>
          <w:p>
            <w:pPr>
              <w:ind w:firstLine="640" w:firstLineChars="0"/>
            </w:pPr>
            <w:r>
              <w:rPr>
                <w:rFonts w:hint="eastAsia"/>
              </w:rPr>
              <w:t>附：压力管道（气瓶）基本信息汇总表</w:t>
            </w:r>
          </w:p>
          <w:p>
            <w:pPr>
              <w:ind w:firstLine="640" w:firstLineChars="0"/>
            </w:pPr>
          </w:p>
          <w:p>
            <w:pPr>
              <w:ind w:firstLine="640" w:firstLineChars="0"/>
            </w:pPr>
            <w:r>
              <w:rPr>
                <w:rFonts w:hint="eastAsia"/>
              </w:rPr>
              <w:t>使用单位填表人员：          日期：</w:t>
            </w:r>
          </w:p>
          <w:p>
            <w:pPr>
              <w:ind w:firstLine="0" w:firstLineChars="0"/>
            </w:pPr>
            <w:r>
              <w:rPr>
                <w:rFonts w:hint="eastAsia"/>
              </w:rPr>
              <w:t xml:space="preserve">使用单位安全管理人员：          日期：      </w:t>
            </w:r>
          </w:p>
          <w:p>
            <w:pPr>
              <w:ind w:firstLine="0" w:firstLineChars="0"/>
            </w:pPr>
            <w:r>
              <w:rPr>
                <w:rFonts w:hint="eastAsia"/>
              </w:rPr>
              <w:t xml:space="preserve">                                       （使用单位公章）</w:t>
            </w:r>
          </w:p>
          <w:p>
            <w:pPr>
              <w:ind w:firstLine="0" w:firstLineChars="0"/>
              <w:jc w:val="right"/>
            </w:pPr>
            <w:r>
              <w:rPr>
                <w:rFonts w:hint="eastAsia"/>
              </w:rPr>
              <w:t>年   月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gridSpan w:val="5"/>
          </w:tcPr>
          <w:p>
            <w:pPr>
              <w:ind w:firstLine="0" w:firstLineChars="0"/>
            </w:pPr>
            <w:r>
              <w:rPr>
                <w:rFonts w:hint="eastAsia"/>
              </w:rPr>
              <w:t>说明：</w:t>
            </w:r>
          </w:p>
          <w:p>
            <w:pPr>
              <w:ind w:firstLine="0" w:firstLineChars="0"/>
            </w:pPr>
          </w:p>
          <w:p>
            <w:pPr>
              <w:ind w:firstLine="0" w:firstLineChars="0"/>
            </w:pPr>
          </w:p>
          <w:p>
            <w:pPr>
              <w:ind w:firstLine="0" w:firstLineChars="0"/>
            </w:pPr>
            <w:r>
              <w:rPr>
                <w:rFonts w:hint="eastAsia"/>
              </w:rPr>
              <w:t xml:space="preserve">     登记机关登记人员：          日期：</w:t>
            </w:r>
          </w:p>
          <w:p>
            <w:pPr>
              <w:ind w:firstLine="0" w:firstLineChars="0"/>
              <w:jc w:val="right"/>
            </w:pPr>
            <w:r>
              <w:rPr>
                <w:rFonts w:hint="eastAsia"/>
              </w:rPr>
              <w:t>（登记机关专用章）</w:t>
            </w:r>
          </w:p>
          <w:p>
            <w:pPr>
              <w:ind w:firstLine="0" w:firstLineChars="0"/>
              <w:jc w:val="right"/>
            </w:pPr>
            <w:r>
              <w:rPr>
                <w:rFonts w:hint="eastAsia"/>
              </w:rPr>
              <w:t>年   月   日</w:t>
            </w:r>
          </w:p>
          <w:p>
            <w:pPr>
              <w:ind w:firstLine="0" w:firstLineChars="0"/>
            </w:pPr>
            <w:r>
              <w:rPr>
                <w:rFonts w:hint="eastAsia"/>
              </w:rPr>
              <w:t xml:space="preserve">       使用登记证编号：</w:t>
            </w:r>
          </w:p>
        </w:tc>
      </w:tr>
    </w:tbl>
    <w:p>
      <w:pPr>
        <w:ind w:left="640" w:firstLine="0" w:firstLineChars="0"/>
      </w:pPr>
    </w:p>
    <w:p>
      <w:pPr>
        <w:pStyle w:val="7"/>
        <w:numPr>
          <w:ilvl w:val="0"/>
          <w:numId w:val="15"/>
        </w:numPr>
        <w:ind w:firstLine="643"/>
      </w:pPr>
      <w:r>
        <w:rPr>
          <w:rFonts w:hint="eastAsia"/>
        </w:rPr>
        <w:t>使用登记（管道）</w:t>
      </w:r>
    </w:p>
    <w:p>
      <w:pPr>
        <w:ind w:firstLine="640"/>
      </w:pPr>
      <w:r>
        <w:rPr>
          <w:rFonts w:hint="eastAsia"/>
        </w:rPr>
        <w:t>工业管道以使用单位为对象向登记机关办理使用登记。管道的增加通过备案方式进行申报。</w:t>
      </w:r>
    </w:p>
    <w:p>
      <w:pPr>
        <w:ind w:firstLine="640"/>
      </w:pPr>
      <w:r>
        <w:rPr>
          <w:rFonts w:hint="eastAsia"/>
        </w:rPr>
        <w:t>压力管道基本信息汇总表如下：</w:t>
      </w:r>
    </w:p>
    <w:p>
      <w:pPr>
        <w:ind w:firstLine="0" w:firstLineChars="0"/>
      </w:pPr>
      <w:r>
        <w:drawing>
          <wp:anchor distT="0" distB="0" distL="114300" distR="114300" simplePos="0" relativeHeight="251668480" behindDoc="0" locked="0" layoutInCell="1" allowOverlap="1">
            <wp:simplePos x="0" y="0"/>
            <wp:positionH relativeFrom="column">
              <wp:posOffset>129540</wp:posOffset>
            </wp:positionH>
            <wp:positionV relativeFrom="paragraph">
              <wp:posOffset>193040</wp:posOffset>
            </wp:positionV>
            <wp:extent cx="5609590" cy="3810000"/>
            <wp:effectExtent l="0" t="0" r="13970" b="0"/>
            <wp:wrapTopAndBottom/>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19"/>
                    <a:stretch>
                      <a:fillRect/>
                    </a:stretch>
                  </pic:blipFill>
                  <pic:spPr>
                    <a:xfrm>
                      <a:off x="0" y="0"/>
                      <a:ext cx="5609590" cy="3810000"/>
                    </a:xfrm>
                    <a:prstGeom prst="rect">
                      <a:avLst/>
                    </a:prstGeom>
                    <a:noFill/>
                    <a:ln>
                      <a:noFill/>
                    </a:ln>
                  </pic:spPr>
                </pic:pic>
              </a:graphicData>
            </a:graphic>
          </wp:anchor>
        </w:drawing>
      </w:r>
    </w:p>
    <w:p>
      <w:pPr>
        <w:pStyle w:val="6"/>
        <w:numPr>
          <w:ilvl w:val="0"/>
          <w:numId w:val="13"/>
        </w:numPr>
        <w:ind w:firstLine="640"/>
      </w:pPr>
      <w:r>
        <w:rPr>
          <w:rFonts w:hint="eastAsia"/>
        </w:rPr>
        <w:t>移动式压力容器</w:t>
      </w:r>
    </w:p>
    <w:p>
      <w:pPr>
        <w:ind w:firstLine="640"/>
      </w:pPr>
      <w:r>
        <w:rPr>
          <w:rFonts w:hint="eastAsia"/>
        </w:rPr>
        <w:t>因移动式压力容器由国家平台进行申报，本系统对接国家平台相关数据进行管理查询。</w:t>
      </w:r>
    </w:p>
    <w:p>
      <w:pPr>
        <w:ind w:firstLine="640"/>
      </w:pPr>
    </w:p>
    <w:p>
      <w:pPr>
        <w:pStyle w:val="5"/>
        <w:ind w:firstLine="643"/>
        <w:rPr>
          <w:rFonts w:ascii="仿宋_GB2312" w:hAnsi="仿宋_GB2312" w:cs="仿宋_GB2312"/>
          <w:szCs w:val="32"/>
        </w:rPr>
      </w:pPr>
      <w:r>
        <w:rPr>
          <w:rFonts w:ascii="Times New Roman" w:hAnsi="Times New Roman" w:cs="Times New Roman"/>
          <w:szCs w:val="32"/>
        </w:rPr>
        <w:t>3.</w:t>
      </w:r>
      <w:r>
        <w:rPr>
          <w:rFonts w:hint="eastAsia" w:ascii="仿宋_GB2312" w:hAnsi="仿宋_GB2312" w:cs="仿宋_GB2312"/>
          <w:szCs w:val="32"/>
        </w:rPr>
        <w:t>设备变更</w:t>
      </w:r>
    </w:p>
    <w:p>
      <w:pPr>
        <w:ind w:firstLine="640"/>
      </w:pPr>
      <w:r>
        <w:rPr>
          <w:rFonts w:hint="eastAsia"/>
        </w:rPr>
        <w:t>设备变更主要包含设备变更使用登记办理及设备状态变更登记。设备变更使用登记主要指设备的改造、移装、变更使用单位、使用单位更名和达到设计使用年限继续使用，其中移装又分为在登记机关行政区域内移装和跨登记机关行政区域移装。状态变更主要是指设备的停用、启用、注销、报废。</w:t>
      </w:r>
    </w:p>
    <w:p>
      <w:pPr>
        <w:ind w:firstLine="640"/>
      </w:pPr>
      <w:r>
        <w:t>按台（套）登记的特种设备改造、移装、变更使用单位或者使用单位更名、达到设计使用年限继续使用的，按单位登记的特种设备变更使用单位或者使用单位更名的，相关单位应当向登记机关申请变更登记。登记机关按照特种设备使用管理规则规定办理变更登记。办理特种设备变更登记时，如果特种设备产品数据表中的有关数据发生变化，使用单位应当重新填写数据表。变更登记后的特种设备其设备代码保持不变。</w:t>
      </w:r>
    </w:p>
    <w:p>
      <w:pPr>
        <w:ind w:firstLine="640"/>
      </w:pPr>
      <w:r>
        <w:rPr>
          <w:rFonts w:hint="eastAsia"/>
        </w:rPr>
        <w:t>设备状态变更包括设备的停用、启用、注销、报废。系统将保留注销还原操作。所有状态变更均留有记录，方便后续进行查询，注销后设备信息仍予以保留。可对设备列表进行筛选查询并导出相关报表。</w:t>
      </w:r>
    </w:p>
    <w:p>
      <w:pPr>
        <w:pStyle w:val="6"/>
        <w:ind w:firstLine="640"/>
      </w:pPr>
      <w:r>
        <w:rPr>
          <w:rFonts w:hint="eastAsia"/>
        </w:rPr>
        <w:t>（1）改造变更</w:t>
      </w:r>
    </w:p>
    <w:p>
      <w:pPr>
        <w:ind w:firstLine="640"/>
      </w:pPr>
      <w:r>
        <w:drawing>
          <wp:anchor distT="0" distB="0" distL="114300" distR="114300" simplePos="0" relativeHeight="251675648" behindDoc="0" locked="0" layoutInCell="1" allowOverlap="1">
            <wp:simplePos x="0" y="0"/>
            <wp:positionH relativeFrom="column">
              <wp:posOffset>1287145</wp:posOffset>
            </wp:positionH>
            <wp:positionV relativeFrom="paragraph">
              <wp:posOffset>2046605</wp:posOffset>
            </wp:positionV>
            <wp:extent cx="2847975" cy="5077460"/>
            <wp:effectExtent l="0" t="0" r="1905" b="12700"/>
            <wp:wrapTopAndBottom/>
            <wp:docPr id="3" name="AX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XU2.png"/>
                    <pic:cNvPicPr>
                      <a:picLocks noChangeAspect="1" noChangeArrowheads="1"/>
                    </pic:cNvPicPr>
                  </pic:nvPicPr>
                  <pic:blipFill>
                    <a:blip r:embed="rId20"/>
                    <a:srcRect l="70324" t="29717"/>
                    <a:stretch>
                      <a:fillRect/>
                    </a:stretch>
                  </pic:blipFill>
                  <pic:spPr>
                    <a:xfrm>
                      <a:off x="0" y="0"/>
                      <a:ext cx="2847975" cy="5077460"/>
                    </a:xfrm>
                    <a:prstGeom prst="rect">
                      <a:avLst/>
                    </a:prstGeom>
                  </pic:spPr>
                </pic:pic>
              </a:graphicData>
            </a:graphic>
          </wp:anchor>
        </w:drawing>
      </w:r>
      <w:r>
        <w:rPr>
          <w:rFonts w:hint="eastAsia"/>
        </w:rPr>
        <w:t>入使用前或者投入使用后30日内向登记机关提交原始使用登记证、重新填写的使用登记表（一式两份）、改造质量证明资料以及改造监督检验证书（需要监督检验的），申请变更登记，领取新的使用登记证。登记机关应当在原使用登记证和原使用登记表上做注销标记。其基本流程如下图所示。</w:t>
      </w:r>
    </w:p>
    <w:p>
      <w:pPr>
        <w:ind w:firstLine="640"/>
      </w:pPr>
    </w:p>
    <w:p>
      <w:pPr>
        <w:ind w:firstLine="640"/>
      </w:pPr>
      <w:r>
        <w:rPr>
          <w:rFonts w:hint="eastAsia"/>
        </w:rPr>
        <w:t>改造变更使用登记的申办所需资料包括：变更信息、设备参数信息、相关证明材料三部分。变更信息包括变更类别、登记日期、设备基本信息、设备使用情况、设备检验情况、信息填报人等，其中设备基本信息、设备使用情况与设备检验情况内容与设备使用登记办理所需内容一致。设备参数信息也与使用登记证办理一致。</w:t>
      </w:r>
    </w:p>
    <w:p>
      <w:pPr>
        <w:ind w:firstLine="640"/>
      </w:pPr>
      <w:r>
        <w:rPr>
          <w:rFonts w:hint="eastAsia"/>
        </w:rPr>
        <w:t>相关材料为特种设备使用登记表、原特种设备使用登记证、改造质量资料复印件和有效期内检验报告。</w:t>
      </w:r>
    </w:p>
    <w:p>
      <w:pPr>
        <w:pStyle w:val="6"/>
        <w:ind w:firstLine="640"/>
      </w:pPr>
      <w:r>
        <w:rPr>
          <w:rFonts w:hint="eastAsia"/>
        </w:rPr>
        <w:t>（2）移装变更</w:t>
      </w:r>
    </w:p>
    <w:p>
      <w:pPr>
        <w:ind w:firstLine="640"/>
      </w:pPr>
      <w:r>
        <w:rPr>
          <w:rFonts w:hint="eastAsia"/>
        </w:rPr>
        <w:t>移装变更分为在登记机关行政区域内移装和跨登记机关行政区域移装。</w:t>
      </w:r>
    </w:p>
    <w:p>
      <w:pPr>
        <w:pStyle w:val="7"/>
        <w:numPr>
          <w:ilvl w:val="0"/>
          <w:numId w:val="16"/>
        </w:numPr>
        <w:ind w:firstLine="643"/>
      </w:pPr>
      <w:r>
        <w:rPr>
          <w:rFonts w:hint="eastAsia"/>
        </w:rPr>
        <w:t>在登记机关行政区域内移装</w:t>
      </w:r>
    </w:p>
    <w:p>
      <w:pPr>
        <w:ind w:firstLine="640"/>
      </w:pPr>
      <w:r>
        <w:t>在登记机关行政区域内移装的特种设备，使用单位应当在投入使用前向登记机关提交原原使用登记证、重新填写的使用登记表（一式两份）和移装后的检验报告（拆卸移装的），申请变更登记，领取新的使用登记证。登记机关应当在原使用登记证和原使用登记表上作注销标记。</w:t>
      </w:r>
      <w:r>
        <w:rPr>
          <w:rFonts w:hint="eastAsia"/>
        </w:rPr>
        <w:t>区域内移装变更流程和改造变更雷同，但提供内容略有区别。设备信息等与首次使用登记办理信息相同，同时新增变更后信息，包括新安装单位、安装单位组织机构代码、移装手设备所在地址、部门名称、变更后设备所在地区。</w:t>
      </w:r>
    </w:p>
    <w:p>
      <w:pPr>
        <w:pStyle w:val="7"/>
        <w:numPr>
          <w:ilvl w:val="0"/>
          <w:numId w:val="16"/>
        </w:numPr>
        <w:ind w:firstLine="643"/>
      </w:pPr>
      <w:r>
        <w:rPr>
          <w:rFonts w:hint="eastAsia"/>
        </w:rPr>
        <w:t>跨登记机关行政区域移装</w:t>
      </w:r>
    </w:p>
    <w:p>
      <w:pPr>
        <w:ind w:firstLine="640"/>
      </w:pPr>
      <w:r>
        <w:rPr>
          <w:rFonts w:hint="eastAsia"/>
        </w:rPr>
        <w:t>跨登记机关行政区域移装特种设备的，使用单位应当持原使用登记证和使用登记表向原登记机关申请办理注销；原登记机关应当注销使用登记证，并且在原使用登记证和原使用登记表上作注销标记，向使用单位签发《特种设备使用登记证变更证明》。其基本流程如下：</w:t>
      </w:r>
    </w:p>
    <w:p>
      <w:pPr>
        <w:ind w:firstLine="0" w:firstLineChars="0"/>
      </w:pPr>
    </w:p>
    <w:p>
      <w:pPr>
        <w:ind w:firstLine="640"/>
      </w:pPr>
      <w:r>
        <w:drawing>
          <wp:anchor distT="0" distB="0" distL="114300" distR="114300" simplePos="0" relativeHeight="251669504" behindDoc="0" locked="0" layoutInCell="1" allowOverlap="1">
            <wp:simplePos x="0" y="0"/>
            <wp:positionH relativeFrom="column">
              <wp:posOffset>1458595</wp:posOffset>
            </wp:positionH>
            <wp:positionV relativeFrom="paragraph">
              <wp:posOffset>81280</wp:posOffset>
            </wp:positionV>
            <wp:extent cx="1915160" cy="4866640"/>
            <wp:effectExtent l="0" t="0" r="5080" b="10160"/>
            <wp:wrapTopAndBottom/>
            <wp:docPr id="31" name="AXU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XU3.png"/>
                    <pic:cNvPicPr>
                      <a:picLocks noChangeAspect="1" noChangeArrowheads="1"/>
                    </pic:cNvPicPr>
                  </pic:nvPicPr>
                  <pic:blipFill>
                    <a:blip r:embed="rId21"/>
                    <a:srcRect l="56950" t="16351" r="7653" b="-139"/>
                    <a:stretch>
                      <a:fillRect/>
                    </a:stretch>
                  </pic:blipFill>
                  <pic:spPr>
                    <a:xfrm>
                      <a:off x="0" y="0"/>
                      <a:ext cx="1915160" cy="4866640"/>
                    </a:xfrm>
                    <a:prstGeom prst="rect">
                      <a:avLst/>
                    </a:prstGeom>
                  </pic:spPr>
                </pic:pic>
              </a:graphicData>
            </a:graphic>
          </wp:anchor>
        </w:drawing>
      </w:r>
      <w:r>
        <w:rPr>
          <w:rFonts w:hint="eastAsia"/>
        </w:rPr>
        <w:t>移装完成后，使用单位应当在投入使用前，持《特种设备使用登记证变更证明》、标有注销标记的原使用登记表和移装后的检验报告（拆卸移装的），安装特种设备使用管理规则的规定向移装登记机关重新申请使用登记。</w:t>
      </w:r>
    </w:p>
    <w:p>
      <w:pPr>
        <w:ind w:firstLine="640"/>
      </w:pPr>
      <w:r>
        <w:rPr>
          <w:rFonts w:hint="eastAsia"/>
        </w:rPr>
        <w:t>其中跨区域但属于省内移装的，在业务办理过程中系统将会在原设备注销后将设备释放至省公共临时库内，新使用登记办理登记机关可从省临时库获取相关设备信息，以减少信息填报输入并为设备保留更多历史数据。</w:t>
      </w:r>
    </w:p>
    <w:p>
      <w:pPr>
        <w:ind w:firstLine="640"/>
      </w:pPr>
    </w:p>
    <w:p>
      <w:pPr>
        <w:pStyle w:val="6"/>
        <w:ind w:firstLine="640"/>
      </w:pPr>
      <w:r>
        <w:rPr>
          <w:rFonts w:hint="eastAsia"/>
        </w:rPr>
        <w:t>（3）单位变更（过户）</w:t>
      </w:r>
    </w:p>
    <w:p>
      <w:pPr>
        <w:ind w:firstLine="640"/>
      </w:pPr>
      <w:r>
        <w:t>特种设备需要变更使用单位，原使用单位应当持原使用登记证、使用登记表和有效期内的定期检验报告到登记机关办理变更；或者产权单位凭产权证明文件，持原使用登记证、使用登记表和有效期内的定期检验报告到登记机关办理变更；登记机关应当在原使用登记证和原使用登记表上作注销标记，签发《特种设备使用登记证变更证明》</w:t>
      </w:r>
      <w:r>
        <w:rPr>
          <w:rFonts w:hint="eastAsia"/>
        </w:rPr>
        <w:t>。其基本流程和跨登记机关行政区域移装变更基本一致。</w:t>
      </w:r>
    </w:p>
    <w:p>
      <w:pPr>
        <w:ind w:firstLine="640"/>
      </w:pPr>
      <w:r>
        <w:t>新使用单位应当在投入使用前或者投入使用后30日内，持《特种设备使用登记证变更证明》、标有注销标记的原使用登记表和有效期内的定期检验报告，按照规定要求重新办理使用登记。</w:t>
      </w:r>
    </w:p>
    <w:p>
      <w:pPr>
        <w:ind w:firstLine="640"/>
      </w:pPr>
      <w:r>
        <w:rPr>
          <w:rFonts w:hint="eastAsia"/>
        </w:rPr>
        <w:t>在办理单位变更申办的时候除提供使用登记办理相关资料外还需提供原单位相关基本信息和新单位基本相关信息，进行信息变更突显，包含内容如下：</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30"/>
        <w:gridCol w:w="45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0" w:type="dxa"/>
          </w:tcPr>
          <w:p>
            <w:pPr>
              <w:ind w:firstLine="0" w:firstLineChars="0"/>
              <w:rPr>
                <w:b/>
                <w:bCs/>
              </w:rPr>
            </w:pPr>
            <w:r>
              <w:rPr>
                <w:rFonts w:hint="eastAsia"/>
                <w:b/>
                <w:bCs/>
              </w:rPr>
              <w:t>原单位信息</w:t>
            </w:r>
          </w:p>
        </w:tc>
        <w:tc>
          <w:tcPr>
            <w:tcW w:w="4530" w:type="dxa"/>
          </w:tcPr>
          <w:p>
            <w:pPr>
              <w:ind w:firstLine="0" w:firstLineChars="0"/>
              <w:rPr>
                <w:b/>
                <w:bCs/>
              </w:rPr>
            </w:pPr>
            <w:r>
              <w:rPr>
                <w:rFonts w:hint="eastAsia"/>
                <w:b/>
                <w:bCs/>
              </w:rPr>
              <w:t>新单位信息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0" w:type="dxa"/>
          </w:tcPr>
          <w:p>
            <w:pPr>
              <w:ind w:firstLine="0" w:firstLineChars="0"/>
            </w:pPr>
            <w:r>
              <w:rPr>
                <w:rFonts w:hint="eastAsia"/>
              </w:rPr>
              <w:t>使用单位名称</w:t>
            </w:r>
          </w:p>
        </w:tc>
        <w:tc>
          <w:tcPr>
            <w:tcW w:w="4530" w:type="dxa"/>
          </w:tcPr>
          <w:p>
            <w:pPr>
              <w:ind w:firstLine="0" w:firstLineChars="0"/>
            </w:pPr>
            <w:r>
              <w:rPr>
                <w:rFonts w:hint="eastAsia"/>
              </w:rPr>
              <w:t>使用单位名称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0" w:type="dxa"/>
          </w:tcPr>
          <w:p>
            <w:pPr>
              <w:ind w:firstLine="0" w:firstLineChars="0"/>
            </w:pPr>
            <w:r>
              <w:rPr>
                <w:rFonts w:hint="eastAsia"/>
              </w:rPr>
              <w:t>使用单位地址</w:t>
            </w:r>
          </w:p>
        </w:tc>
        <w:tc>
          <w:tcPr>
            <w:tcW w:w="4530" w:type="dxa"/>
          </w:tcPr>
          <w:p>
            <w:pPr>
              <w:ind w:firstLine="0" w:firstLineChars="0"/>
            </w:pPr>
            <w:r>
              <w:rPr>
                <w:rFonts w:hint="eastAsia"/>
              </w:rPr>
              <w:t>使用单位地址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0" w:type="dxa"/>
          </w:tcPr>
          <w:p>
            <w:pPr>
              <w:ind w:firstLine="0" w:firstLineChars="0"/>
            </w:pPr>
            <w:r>
              <w:rPr>
                <w:rFonts w:hint="eastAsia"/>
              </w:rPr>
              <w:t>使用单位社会信用代码</w:t>
            </w:r>
          </w:p>
        </w:tc>
        <w:tc>
          <w:tcPr>
            <w:tcW w:w="4530" w:type="dxa"/>
          </w:tcPr>
          <w:p>
            <w:pPr>
              <w:ind w:firstLine="0" w:firstLineChars="0"/>
            </w:pPr>
            <w:r>
              <w:rPr>
                <w:rFonts w:hint="eastAsia"/>
              </w:rPr>
              <w:t>使用单位社会信用代码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0" w:type="dxa"/>
          </w:tcPr>
          <w:p>
            <w:pPr>
              <w:ind w:firstLine="0" w:firstLineChars="0"/>
            </w:pPr>
            <w:r>
              <w:rPr>
                <w:rFonts w:hint="eastAsia"/>
              </w:rPr>
              <w:t>设备所在部门</w:t>
            </w:r>
          </w:p>
        </w:tc>
        <w:tc>
          <w:tcPr>
            <w:tcW w:w="4530" w:type="dxa"/>
          </w:tcPr>
          <w:p>
            <w:pPr>
              <w:ind w:firstLine="0" w:firstLineChars="0"/>
            </w:pPr>
            <w:r>
              <w:rPr>
                <w:rFonts w:hint="eastAsia"/>
              </w:rPr>
              <w:t>设备所在部门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0" w:type="dxa"/>
          </w:tcPr>
          <w:p>
            <w:pPr>
              <w:ind w:firstLine="0" w:firstLineChars="0"/>
            </w:pPr>
            <w:r>
              <w:rPr>
                <w:rFonts w:hint="eastAsia"/>
              </w:rPr>
              <w:t>安全管理员</w:t>
            </w:r>
          </w:p>
        </w:tc>
        <w:tc>
          <w:tcPr>
            <w:tcW w:w="4530" w:type="dxa"/>
          </w:tcPr>
          <w:p>
            <w:pPr>
              <w:ind w:firstLine="0" w:firstLineChars="0"/>
            </w:pPr>
            <w:r>
              <w:rPr>
                <w:rFonts w:hint="eastAsia"/>
              </w:rPr>
              <w:t>安全管理员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0" w:type="dxa"/>
          </w:tcPr>
          <w:p>
            <w:pPr>
              <w:ind w:firstLine="0" w:firstLineChars="0"/>
            </w:pPr>
            <w:r>
              <w:rPr>
                <w:rFonts w:hint="eastAsia"/>
              </w:rPr>
              <w:t>安全管理员电话</w:t>
            </w:r>
          </w:p>
        </w:tc>
        <w:tc>
          <w:tcPr>
            <w:tcW w:w="4530" w:type="dxa"/>
          </w:tcPr>
          <w:p>
            <w:pPr>
              <w:ind w:firstLine="0" w:firstLineChars="0"/>
            </w:pPr>
            <w:r>
              <w:rPr>
                <w:rFonts w:hint="eastAsia"/>
              </w:rPr>
              <w:t>安全管理员电话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0" w:type="dxa"/>
          </w:tcPr>
          <w:p>
            <w:pPr>
              <w:ind w:firstLine="0" w:firstLineChars="0"/>
            </w:pPr>
            <w:r>
              <w:rPr>
                <w:rFonts w:hint="eastAsia"/>
              </w:rPr>
              <w:t>产权单位名称</w:t>
            </w:r>
          </w:p>
        </w:tc>
        <w:tc>
          <w:tcPr>
            <w:tcW w:w="4530" w:type="dxa"/>
          </w:tcPr>
          <w:p>
            <w:pPr>
              <w:ind w:firstLine="0" w:firstLineChars="0"/>
            </w:pPr>
            <w:r>
              <w:rPr>
                <w:rFonts w:hint="eastAsia"/>
              </w:rPr>
              <w:t>产权单位名称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0" w:type="dxa"/>
          </w:tcPr>
          <w:p>
            <w:pPr>
              <w:ind w:firstLine="0" w:firstLineChars="0"/>
            </w:pPr>
            <w:r>
              <w:rPr>
                <w:rFonts w:hint="eastAsia"/>
              </w:rPr>
              <w:t>产权单位社会信用代码</w:t>
            </w:r>
          </w:p>
        </w:tc>
        <w:tc>
          <w:tcPr>
            <w:tcW w:w="4530" w:type="dxa"/>
          </w:tcPr>
          <w:p>
            <w:pPr>
              <w:ind w:firstLine="0" w:firstLineChars="0"/>
            </w:pPr>
            <w:r>
              <w:rPr>
                <w:rFonts w:hint="eastAsia"/>
              </w:rPr>
              <w:t>产权单位社会信用代码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0" w:type="dxa"/>
          </w:tcPr>
          <w:p>
            <w:pPr>
              <w:ind w:firstLine="0" w:firstLineChars="0"/>
            </w:pPr>
            <w:r>
              <w:rPr>
                <w:rFonts w:hint="eastAsia"/>
              </w:rPr>
              <w:t>产权单位联系电话</w:t>
            </w:r>
          </w:p>
        </w:tc>
        <w:tc>
          <w:tcPr>
            <w:tcW w:w="4530" w:type="dxa"/>
          </w:tcPr>
          <w:p>
            <w:pPr>
              <w:ind w:firstLine="0" w:firstLineChars="0"/>
            </w:pPr>
            <w:r>
              <w:rPr>
                <w:rFonts w:hint="eastAsia"/>
              </w:rPr>
              <w:t>产权单位联系电话</w:t>
            </w:r>
          </w:p>
        </w:tc>
      </w:tr>
    </w:tbl>
    <w:p>
      <w:pPr>
        <w:ind w:firstLine="640"/>
      </w:pPr>
    </w:p>
    <w:p>
      <w:pPr>
        <w:pStyle w:val="6"/>
        <w:ind w:firstLine="640"/>
      </w:pPr>
      <w:r>
        <w:rPr>
          <w:rFonts w:hint="eastAsia"/>
        </w:rPr>
        <w:t>（4）更名变更</w:t>
      </w:r>
    </w:p>
    <w:p>
      <w:pPr>
        <w:ind w:firstLine="640"/>
      </w:pPr>
      <w:r>
        <w:t>使用单位或者产权单位名称变更时，使用单位或者产权单位应当持原使用登记证、单位名称变更的证明材料，重新填写使用登记表（一式两份），到登记机关办理更名变更，换领新的使用登记证。2台以上批量变更的，可以简化处理。登记机关在原使用登记证和原使用登记表上做注销标记</w:t>
      </w:r>
      <w:r>
        <w:rPr>
          <w:rFonts w:hint="eastAsia"/>
        </w:rPr>
        <w:t>。更名变更变更办理流程与改造变更申办流程及提交信息一致。</w:t>
      </w:r>
    </w:p>
    <w:p>
      <w:pPr>
        <w:pStyle w:val="6"/>
        <w:ind w:firstLine="640"/>
      </w:pPr>
      <w:r>
        <w:rPr>
          <w:rFonts w:hint="eastAsia"/>
        </w:rPr>
        <w:t>（5）超设计使用年限继续使用</w:t>
      </w:r>
    </w:p>
    <w:p>
      <w:pPr>
        <w:ind w:firstLine="640"/>
      </w:pPr>
      <w:r>
        <w:t>对到达设计使用年限继续使用的特种设备，使用单位应当持原使用登记证、按照相应规定办理的相关证明材料。</w:t>
      </w:r>
    </w:p>
    <w:p>
      <w:pPr>
        <w:ind w:firstLine="640"/>
      </w:pPr>
      <w:r>
        <w:t>特种设备达到设计使用年限，使用单位认为可以继续使用的，应当按照安全技术规范及相关产品标准的要求，经检验或者安全评估合格，由单位安全管理负责人同意、主要负责人批准，办理使用登记变更后方可使用。允许继续使用的，应当采取加强检验、检测和维护保养等措施，确保使用安全。</w:t>
      </w:r>
    </w:p>
    <w:p>
      <w:pPr>
        <w:ind w:firstLine="640"/>
      </w:pPr>
      <w:r>
        <w:rPr>
          <w:rFonts w:hint="eastAsia"/>
        </w:rPr>
        <w:t>相关证明材料包括特种设备使用登记表、有效期内的检验报告、使用单位安全管理负责人同意证明、主要负责人批准证明等。其主要业务流程如下图所示：</w:t>
      </w:r>
    </w:p>
    <w:p>
      <w:pPr>
        <w:ind w:firstLine="0" w:firstLineChars="0"/>
      </w:pPr>
      <w:r>
        <w:drawing>
          <wp:anchor distT="0" distB="0" distL="114300" distR="114300" simplePos="0" relativeHeight="251670528" behindDoc="0" locked="0" layoutInCell="1" allowOverlap="1">
            <wp:simplePos x="0" y="0"/>
            <wp:positionH relativeFrom="column">
              <wp:posOffset>927735</wp:posOffset>
            </wp:positionH>
            <wp:positionV relativeFrom="paragraph">
              <wp:posOffset>323850</wp:posOffset>
            </wp:positionV>
            <wp:extent cx="3701415" cy="6002020"/>
            <wp:effectExtent l="0" t="0" r="1905" b="2540"/>
            <wp:wrapTopAndBottom/>
            <wp:docPr id="32" name="AXU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XU4.png"/>
                    <pic:cNvPicPr>
                      <a:picLocks noChangeAspect="1" noChangeArrowheads="1"/>
                    </pic:cNvPicPr>
                  </pic:nvPicPr>
                  <pic:blipFill>
                    <a:blip r:embed="rId22"/>
                    <a:srcRect l="37524" t="17951"/>
                    <a:stretch>
                      <a:fillRect/>
                    </a:stretch>
                  </pic:blipFill>
                  <pic:spPr>
                    <a:xfrm>
                      <a:off x="0" y="0"/>
                      <a:ext cx="3701415" cy="6002020"/>
                    </a:xfrm>
                    <a:prstGeom prst="rect">
                      <a:avLst/>
                    </a:prstGeom>
                  </pic:spPr>
                </pic:pic>
              </a:graphicData>
            </a:graphic>
          </wp:anchor>
        </w:drawing>
      </w:r>
    </w:p>
    <w:p>
      <w:pPr>
        <w:pStyle w:val="6"/>
        <w:ind w:firstLine="640"/>
      </w:pPr>
      <w:r>
        <w:rPr>
          <w:rFonts w:hint="eastAsia"/>
        </w:rPr>
        <w:t>（6）设备的停用启用</w:t>
      </w:r>
    </w:p>
    <w:p>
      <w:pPr>
        <w:ind w:firstLine="640"/>
      </w:pPr>
      <w:r>
        <w:rPr>
          <w:rFonts w:hint="eastAsia"/>
        </w:rPr>
        <w:t>特种设备拟停用1年以上的，使用单位应当采取有效的保护措施，并且设置停用标志，在停用后30日内填写《特种设备停用报废注销登记表》告知登记机关。重新启用时，使用单位应当进行自行检查，到使用登记机关办理启用手续；超过定期检验有效期的，应当按照定期检验的有关要求进行检验。相关业务流程如下：</w:t>
      </w:r>
    </w:p>
    <w:p>
      <w:pPr>
        <w:ind w:firstLine="640"/>
      </w:pPr>
      <w:r>
        <w:drawing>
          <wp:anchor distT="0" distB="0" distL="114300" distR="114300" simplePos="0" relativeHeight="251671552" behindDoc="0" locked="0" layoutInCell="1" allowOverlap="1">
            <wp:simplePos x="0" y="0"/>
            <wp:positionH relativeFrom="column">
              <wp:posOffset>1053465</wp:posOffset>
            </wp:positionH>
            <wp:positionV relativeFrom="paragraph">
              <wp:posOffset>44450</wp:posOffset>
            </wp:positionV>
            <wp:extent cx="2335530" cy="3217545"/>
            <wp:effectExtent l="0" t="0" r="11430" b="13335"/>
            <wp:wrapTopAndBottom/>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23"/>
                    <a:srcRect r="5133" b="4809"/>
                    <a:stretch>
                      <a:fillRect/>
                    </a:stretch>
                  </pic:blipFill>
                  <pic:spPr>
                    <a:xfrm>
                      <a:off x="0" y="0"/>
                      <a:ext cx="2335530" cy="3217545"/>
                    </a:xfrm>
                    <a:prstGeom prst="rect">
                      <a:avLst/>
                    </a:prstGeom>
                    <a:noFill/>
                    <a:ln>
                      <a:noFill/>
                    </a:ln>
                  </pic:spPr>
                </pic:pic>
              </a:graphicData>
            </a:graphic>
          </wp:anchor>
        </w:drawing>
      </w:r>
    </w:p>
    <w:p>
      <w:pPr>
        <w:pStyle w:val="6"/>
        <w:ind w:firstLine="640"/>
      </w:pPr>
      <w:r>
        <w:rPr>
          <w:rFonts w:hint="eastAsia"/>
        </w:rPr>
        <w:t>（7）设备的报废</w:t>
      </w:r>
    </w:p>
    <w:p>
      <w:pPr>
        <w:ind w:firstLine="640"/>
      </w:pPr>
      <w:r>
        <w:rPr>
          <w:rFonts w:hint="eastAsia"/>
        </w:rPr>
        <w:t>对存在严重事故隐患，无改造、修理价值的特种设备，或者达到安全技术规范规定的报废期限的，应当及时予以报废，产权单位应当采取必要措施消除该特种设备的使用功能。特种设备报</w:t>
      </w:r>
      <w:r>
        <w:drawing>
          <wp:anchor distT="0" distB="0" distL="114300" distR="114300" simplePos="0" relativeHeight="251672576" behindDoc="0" locked="0" layoutInCell="1" allowOverlap="1">
            <wp:simplePos x="0" y="0"/>
            <wp:positionH relativeFrom="column">
              <wp:posOffset>589280</wp:posOffset>
            </wp:positionH>
            <wp:positionV relativeFrom="paragraph">
              <wp:posOffset>1189990</wp:posOffset>
            </wp:positionV>
            <wp:extent cx="746760" cy="3276600"/>
            <wp:effectExtent l="0" t="0" r="0" b="0"/>
            <wp:wrapTopAndBottom/>
            <wp:docPr id="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
                    <pic:cNvPicPr>
                      <a:picLocks noChangeAspect="1"/>
                    </pic:cNvPicPr>
                  </pic:nvPicPr>
                  <pic:blipFill>
                    <a:blip r:embed="rId24"/>
                    <a:stretch>
                      <a:fillRect/>
                    </a:stretch>
                  </pic:blipFill>
                  <pic:spPr>
                    <a:xfrm>
                      <a:off x="0" y="0"/>
                      <a:ext cx="746760" cy="3276600"/>
                    </a:xfrm>
                    <a:prstGeom prst="rect">
                      <a:avLst/>
                    </a:prstGeom>
                    <a:noFill/>
                    <a:ln>
                      <a:noFill/>
                    </a:ln>
                  </pic:spPr>
                </pic:pic>
              </a:graphicData>
            </a:graphic>
          </wp:anchor>
        </w:drawing>
      </w:r>
      <w:r>
        <w:rPr>
          <w:rFonts w:hint="eastAsia"/>
        </w:rPr>
        <w:t>废时，按台（套）登记的特种设备应当办理报废手续，填写《特种设备停用注销登记表》，向登记机关办理报废手续，并且将使用登记证交回登记机关。相关业务流程如下：</w:t>
      </w:r>
    </w:p>
    <w:p>
      <w:pPr>
        <w:pStyle w:val="6"/>
        <w:ind w:firstLine="640"/>
      </w:pPr>
      <w:r>
        <w:rPr>
          <w:rFonts w:hint="eastAsia"/>
        </w:rPr>
        <w:t>（8）设备注销</w:t>
      </w:r>
    </w:p>
    <w:p>
      <w:pPr>
        <w:ind w:firstLine="640"/>
      </w:pPr>
      <w:r>
        <w:rPr>
          <w:rFonts w:hint="eastAsia"/>
        </w:rPr>
        <w:t>非产权所有者的使用单位经产权单位授权办理特种设备报废注销手续时，需要提供产权单位的书面委托或者授权文件。</w:t>
      </w:r>
    </w:p>
    <w:p>
      <w:pPr>
        <w:ind w:firstLine="640"/>
      </w:pPr>
      <w:r>
        <w:rPr>
          <w:rFonts w:hint="eastAsia"/>
        </w:rPr>
        <w:t>使用单位和产权单位注销、倒闭、迁移或者失联，未办理特种设备注销手续的，登记机关可以采用公告的方式停用或者注销相关特种设备。</w:t>
      </w:r>
    </w:p>
    <w:p>
      <w:pPr>
        <w:pStyle w:val="5"/>
        <w:ind w:firstLine="643"/>
      </w:pPr>
      <w:r>
        <w:rPr>
          <w:rFonts w:hint="eastAsia"/>
        </w:rPr>
        <w:t>4.检验</w:t>
      </w:r>
      <w:r>
        <w:rPr>
          <w:rFonts w:hint="eastAsia" w:ascii="仿宋_GB2312" w:hAnsi="仿宋_GB2312" w:cs="仿宋_GB2312"/>
          <w:szCs w:val="32"/>
        </w:rPr>
        <w:t>检测</w:t>
      </w:r>
      <w:r>
        <w:rPr>
          <w:rFonts w:hint="eastAsia"/>
        </w:rPr>
        <w:t>机构告知</w:t>
      </w:r>
    </w:p>
    <w:p>
      <w:pPr>
        <w:ind w:firstLine="640"/>
      </w:pPr>
      <w:r>
        <w:rPr>
          <w:rFonts w:hint="eastAsia"/>
        </w:rPr>
        <w:t>检验检测机构告知主要是对进驻地市开展业务的检验检测机构告知进行接收，包括其资质的核实等内容。</w:t>
      </w:r>
    </w:p>
    <w:p>
      <w:pPr>
        <w:ind w:firstLine="640"/>
      </w:pPr>
      <w:r>
        <w:rPr>
          <w:rFonts w:hint="eastAsia"/>
        </w:rPr>
        <w:t>有检验检测资质的检验检测机构需要在地市开展业务需要对当地监察机构进行告知，监察机构接收告知后，对检验检测机构进行公示，公示后检验检测机构方可在当地进行检验检测业务的开展。</w:t>
      </w:r>
    </w:p>
    <w:p>
      <w:pPr>
        <w:ind w:firstLine="640"/>
      </w:pPr>
      <w:r>
        <w:rPr>
          <w:rFonts w:hint="eastAsia"/>
        </w:rPr>
        <w:t>检验检测机构首次在浙江省内开展业务需要将相应机构信息、资质等材料信息进行提交，由当地监察机构进行接收确认。监察机构可对上传的各类资料进行查看并对资格、业务范围等进行确认。</w:t>
      </w:r>
    </w:p>
    <w:p>
      <w:pPr>
        <w:ind w:firstLine="640"/>
      </w:pPr>
      <w:r>
        <w:rPr>
          <w:rFonts w:hint="eastAsia"/>
        </w:rPr>
        <w:t>如已在本省内其他地市进行了正常业务开展的检验检测机构只需选择发起告知流程，系统即可自动将相应资料推送至当地监察机构。由监察机构确认后，即可开通该地市相应业务相关权限。</w:t>
      </w:r>
    </w:p>
    <w:p>
      <w:pPr>
        <w:pStyle w:val="5"/>
        <w:ind w:firstLine="643"/>
      </w:pPr>
      <w:r>
        <w:rPr>
          <w:rFonts w:hint="eastAsia"/>
        </w:rPr>
        <w:t>5.电梯检测维保管理</w:t>
      </w:r>
    </w:p>
    <w:p>
      <w:pPr>
        <w:ind w:firstLine="640"/>
      </w:pPr>
      <w:r>
        <w:rPr>
          <w:rFonts w:hint="eastAsia"/>
        </w:rPr>
        <w:t>电梯检测维保管理主要是针对电梯检测和按需维保的管理。包括电梯使用单位和维保单位对电梯的检测、电梯检测和按需维保等的备案管理。</w:t>
      </w:r>
    </w:p>
    <w:p>
      <w:pPr>
        <w:pStyle w:val="6"/>
        <w:numPr>
          <w:ilvl w:val="0"/>
          <w:numId w:val="17"/>
        </w:numPr>
        <w:ind w:firstLine="640"/>
      </w:pPr>
      <w:r>
        <w:rPr>
          <w:rFonts w:hint="eastAsia"/>
        </w:rPr>
        <w:t>电梯检测管理</w:t>
      </w:r>
    </w:p>
    <w:p>
      <w:pPr>
        <w:ind w:firstLine="640"/>
      </w:pPr>
      <w:r>
        <w:rPr>
          <w:rFonts w:hint="eastAsia"/>
        </w:rPr>
        <w:t>电梯检测管理主要是对电梯检测试点的审核审批、电梯使用单位自行检测的审核公示管理、维保单位自行检测审核公示管理。</w:t>
      </w:r>
    </w:p>
    <w:p>
      <w:pPr>
        <w:ind w:firstLine="640"/>
      </w:pPr>
      <w:r>
        <w:t>电梯检测试点的审核审批</w:t>
      </w:r>
    </w:p>
    <w:p>
      <w:pPr>
        <w:ind w:firstLine="640"/>
      </w:pPr>
      <w:r>
        <w:rPr>
          <w:rFonts w:hint="eastAsia"/>
        </w:rPr>
        <w:t>主要是对电梯设备进行检测改革试点的申请审批，由使用单位发起后，经区县级审核确认，地市级审批同意后方可进行。</w:t>
      </w:r>
    </w:p>
    <w:p>
      <w:pPr>
        <w:ind w:firstLine="640"/>
      </w:pPr>
      <w:r>
        <w:rPr>
          <w:rFonts w:hint="eastAsia"/>
        </w:rPr>
        <w:t>电梯使用单位自行检测的审核公示管理</w:t>
      </w:r>
    </w:p>
    <w:p>
      <w:pPr>
        <w:ind w:firstLine="640"/>
      </w:pPr>
      <w:r>
        <w:rPr>
          <w:rFonts w:hint="eastAsia"/>
        </w:rPr>
        <w:t>主要是对使用单位发起电梯自行检测申请的审核审批管理，包括后续的公示等。</w:t>
      </w:r>
    </w:p>
    <w:p>
      <w:pPr>
        <w:ind w:firstLine="640"/>
      </w:pPr>
      <w:r>
        <w:rPr>
          <w:rFonts w:hint="eastAsia"/>
        </w:rPr>
        <w:t>维保单位自行检测审核公示管理</w:t>
      </w:r>
    </w:p>
    <w:p>
      <w:pPr>
        <w:ind w:firstLine="640"/>
      </w:pPr>
      <w:r>
        <w:rPr>
          <w:rFonts w:hint="eastAsia"/>
        </w:rPr>
        <w:t>主要是对维保单位开展电梯检测业务的审核管理及后续公示。</w:t>
      </w:r>
    </w:p>
    <w:p>
      <w:pPr>
        <w:pStyle w:val="6"/>
        <w:numPr>
          <w:ilvl w:val="0"/>
          <w:numId w:val="17"/>
        </w:numPr>
        <w:ind w:firstLine="640"/>
      </w:pPr>
      <w:r>
        <w:rPr>
          <w:rFonts w:hint="eastAsia"/>
        </w:rPr>
        <w:t>电梯维保管理</w:t>
      </w:r>
    </w:p>
    <w:p>
      <w:pPr>
        <w:ind w:firstLine="640"/>
      </w:pPr>
      <w:r>
        <w:rPr>
          <w:rFonts w:hint="eastAsia"/>
        </w:rPr>
        <w:t>电梯维保管理主要是电梯按需维保的开通、维保单位按需维保业务开通备案、维保单位变更管理。</w:t>
      </w:r>
    </w:p>
    <w:p>
      <w:pPr>
        <w:ind w:firstLine="640"/>
      </w:pPr>
      <w:r>
        <w:rPr>
          <w:rFonts w:hint="eastAsia"/>
        </w:rPr>
        <w:t>电梯按需维保试点审批</w:t>
      </w:r>
    </w:p>
    <w:p>
      <w:pPr>
        <w:ind w:firstLine="640"/>
      </w:pPr>
      <w:r>
        <w:rPr>
          <w:rFonts w:hint="eastAsia"/>
        </w:rPr>
        <w:t>电梯维保方式改为按需维保提交申请和相关资料至区县局进行审核，区县局审核通过后由地市级监管进行审批，通过后电梯方可转换为按需维保。</w:t>
      </w:r>
    </w:p>
    <w:p>
      <w:pPr>
        <w:ind w:firstLine="640"/>
      </w:pPr>
      <w:r>
        <w:rPr>
          <w:rFonts w:hint="eastAsia"/>
        </w:rPr>
        <w:t>维保单位开展按需维保业务审核</w:t>
      </w:r>
    </w:p>
    <w:p>
      <w:pPr>
        <w:ind w:firstLine="640"/>
      </w:pPr>
      <w:r>
        <w:rPr>
          <w:rFonts w:hint="eastAsia"/>
        </w:rPr>
        <w:t>主要是对维保单位开展按需维保业务进行备案审核，对维保单位是否具备开展按需维保能力进行审核备案。</w:t>
      </w:r>
    </w:p>
    <w:p>
      <w:pPr>
        <w:ind w:firstLine="640"/>
      </w:pPr>
      <w:r>
        <w:rPr>
          <w:rFonts w:hint="eastAsia"/>
        </w:rPr>
        <w:t>维保单位变更</w:t>
      </w:r>
    </w:p>
    <w:p>
      <w:pPr>
        <w:ind w:firstLine="640"/>
      </w:pPr>
      <w:r>
        <w:rPr>
          <w:rFonts w:hint="eastAsia"/>
        </w:rPr>
        <w:t>维保单位变更是维保单位变更备案后监管部门的审核及使用标志更新管理。</w:t>
      </w:r>
    </w:p>
    <w:p>
      <w:pPr>
        <w:pStyle w:val="4"/>
        <w:numPr>
          <w:ilvl w:val="2"/>
          <w:numId w:val="8"/>
        </w:numPr>
        <w:spacing w:before="0" w:after="0" w:line="580" w:lineRule="exact"/>
        <w:ind w:firstLine="640"/>
        <w:rPr>
          <w:rFonts w:ascii="楷体_GB2312" w:eastAsia="楷体_GB2312"/>
        </w:rPr>
      </w:pPr>
      <w:bookmarkStart w:id="41" w:name="_Toc2319"/>
      <w:r>
        <w:rPr>
          <w:rFonts w:hint="eastAsia" w:ascii="楷体_GB2312" w:eastAsia="楷体_GB2312"/>
        </w:rPr>
        <w:t>日常监管</w:t>
      </w:r>
      <w:bookmarkEnd w:id="41"/>
    </w:p>
    <w:p>
      <w:pPr>
        <w:pStyle w:val="5"/>
        <w:ind w:firstLine="643"/>
        <w:rPr>
          <w:rFonts w:ascii="仿宋_GB2312"/>
          <w:szCs w:val="32"/>
        </w:rPr>
      </w:pPr>
      <w:r>
        <w:rPr>
          <w:rFonts w:ascii="Times New Roman" w:hAnsi="Times New Roman" w:cs="Times New Roman"/>
          <w:szCs w:val="32"/>
        </w:rPr>
        <w:t>1.</w:t>
      </w:r>
      <w:r>
        <w:rPr>
          <w:rFonts w:hint="eastAsia" w:ascii="Times New Roman" w:hAnsi="Times New Roman" w:cs="Times New Roman"/>
          <w:szCs w:val="32"/>
        </w:rPr>
        <w:t>单位监管</w:t>
      </w:r>
    </w:p>
    <w:p>
      <w:pPr>
        <w:ind w:firstLine="640"/>
      </w:pPr>
      <w:r>
        <w:rPr>
          <w:rFonts w:hint="eastAsia"/>
        </w:rPr>
        <w:t>单位监管主要是对各类单位进行管理，如证照查询、基本属性等管理。具体包括：监察机构、检验机构、使用单位、维保单位、施工单位（含安装、改造、大修）、设计单位、制造单位等。</w:t>
      </w:r>
    </w:p>
    <w:p>
      <w:pPr>
        <w:pStyle w:val="6"/>
        <w:numPr>
          <w:ilvl w:val="0"/>
          <w:numId w:val="17"/>
        </w:numPr>
        <w:ind w:firstLine="640"/>
      </w:pPr>
      <w:r>
        <w:rPr>
          <w:rFonts w:hint="eastAsia"/>
        </w:rPr>
        <w:t>监察机构</w:t>
      </w:r>
    </w:p>
    <w:p>
      <w:pPr>
        <w:ind w:firstLine="640"/>
      </w:pPr>
      <w:r>
        <w:rPr>
          <w:rFonts w:hint="eastAsia"/>
        </w:rPr>
        <w:t>对当前区域内的监察机构信息进行新增、查询、修改等管理操作。可根据相应条件进行筛选查询，并将结果列表进行导出或打印操作。查询展示内容包括：机构名称、机构区域、机构地址、机构级别、机构性质、机构电话、负责人等进行查询展示。</w:t>
      </w:r>
    </w:p>
    <w:p>
      <w:pPr>
        <w:pStyle w:val="6"/>
        <w:numPr>
          <w:ilvl w:val="0"/>
          <w:numId w:val="17"/>
        </w:numPr>
        <w:ind w:firstLine="640"/>
      </w:pPr>
      <w:r>
        <w:rPr>
          <w:rFonts w:hint="eastAsia"/>
        </w:rPr>
        <w:t>检验检测机构</w:t>
      </w:r>
    </w:p>
    <w:p>
      <w:pPr>
        <w:ind w:firstLine="640"/>
      </w:pPr>
      <w:r>
        <w:rPr>
          <w:rFonts w:hint="eastAsia"/>
        </w:rPr>
        <w:t>对当前区域内检验检测机构进行查询、修改、机构备案等管理操作。可根据相应条件进行筛选查询，并将结果列表进行导出或打印操作。</w:t>
      </w:r>
    </w:p>
    <w:p>
      <w:pPr>
        <w:ind w:firstLine="640"/>
      </w:pPr>
      <w:r>
        <w:rPr>
          <w:rFonts w:hint="eastAsia"/>
        </w:rPr>
        <w:t>机构档案管理</w:t>
      </w:r>
    </w:p>
    <w:p>
      <w:pPr>
        <w:ind w:firstLine="640"/>
      </w:pPr>
      <w:r>
        <w:rPr>
          <w:rFonts w:hint="eastAsia"/>
        </w:rPr>
        <w:t>通过机构名称、机构区域、机构地址、机构级别、法定代表人、联系方式、统一社会信用代码等关键词进行筛选查询，对机构信息进行有效管理。</w:t>
      </w:r>
    </w:p>
    <w:p>
      <w:pPr>
        <w:ind w:firstLine="640"/>
      </w:pPr>
      <w:r>
        <w:rPr>
          <w:rFonts w:hint="eastAsia"/>
        </w:rPr>
        <w:t xml:space="preserve"> 机构备案</w:t>
      </w:r>
    </w:p>
    <w:p>
      <w:pPr>
        <w:ind w:firstLine="640"/>
      </w:pPr>
      <w:r>
        <w:rPr>
          <w:rFonts w:hint="eastAsia"/>
        </w:rPr>
        <w:t>检验检测机构在进入地市进行业务受理前需在当地监察机构进行备案，由当地监察机构进行备案审核，通过审核后方可在该系统报检时选择该检验检测机构。同时监管机构可需要该机构在本地的业务备案。</w:t>
      </w:r>
    </w:p>
    <w:p>
      <w:pPr>
        <w:pStyle w:val="6"/>
        <w:numPr>
          <w:ilvl w:val="0"/>
          <w:numId w:val="17"/>
        </w:numPr>
        <w:ind w:firstLine="640"/>
      </w:pPr>
      <w:r>
        <w:rPr>
          <w:rFonts w:hint="eastAsia"/>
        </w:rPr>
        <w:t>使用单位</w:t>
      </w:r>
    </w:p>
    <w:p>
      <w:pPr>
        <w:ind w:firstLine="640"/>
      </w:pPr>
      <w:r>
        <w:rPr>
          <w:rFonts w:hint="eastAsia"/>
        </w:rPr>
        <w:t>对当前区域内使用单位进行查询、修改等管理操作。可根据相应条件进行筛选查询，并将结果列表进行导出或打印操作。查询筛选条件包括：单位名称、社会信用代码、单位区域、单位地址、法定代表人、单位联系人、联系地址、联系电话、主管部门、所属设备类型、是否重点单位等。在对单位列表进行筛选后可点击进行单位详细信息查看，查看内容包括上述查询展示信息外还包括：企业其他基本信息、单位所属设备情况统计、单位设备列表、单位作业人员统计、单位人员信息列表、单位信息变更修改记录等。</w:t>
      </w:r>
    </w:p>
    <w:p>
      <w:pPr>
        <w:pStyle w:val="6"/>
        <w:numPr>
          <w:ilvl w:val="0"/>
          <w:numId w:val="17"/>
        </w:numPr>
        <w:ind w:firstLine="640"/>
      </w:pPr>
      <w:r>
        <w:rPr>
          <w:rFonts w:hint="eastAsia"/>
        </w:rPr>
        <w:t>维保单位</w:t>
      </w:r>
    </w:p>
    <w:p>
      <w:pPr>
        <w:ind w:firstLine="640"/>
      </w:pPr>
      <w:r>
        <w:rPr>
          <w:rFonts w:hint="eastAsia"/>
        </w:rPr>
        <w:t>对当前区域内维保单位进行查询、修改等管理操作。可根据相应条件进行筛选查询，并将结果列表进行导出或打印操作。查询筛选项包括：单位名称、社会信用代码、地址、法人代表、联系人、联系电话、证书编号等。完成维保单位列表的筛选后可点击查询更多详细信息包括：单位资质信息、持证人员、证照信息、办公场所、维保范围、授权有效期、分支机构、资质信息、维保电梯数量、单位信息变更修改记录等。</w:t>
      </w:r>
    </w:p>
    <w:p>
      <w:pPr>
        <w:pStyle w:val="6"/>
        <w:numPr>
          <w:ilvl w:val="0"/>
          <w:numId w:val="17"/>
        </w:numPr>
        <w:ind w:firstLine="640"/>
      </w:pPr>
      <w:r>
        <w:rPr>
          <w:rFonts w:hint="eastAsia"/>
        </w:rPr>
        <w:t>施工单位</w:t>
      </w:r>
    </w:p>
    <w:p>
      <w:pPr>
        <w:ind w:firstLine="640"/>
      </w:pPr>
      <w:r>
        <w:rPr>
          <w:rFonts w:hint="eastAsia"/>
        </w:rPr>
        <w:t>对当前区域内维保单位进行查询、修改等管理操作。可根据相应条件进行筛选查询，并将结果列表进行导出或打印操作。查询筛选项包括：单位名称、社会信用代码、地址、法人代表、联系人、联系电话、证书编号等。完成施工单位列表的筛选后可点击查询更多详细信息包括：单位资质信息、持证人员、证照信息、办公场所、经营范围、授权有效期、分支机构、资质信息、单位信息变更修改记录等。</w:t>
      </w:r>
    </w:p>
    <w:p>
      <w:pPr>
        <w:pStyle w:val="6"/>
        <w:numPr>
          <w:ilvl w:val="0"/>
          <w:numId w:val="17"/>
        </w:numPr>
        <w:ind w:firstLine="640"/>
      </w:pPr>
      <w:r>
        <w:rPr>
          <w:rFonts w:hint="eastAsia"/>
        </w:rPr>
        <w:t>制造单位</w:t>
      </w:r>
    </w:p>
    <w:p>
      <w:pPr>
        <w:ind w:firstLine="640"/>
      </w:pPr>
      <w:r>
        <w:rPr>
          <w:rFonts w:hint="eastAsia"/>
        </w:rPr>
        <w:t>对当前区域内制造单位进行查询、修改等管理操作。可根据相应条件进行筛选查询，并将结果列表进行导出或打印操作。查询筛选项包括：单位名称、社会信用代码、地址、法人代表、联系人、联系电话、证书编号等。完成制造单位列表的筛选后可点击查询更多详细信息包括：单位资质信息、持证人员、证照信息、办公场所、经营范围、授权有效期、分支机构、资质信息、单位信息变更修改记录等。</w:t>
      </w:r>
    </w:p>
    <w:p>
      <w:pPr>
        <w:pStyle w:val="6"/>
        <w:numPr>
          <w:ilvl w:val="0"/>
          <w:numId w:val="17"/>
        </w:numPr>
        <w:ind w:firstLine="640"/>
      </w:pPr>
      <w:r>
        <w:rPr>
          <w:rFonts w:hint="eastAsia"/>
        </w:rPr>
        <w:t>黑白名单管理</w:t>
      </w:r>
    </w:p>
    <w:p>
      <w:pPr>
        <w:ind w:firstLine="640"/>
      </w:pPr>
      <w:r>
        <w:rPr>
          <w:rFonts w:hint="eastAsia"/>
        </w:rPr>
        <w:t>提供各地市黑白名单管理，包括黑白名单的添加、修改、导出等管理。对名单中的单位进行基本信息记录，可从使用单位等功能模块中进行添加，添加时需记录纳入原因、纳入时间、纳入部门等信息。</w:t>
      </w:r>
    </w:p>
    <w:p>
      <w:pPr>
        <w:pStyle w:val="5"/>
        <w:ind w:firstLine="643"/>
        <w:rPr>
          <w:rFonts w:ascii="仿宋_GB2312"/>
          <w:szCs w:val="32"/>
        </w:rPr>
      </w:pPr>
      <w:r>
        <w:rPr>
          <w:rFonts w:ascii="Times New Roman" w:hAnsi="Times New Roman" w:cs="Times New Roman"/>
          <w:szCs w:val="32"/>
        </w:rPr>
        <w:t>2.</w:t>
      </w:r>
      <w:r>
        <w:rPr>
          <w:rFonts w:hint="eastAsia" w:ascii="仿宋_GB2312"/>
          <w:szCs w:val="32"/>
        </w:rPr>
        <w:t>设备监管</w:t>
      </w:r>
    </w:p>
    <w:p>
      <w:pPr>
        <w:ind w:firstLine="640"/>
      </w:pPr>
      <w:r>
        <w:t>设备监管主要是对设备属性、设备信息、设备所属等进行管理包括：设备档案管理、设备关联查询、设备统计等。</w:t>
      </w:r>
    </w:p>
    <w:p>
      <w:pPr>
        <w:pStyle w:val="6"/>
        <w:ind w:firstLine="643"/>
        <w:rPr>
          <w:b/>
        </w:rPr>
      </w:pPr>
      <w:r>
        <w:rPr>
          <w:rFonts w:cs="Times New Roman"/>
          <w:b/>
        </w:rPr>
        <w:t>（1）</w:t>
      </w:r>
      <w:r>
        <w:rPr>
          <w:rFonts w:hint="eastAsia"/>
          <w:b/>
        </w:rPr>
        <w:t>设备档案管理</w:t>
      </w:r>
    </w:p>
    <w:p>
      <w:pPr>
        <w:ind w:firstLine="640"/>
      </w:pPr>
      <w:r>
        <w:rPr>
          <w:rFonts w:hint="eastAsia"/>
        </w:rPr>
        <w:t>设备档案管理是对设备档案信息进行展示及查询，并将设备加入重点关注进行管理。用户可对列表进行筛选，并经筛选后的列表进行导出或进行打印操作方便进行更多管理或相关作业操作。</w:t>
      </w:r>
    </w:p>
    <w:p>
      <w:pPr>
        <w:ind w:firstLine="640"/>
      </w:pPr>
      <w:r>
        <w:rPr>
          <w:rFonts w:hint="eastAsia"/>
        </w:rPr>
        <w:t>设备档案管理分为综合管理和分类管理，综合管理即对所有设备进行管理，分类管理可单独对八大类特种设备进行单独管理查询，包括一些个性化查询筛选及展示。</w:t>
      </w:r>
    </w:p>
    <w:p>
      <w:pPr>
        <w:ind w:firstLine="640"/>
      </w:pPr>
      <w:r>
        <w:rPr>
          <w:rFonts w:hint="eastAsia"/>
        </w:rPr>
        <w:t>档案信息包括：设备代码、使用登记证编号、出厂编号、设备类型、设备型号、使用单位、设备地址、设备登记机构名称、设备当前状态、设备使用登记状态、设备超限状态、设备使用环境、使用登记情况、设备所在地区、设备上次检验结果、设备下次检验日期、设备是否检验超期、设备历史变更数据等。</w:t>
      </w:r>
    </w:p>
    <w:p>
      <w:pPr>
        <w:ind w:firstLine="640"/>
      </w:pPr>
      <w:r>
        <w:rPr>
          <w:rFonts w:hint="eastAsia"/>
        </w:rPr>
        <w:t>对设备的查询可通过设备属性的基本字段进行查询统计，包括：使用单位、设备代码、出厂编号、设备使用状态、设备所在区域、设备类型或设备类别代码、使用登记时间段、使用登记证编号、设备检验状态、是否重点设备等。</w:t>
      </w:r>
    </w:p>
    <w:p>
      <w:pPr>
        <w:ind w:firstLine="640"/>
      </w:pPr>
      <w:r>
        <w:rPr>
          <w:rFonts w:hint="eastAsia"/>
        </w:rPr>
        <w:t>设备重点关注是在设备列表中进行操作将设备加入到重点关注设备列表，进行重点管理。</w:t>
      </w:r>
    </w:p>
    <w:p>
      <w:pPr>
        <w:pStyle w:val="6"/>
        <w:ind w:firstLine="643"/>
        <w:rPr>
          <w:b/>
        </w:rPr>
      </w:pPr>
      <w:r>
        <w:rPr>
          <w:rFonts w:cs="Times New Roman"/>
          <w:b/>
        </w:rPr>
        <w:t>（</w:t>
      </w:r>
      <w:r>
        <w:rPr>
          <w:rFonts w:hint="eastAsia" w:ascii="宋体" w:hAnsi="宋体" w:eastAsia="宋体" w:cs="宋体"/>
          <w:b/>
        </w:rPr>
        <w:t>２</w:t>
      </w:r>
      <w:r>
        <w:rPr>
          <w:rFonts w:cs="Times New Roman"/>
          <w:b/>
        </w:rPr>
        <w:t>）</w:t>
      </w:r>
      <w:r>
        <w:rPr>
          <w:rFonts w:hint="eastAsia"/>
          <w:b/>
        </w:rPr>
        <w:t>设备关联查询</w:t>
      </w:r>
    </w:p>
    <w:p>
      <w:pPr>
        <w:ind w:firstLine="640"/>
      </w:pPr>
      <w:r>
        <w:rPr>
          <w:rFonts w:hint="eastAsia"/>
        </w:rPr>
        <w:t>设备关联查询主要是在查询到设备后进行关联性的扩展查询，查询到设备档案后点击使用单位可关联查询当前使用单位内其他设备列表，并可进行二次筛选查询。方便用户对进行快速查询操作。</w:t>
      </w:r>
    </w:p>
    <w:p>
      <w:pPr>
        <w:pStyle w:val="6"/>
        <w:ind w:firstLine="643"/>
        <w:rPr>
          <w:b/>
        </w:rPr>
      </w:pPr>
      <w:r>
        <w:rPr>
          <w:rFonts w:cs="Times New Roman"/>
          <w:b/>
        </w:rPr>
        <w:t>（</w:t>
      </w:r>
      <w:r>
        <w:rPr>
          <w:rFonts w:hint="eastAsia" w:ascii="宋体" w:hAnsi="宋体" w:eastAsia="宋体" w:cs="宋体"/>
          <w:b/>
        </w:rPr>
        <w:t>３</w:t>
      </w:r>
      <w:r>
        <w:rPr>
          <w:rFonts w:cs="Times New Roman"/>
          <w:b/>
        </w:rPr>
        <w:t>）</w:t>
      </w:r>
      <w:r>
        <w:rPr>
          <w:rFonts w:hint="eastAsia"/>
          <w:b/>
        </w:rPr>
        <w:t>重点关注</w:t>
      </w:r>
    </w:p>
    <w:p>
      <w:pPr>
        <w:ind w:firstLine="640"/>
      </w:pPr>
      <w:r>
        <w:rPr>
          <w:rFonts w:hint="eastAsia"/>
        </w:rPr>
        <w:t>重点关注设备列表，用户可进行快速查询或对关注列表进行管理，如增删操作、查询筛选操作、打印设备信息、打印设备列表、设备重点关注时间段编辑、预设到期提醒等。</w:t>
      </w:r>
    </w:p>
    <w:p>
      <w:pPr>
        <w:pStyle w:val="6"/>
        <w:ind w:firstLine="643"/>
        <w:rPr>
          <w:b/>
        </w:rPr>
      </w:pPr>
      <w:r>
        <w:rPr>
          <w:rFonts w:cs="Times New Roman"/>
          <w:b/>
        </w:rPr>
        <w:t>（４）</w:t>
      </w:r>
      <w:r>
        <w:rPr>
          <w:rFonts w:hint="eastAsia"/>
          <w:b/>
        </w:rPr>
        <w:t>设备统计</w:t>
      </w:r>
    </w:p>
    <w:p>
      <w:pPr>
        <w:ind w:firstLine="640"/>
      </w:pPr>
      <w:r>
        <w:rPr>
          <w:rFonts w:hint="eastAsia"/>
        </w:rPr>
        <w:t>设备进行分类及综合统计管理。具体包括按设备类型、按区域、按新增情况、综合统计、按设备状态统计等多维度进行设备信息的统计查询。</w:t>
      </w:r>
    </w:p>
    <w:p>
      <w:pPr>
        <w:pStyle w:val="5"/>
        <w:ind w:firstLine="643"/>
        <w:rPr>
          <w:rFonts w:ascii="仿宋_GB2312"/>
          <w:szCs w:val="32"/>
        </w:rPr>
      </w:pPr>
      <w:r>
        <w:rPr>
          <w:rFonts w:ascii="Times New Roman" w:hAnsi="Times New Roman" w:cs="Times New Roman"/>
          <w:szCs w:val="32"/>
        </w:rPr>
        <w:t>3.</w:t>
      </w:r>
      <w:r>
        <w:rPr>
          <w:rFonts w:hint="eastAsia" w:ascii="仿宋_GB2312"/>
          <w:szCs w:val="32"/>
        </w:rPr>
        <w:t>人员监管</w:t>
      </w:r>
    </w:p>
    <w:p>
      <w:pPr>
        <w:ind w:firstLine="640"/>
      </w:pPr>
      <w:r>
        <w:t>人员监管</w:t>
      </w:r>
      <w:r>
        <w:rPr>
          <w:rFonts w:hint="eastAsia"/>
        </w:rPr>
        <w:t>是对全省作业人员及其所属关联进行监管。包括资质证件、通讯录、单位关联管理等。</w:t>
      </w:r>
    </w:p>
    <w:p>
      <w:pPr>
        <w:pStyle w:val="6"/>
        <w:ind w:firstLine="643"/>
        <w:rPr>
          <w:b/>
        </w:rPr>
      </w:pPr>
      <w:r>
        <w:rPr>
          <w:rFonts w:cs="Times New Roman"/>
          <w:b/>
        </w:rPr>
        <w:t>（1）</w:t>
      </w:r>
      <w:r>
        <w:rPr>
          <w:rFonts w:hint="eastAsia"/>
          <w:b/>
        </w:rPr>
        <w:t>资质证件</w:t>
      </w:r>
    </w:p>
    <w:p>
      <w:pPr>
        <w:ind w:firstLine="640"/>
      </w:pPr>
      <w:r>
        <w:rPr>
          <w:rFonts w:hint="eastAsia"/>
        </w:rPr>
        <w:t>主要是对所属区域内从业人员资质证件进行管理，包括对证书的添加、编辑、删除、导入、导出、查询等管理、详情查看、禁用、单位管理等操作。其中导入、导出、禁用等操作可批量进行。</w:t>
      </w:r>
    </w:p>
    <w:p>
      <w:pPr>
        <w:ind w:firstLine="640"/>
      </w:pPr>
      <w:r>
        <w:rPr>
          <w:rFonts w:hint="eastAsia"/>
        </w:rPr>
        <w:t>人员资质查询维度包括：姓名、身份证号、证书编号、发证部门、持证项目、发证日期、关联单位等。</w:t>
      </w:r>
    </w:p>
    <w:p>
      <w:pPr>
        <w:ind w:firstLine="640"/>
      </w:pPr>
      <w:r>
        <w:rPr>
          <w:rFonts w:hint="eastAsia"/>
        </w:rPr>
        <w:t>人员登记信息包括人员姓名、性别、身份证号、证书编号、作业种类、发证机构、持证项目、发证日期、有效期、联系电话、是否违规等。</w:t>
      </w:r>
    </w:p>
    <w:p>
      <w:pPr>
        <w:pStyle w:val="6"/>
        <w:ind w:firstLine="643"/>
        <w:rPr>
          <w:b/>
        </w:rPr>
      </w:pPr>
      <w:r>
        <w:rPr>
          <w:rFonts w:cs="Times New Roman"/>
          <w:b/>
        </w:rPr>
        <w:t>（2）</w:t>
      </w:r>
      <w:r>
        <w:rPr>
          <w:rFonts w:hint="eastAsia"/>
          <w:b/>
        </w:rPr>
        <w:t>通讯录</w:t>
      </w:r>
    </w:p>
    <w:p>
      <w:pPr>
        <w:ind w:firstLine="640"/>
      </w:pPr>
      <w:r>
        <w:rPr>
          <w:rFonts w:hint="eastAsia"/>
        </w:rPr>
        <w:t>通讯录是各级监管部门的人员通讯查询，方便监管人员进行纵向及横向沟通时快速查询。主要内容包括姓名、电话、职务、单位等。</w:t>
      </w:r>
    </w:p>
    <w:p>
      <w:pPr>
        <w:pStyle w:val="6"/>
        <w:ind w:firstLine="643"/>
        <w:rPr>
          <w:b/>
        </w:rPr>
      </w:pPr>
      <w:r>
        <w:rPr>
          <w:rFonts w:cs="Times New Roman"/>
          <w:b/>
        </w:rPr>
        <w:t>（3）</w:t>
      </w:r>
      <w:r>
        <w:rPr>
          <w:rFonts w:hint="eastAsia"/>
          <w:b/>
        </w:rPr>
        <w:t>单位关联</w:t>
      </w:r>
    </w:p>
    <w:p>
      <w:pPr>
        <w:ind w:firstLine="640"/>
      </w:pPr>
      <w:r>
        <w:rPr>
          <w:rFonts w:hint="eastAsia"/>
        </w:rPr>
        <w:t>单位关联主要是对单位的持证人员进行管理，包括人员单位的关联互查、人员和单位的绑定和解绑等。</w:t>
      </w:r>
    </w:p>
    <w:p>
      <w:pPr>
        <w:ind w:firstLine="0" w:firstLineChars="0"/>
      </w:pPr>
    </w:p>
    <w:p>
      <w:pPr>
        <w:pStyle w:val="5"/>
        <w:ind w:firstLine="643"/>
        <w:rPr>
          <w:rFonts w:ascii="仿宋_GB2312"/>
          <w:szCs w:val="32"/>
        </w:rPr>
      </w:pPr>
      <w:r>
        <w:rPr>
          <w:rFonts w:ascii="Times New Roman" w:hAnsi="Times New Roman" w:cs="Times New Roman"/>
          <w:szCs w:val="32"/>
        </w:rPr>
        <w:t>4.</w:t>
      </w:r>
      <w:r>
        <w:rPr>
          <w:rFonts w:hint="eastAsia" w:ascii="仿宋_GB2312"/>
          <w:szCs w:val="32"/>
        </w:rPr>
        <w:t>检验监管</w:t>
      </w:r>
    </w:p>
    <w:p>
      <w:pPr>
        <w:ind w:firstLine="640"/>
      </w:pPr>
      <w:r>
        <w:t>检验</w:t>
      </w:r>
      <w:r>
        <w:rPr>
          <w:rFonts w:hint="eastAsia"/>
        </w:rPr>
        <w:t>监管是对设备定检查询、检验情况等进行监督管理。如：</w:t>
      </w:r>
    </w:p>
    <w:p>
      <w:pPr>
        <w:pStyle w:val="6"/>
        <w:ind w:firstLine="640"/>
      </w:pPr>
      <w:r>
        <w:rPr>
          <w:rFonts w:cs="Times New Roman"/>
        </w:rPr>
        <w:t>（1）</w:t>
      </w:r>
      <w:r>
        <w:t>定检</w:t>
      </w:r>
      <w:r>
        <w:rPr>
          <w:rFonts w:hint="eastAsia"/>
        </w:rPr>
        <w:t>查询</w:t>
      </w:r>
    </w:p>
    <w:p>
      <w:pPr>
        <w:ind w:firstLine="640"/>
      </w:pPr>
      <w:r>
        <w:t>用户可通过该功能进行设备定检报检情况进行查询，包括申报时间、检验机构、</w:t>
      </w:r>
      <w:r>
        <w:rPr>
          <w:rFonts w:hint="eastAsia"/>
        </w:rPr>
        <w:t>检验状态</w:t>
      </w:r>
      <w:r>
        <w:t>、检验结果及其他相关信息。</w:t>
      </w:r>
      <w:r>
        <w:rPr>
          <w:rFonts w:hint="eastAsia"/>
        </w:rPr>
        <w:t>对检验检测机构上传的未检原因进行确认处理。</w:t>
      </w:r>
    </w:p>
    <w:p>
      <w:pPr>
        <w:pStyle w:val="6"/>
        <w:ind w:firstLine="640"/>
      </w:pPr>
      <w:r>
        <w:rPr>
          <w:rFonts w:cs="Times New Roman"/>
        </w:rPr>
        <w:t>（2）</w:t>
      </w:r>
      <w:r>
        <w:t>检验报告</w:t>
      </w:r>
    </w:p>
    <w:p>
      <w:pPr>
        <w:ind w:firstLine="640"/>
      </w:pPr>
      <w:r>
        <w:t>检验报告验证，对检验报告进行验证查询，可直接通过使用单位、设备代码、检验报告编号等直接进行检验报告查询验证。</w:t>
      </w:r>
    </w:p>
    <w:p>
      <w:pPr>
        <w:pStyle w:val="6"/>
        <w:ind w:firstLine="640"/>
      </w:pPr>
      <w:r>
        <w:rPr>
          <w:rFonts w:cs="Times New Roman"/>
        </w:rPr>
        <w:t>（3）</w:t>
      </w:r>
      <w:r>
        <w:rPr>
          <w:rFonts w:hint="eastAsia"/>
        </w:rPr>
        <w:t>检验情况</w:t>
      </w:r>
    </w:p>
    <w:p>
      <w:pPr>
        <w:ind w:firstLine="640"/>
      </w:pPr>
      <w:r>
        <w:t>对检验机构当前时间段内检验检测情况进行统计查询，包括</w:t>
      </w:r>
      <w:r>
        <w:rPr>
          <w:rFonts w:hint="eastAsia"/>
        </w:rPr>
        <w:t>定检率</w:t>
      </w:r>
      <w:r>
        <w:t>、检验缺陷等信息</w:t>
      </w:r>
      <w:r>
        <w:rPr>
          <w:rFonts w:hint="eastAsia"/>
        </w:rPr>
        <w:t>等分析</w:t>
      </w:r>
      <w:r>
        <w:t>。</w:t>
      </w:r>
    </w:p>
    <w:p>
      <w:pPr>
        <w:numPr>
          <w:ilvl w:val="0"/>
          <w:numId w:val="13"/>
        </w:numPr>
        <w:ind w:firstLine="640"/>
      </w:pPr>
      <w:r>
        <w:rPr>
          <w:rFonts w:hint="eastAsia"/>
        </w:rPr>
        <w:t>电梯检测试点清单</w:t>
      </w:r>
    </w:p>
    <w:p>
      <w:pPr>
        <w:ind w:firstLine="640"/>
      </w:pPr>
      <w:r>
        <w:rPr>
          <w:rFonts w:hint="eastAsia"/>
        </w:rPr>
        <w:t>主要是对辖区内开展电梯检测及按需维保的单位及设备清单。</w:t>
      </w:r>
    </w:p>
    <w:p>
      <w:pPr>
        <w:numPr>
          <w:ilvl w:val="0"/>
          <w:numId w:val="13"/>
        </w:numPr>
        <w:ind w:firstLine="640"/>
      </w:pPr>
      <w:r>
        <w:rPr>
          <w:rFonts w:hint="eastAsia"/>
        </w:rPr>
        <w:t>检验检测信息修正</w:t>
      </w:r>
    </w:p>
    <w:p>
      <w:pPr>
        <w:ind w:firstLine="640"/>
      </w:pPr>
      <w:r>
        <w:rPr>
          <w:rFonts w:hint="eastAsia"/>
        </w:rPr>
        <w:t>主要是对系统内检验检测信息的修正管理。</w:t>
      </w:r>
    </w:p>
    <w:p>
      <w:pPr>
        <w:pStyle w:val="5"/>
        <w:ind w:firstLine="643"/>
        <w:rPr>
          <w:rFonts w:ascii="仿宋_GB2312"/>
          <w:szCs w:val="32"/>
        </w:rPr>
      </w:pPr>
      <w:r>
        <w:rPr>
          <w:rFonts w:ascii="Times New Roman" w:hAnsi="Times New Roman" w:cs="Times New Roman"/>
          <w:szCs w:val="32"/>
        </w:rPr>
        <w:t>5.</w:t>
      </w:r>
      <w:r>
        <w:rPr>
          <w:rFonts w:hint="eastAsia" w:ascii="仿宋_GB2312"/>
          <w:szCs w:val="32"/>
        </w:rPr>
        <w:t>安全监管</w:t>
      </w:r>
    </w:p>
    <w:p>
      <w:pPr>
        <w:ind w:firstLine="640"/>
      </w:pPr>
      <w:r>
        <w:t>安全监管是对特种设备是一些安全行为的监管和一些安全监管任务的管理</w:t>
      </w:r>
      <w:r>
        <w:rPr>
          <w:rFonts w:hint="eastAsia"/>
        </w:rPr>
        <w:t>。</w:t>
      </w:r>
    </w:p>
    <w:p>
      <w:pPr>
        <w:ind w:firstLine="640"/>
      </w:pPr>
      <w:r>
        <w:rPr>
          <w:rFonts w:hint="eastAsia"/>
        </w:rPr>
        <w:t>一是预警信息，预警信息主要是各类临期预警，如设检验预警（临期2个月和1个月分别进行预警），作业人员持证预警（临期3个月和1个月分别进行预警），单位资质预警（临期12个月和6个月分别进行预警），监察指令书预警（临期3天进行预警）等各类临期到期预警。</w:t>
      </w:r>
    </w:p>
    <w:p>
      <w:pPr>
        <w:ind w:firstLine="640"/>
      </w:pPr>
      <w:r>
        <w:rPr>
          <w:rFonts w:hint="eastAsia"/>
        </w:rPr>
        <w:t>二是检查记录，对接浙政钉掌上执法平台获取检查情况数据。</w:t>
      </w:r>
    </w:p>
    <w:p>
      <w:pPr>
        <w:ind w:firstLine="640"/>
      </w:pPr>
      <w:r>
        <w:rPr>
          <w:rFonts w:hint="eastAsia"/>
        </w:rPr>
        <w:t>三分类评价与三项制度。分类评价，分类评价系统基于浙江省地方标准《特种设备使用安全管理分类评价规范》（DB33/T 2126-2018），建设以企业为主体的特种设备安全风险评价系统，为行政部门分类监管提供依据，该模块沿用原有功能。三项制度，三项制度是以信息化管理手段，督促特种设备企业实行风险隐患自查自改自报闭环管理，对重点场所、重点企业、重点设备实行风险预警管控，提供全省范围内重大风险隐患排查日志、严重事故隐患报告制和安全责任举一反三制等特种设备安全防范三项制度的信息化系统，该模块沿用原有功能。</w:t>
      </w:r>
    </w:p>
    <w:p>
      <w:pPr>
        <w:ind w:firstLine="640"/>
      </w:pPr>
      <w:r>
        <w:rPr>
          <w:rFonts w:hint="eastAsia"/>
        </w:rPr>
        <w:t>四是重大问题报告单，主要是重大问题报告的编辑、接收、处理、反馈等管理。</w:t>
      </w:r>
    </w:p>
    <w:p>
      <w:pPr>
        <w:ind w:firstLine="640"/>
      </w:pPr>
      <w:r>
        <w:rPr>
          <w:rFonts w:hint="eastAsia"/>
        </w:rPr>
        <w:t>五是监察指令书，主要是进行检查指令书的查询、开具和任务预警。可根据结案处理机构、责令整改日期、检查指令书编号、处理结果、结案情况等相关信息进行登记查询并进行自动预警。责令整改日期预警包括临期预警，可设定为至到期日前3天进行处理提醒，如已处理则不作提醒。</w:t>
      </w:r>
    </w:p>
    <w:p>
      <w:pPr>
        <w:ind w:firstLine="640"/>
      </w:pPr>
      <w:r>
        <w:rPr>
          <w:rFonts w:hint="eastAsia"/>
        </w:rPr>
        <w:t>在新增的时候可通过点选预存的条例条款进行快速开具，开局后发送电子稿至使用单位，也可选择打印出具。</w:t>
      </w:r>
    </w:p>
    <w:p>
      <w:pPr>
        <w:ind w:firstLine="640"/>
      </w:pPr>
      <w:r>
        <w:rPr>
          <w:rFonts w:hint="eastAsia"/>
        </w:rPr>
        <w:t>六是是隐患管理，主要是对隐患问题的接收、处理及上报等的管理。包括隐患录入、隐患清单和隐患落实管理等。其中隐患清单分为严重事故隐患、较大事故隐患和一般事故隐患。隐患包括设备类隐患、管理类隐患、人员类隐患等，通过分类评价、重大问题告知单、日常检查、检验模块、以及部分系统识别等进行记录。建设隐患落实管理，形成管理闭环。</w:t>
      </w:r>
    </w:p>
    <w:p>
      <w:pPr>
        <w:ind w:firstLine="640"/>
      </w:pPr>
      <w:r>
        <w:rPr>
          <w:rFonts w:hint="eastAsia"/>
        </w:rPr>
        <w:t>七是基层四平台，主要为对基层四平台特种设备相关事件接收及处理反馈的管理。</w:t>
      </w:r>
    </w:p>
    <w:p>
      <w:pPr>
        <w:ind w:firstLine="640"/>
      </w:pPr>
      <w:r>
        <w:rPr>
          <w:rFonts w:hint="eastAsia"/>
        </w:rPr>
        <w:t>八是</w:t>
      </w:r>
      <w:r>
        <w:t>电梯</w:t>
      </w:r>
      <w:r>
        <w:rPr>
          <w:rFonts w:hint="eastAsia"/>
        </w:rPr>
        <w:t>维保</w:t>
      </w:r>
      <w:r>
        <w:t>质量监督抽查</w:t>
      </w:r>
      <w:r>
        <w:rPr>
          <w:rFonts w:hint="eastAsia"/>
        </w:rPr>
        <w:t>，沿用原有电梯维保质量监督抽查功能模块。</w:t>
      </w:r>
    </w:p>
    <w:p>
      <w:pPr>
        <w:ind w:firstLine="640"/>
      </w:pPr>
      <w:r>
        <w:rPr>
          <w:rFonts w:hint="eastAsia"/>
        </w:rPr>
        <w:t>九是电梯安全评估，沿用原有电梯安全评估功能模块。</w:t>
      </w:r>
    </w:p>
    <w:p>
      <w:pPr>
        <w:pStyle w:val="5"/>
        <w:ind w:firstLine="643"/>
        <w:rPr>
          <w:rFonts w:ascii="仿宋_GB2312"/>
          <w:szCs w:val="32"/>
        </w:rPr>
      </w:pPr>
      <w:r>
        <w:rPr>
          <w:rFonts w:ascii="Times New Roman" w:hAnsi="Times New Roman" w:cs="Times New Roman"/>
          <w:szCs w:val="32"/>
        </w:rPr>
        <w:t>6.</w:t>
      </w:r>
      <w:r>
        <w:rPr>
          <w:rFonts w:hint="eastAsia" w:ascii="仿宋_GB2312"/>
          <w:szCs w:val="32"/>
        </w:rPr>
        <w:t>事故管理</w:t>
      </w:r>
    </w:p>
    <w:p>
      <w:pPr>
        <w:ind w:firstLine="640"/>
      </w:pPr>
      <w:r>
        <w:rPr>
          <w:rFonts w:hint="eastAsia"/>
        </w:rPr>
        <w:t>对特种设备事故的快速上报与核实，并完成投诉举报处理等相关管理。如：</w:t>
      </w:r>
    </w:p>
    <w:p>
      <w:pPr>
        <w:ind w:firstLine="640"/>
      </w:pPr>
      <w:r>
        <w:rPr>
          <w:rFonts w:hint="eastAsia"/>
        </w:rPr>
        <w:t>一是事故上报，可进行快速事故简报，内容包括事故类别、单位名称、发生时间、发生地点、伤亡情况、企业性质、所属区域、设备类别、设备代码、主管部门、企业社会信用代码、事故简述、以及相关联系人、联系方式、填报人信息和填报时间。查询历史上报列表，并对列表进行标注或备注。</w:t>
      </w:r>
    </w:p>
    <w:p>
      <w:pPr>
        <w:ind w:firstLine="640"/>
      </w:pPr>
      <w:r>
        <w:rPr>
          <w:rFonts w:hint="eastAsia"/>
        </w:rPr>
        <w:t>二是事故查询，查询历史事故上报信息及相关备注或反馈信息，并可自主添加或导入非上报历史事故信息，方便进行事故信息回顾及进行相关监察。</w:t>
      </w:r>
    </w:p>
    <w:p>
      <w:pPr>
        <w:ind w:firstLine="640"/>
      </w:pPr>
      <w:r>
        <w:rPr>
          <w:rFonts w:hint="eastAsia"/>
        </w:rPr>
        <w:t>三是事故核实，对已上报事故进行核实记录，并将相应结果完成相应抄送。</w:t>
      </w:r>
    </w:p>
    <w:p>
      <w:pPr>
        <w:ind w:firstLine="640"/>
      </w:pPr>
      <w:r>
        <w:rPr>
          <w:rFonts w:hint="eastAsia"/>
        </w:rPr>
        <w:t>四是投诉举报，记录投诉举报信息，并可进行历史投诉举报信息进行查询统计以及导出操作。记录可手工记录也可报表导入。对投诉举报信息可将相应信息进行系统内转发记录，并进行备注，核实后进行结果登记，形成管理闭环。</w:t>
      </w:r>
    </w:p>
    <w:p>
      <w:pPr>
        <w:pStyle w:val="4"/>
        <w:numPr>
          <w:ilvl w:val="2"/>
          <w:numId w:val="8"/>
        </w:numPr>
        <w:spacing w:before="0" w:after="0" w:line="580" w:lineRule="exact"/>
        <w:ind w:firstLine="640"/>
      </w:pPr>
      <w:bookmarkStart w:id="42" w:name="_Toc20685"/>
      <w:r>
        <w:rPr>
          <w:rFonts w:hint="eastAsia"/>
        </w:rPr>
        <w:t>监管</w:t>
      </w:r>
      <w:r>
        <w:rPr>
          <w:rFonts w:hint="eastAsia" w:ascii="楷体_GB2312" w:eastAsia="楷体_GB2312"/>
        </w:rPr>
        <w:t>移动</w:t>
      </w:r>
      <w:r>
        <w:rPr>
          <w:rFonts w:hint="eastAsia"/>
        </w:rPr>
        <w:t>端</w:t>
      </w:r>
      <w:bookmarkEnd w:id="42"/>
    </w:p>
    <w:p>
      <w:pPr>
        <w:ind w:firstLine="640"/>
      </w:pPr>
      <w:r>
        <w:rPr>
          <w:rFonts w:hint="eastAsia"/>
        </w:rPr>
        <w:t>监管移动端的建设主要为提高监察效率，为监察人员移现场监察等移动办公场景提供便利。功能模块主要参考监管子系统功能模块建设，并做移动化适配提升操作便利性以及可读性。建设功能模块如下：</w:t>
      </w:r>
    </w:p>
    <w:p>
      <w:pPr>
        <w:pStyle w:val="5"/>
        <w:numPr>
          <w:ilvl w:val="0"/>
          <w:numId w:val="18"/>
        </w:numPr>
        <w:ind w:firstLine="643"/>
      </w:pPr>
      <w:r>
        <w:rPr>
          <w:rFonts w:hint="eastAsia"/>
        </w:rPr>
        <w:t>待办任务</w:t>
      </w:r>
    </w:p>
    <w:p>
      <w:pPr>
        <w:ind w:firstLine="640"/>
      </w:pPr>
      <w:r>
        <w:rPr>
          <w:rFonts w:hint="eastAsia"/>
        </w:rPr>
        <w:t>主要是各类待办任务列表，根据用户权限进行待办任务及通知的显示。如县级工作人员指令书处理列表、隐患处理列表，市级工作人员的检验检测机构备案审核等。具体以实际待办任务为准。</w:t>
      </w:r>
    </w:p>
    <w:p>
      <w:pPr>
        <w:pStyle w:val="5"/>
        <w:numPr>
          <w:ilvl w:val="0"/>
          <w:numId w:val="18"/>
        </w:numPr>
        <w:ind w:firstLine="643"/>
      </w:pPr>
      <w:r>
        <w:rPr>
          <w:rFonts w:hint="eastAsia"/>
        </w:rPr>
        <w:t>单位监管</w:t>
      </w:r>
    </w:p>
    <w:p>
      <w:pPr>
        <w:ind w:firstLine="640"/>
      </w:pPr>
      <w:r>
        <w:rPr>
          <w:rFonts w:hint="eastAsia"/>
        </w:rPr>
        <w:t>单位监管主要是对各类单位的基本档案及资质等信息的快速查询，并通过单位进行设备和人员的关联查询。</w:t>
      </w:r>
    </w:p>
    <w:p>
      <w:pPr>
        <w:pStyle w:val="5"/>
        <w:numPr>
          <w:ilvl w:val="0"/>
          <w:numId w:val="18"/>
        </w:numPr>
        <w:ind w:firstLine="643"/>
      </w:pPr>
      <w:r>
        <w:rPr>
          <w:rFonts w:hint="eastAsia"/>
        </w:rPr>
        <w:t>设备监管</w:t>
      </w:r>
    </w:p>
    <w:p>
      <w:pPr>
        <w:ind w:firstLine="640"/>
      </w:pPr>
      <w:r>
        <w:rPr>
          <w:rFonts w:hint="eastAsia"/>
        </w:rPr>
        <w:t>主要是对八大类特种设备的信息进行快速查询，以及通过设备进行单位和人员进行关联快速查询。</w:t>
      </w:r>
    </w:p>
    <w:p>
      <w:pPr>
        <w:pStyle w:val="5"/>
        <w:numPr>
          <w:ilvl w:val="0"/>
          <w:numId w:val="18"/>
        </w:numPr>
        <w:ind w:firstLine="643"/>
      </w:pPr>
      <w:r>
        <w:rPr>
          <w:rFonts w:hint="eastAsia"/>
        </w:rPr>
        <w:t>安全监管</w:t>
      </w:r>
    </w:p>
    <w:p>
      <w:pPr>
        <w:ind w:firstLine="640"/>
      </w:pPr>
      <w:r>
        <w:rPr>
          <w:rFonts w:hint="eastAsia"/>
        </w:rPr>
        <w:t>安全监管包括了预警信息管理、隐患监管、重大问题报告单、事故管理、监察指令书等功能模块。</w:t>
      </w:r>
    </w:p>
    <w:p>
      <w:pPr>
        <w:ind w:firstLine="640"/>
      </w:pPr>
      <w:r>
        <w:rPr>
          <w:rFonts w:hint="eastAsia"/>
        </w:rPr>
        <w:t>预警信息主要是预警信息的推送及快速查询。</w:t>
      </w:r>
    </w:p>
    <w:p>
      <w:pPr>
        <w:ind w:firstLine="640"/>
      </w:pPr>
      <w:r>
        <w:rPr>
          <w:rFonts w:hint="eastAsia"/>
        </w:rPr>
        <w:t>隐患监管是对隐患的查询及现场监管过程中的快速落实反馈处理。</w:t>
      </w:r>
    </w:p>
    <w:p>
      <w:pPr>
        <w:ind w:firstLine="640"/>
      </w:pPr>
      <w:r>
        <w:rPr>
          <w:rFonts w:hint="eastAsia"/>
        </w:rPr>
        <w:t>重大问题报告单主要是对重大问题报告单的接收、查询以及落实反馈。</w:t>
      </w:r>
    </w:p>
    <w:p>
      <w:pPr>
        <w:ind w:firstLine="640"/>
      </w:pPr>
      <w:r>
        <w:rPr>
          <w:rFonts w:hint="eastAsia"/>
        </w:rPr>
        <w:t>事故管理是事故快速上报，快速处理反馈，确保随时随地可进行事故的快速查询反馈。</w:t>
      </w:r>
    </w:p>
    <w:p>
      <w:pPr>
        <w:ind w:firstLine="640"/>
      </w:pPr>
      <w:r>
        <w:rPr>
          <w:rFonts w:hint="eastAsia"/>
        </w:rPr>
        <w:t>监察指令书主要是指令书的的生成、发送及打印。</w:t>
      </w:r>
    </w:p>
    <w:p>
      <w:pPr>
        <w:pStyle w:val="5"/>
        <w:numPr>
          <w:ilvl w:val="0"/>
          <w:numId w:val="18"/>
        </w:numPr>
        <w:ind w:firstLine="643"/>
      </w:pPr>
      <w:r>
        <w:rPr>
          <w:rFonts w:hint="eastAsia"/>
        </w:rPr>
        <w:t>人员监管</w:t>
      </w:r>
    </w:p>
    <w:p>
      <w:pPr>
        <w:ind w:firstLine="640"/>
      </w:pPr>
      <w:r>
        <w:rPr>
          <w:rFonts w:hint="eastAsia"/>
        </w:rPr>
        <w:t>人员监管包括了作业人员基本信息、人员资质等的快速查询管理。</w:t>
      </w:r>
    </w:p>
    <w:p>
      <w:pPr>
        <w:pStyle w:val="5"/>
        <w:numPr>
          <w:ilvl w:val="0"/>
          <w:numId w:val="18"/>
        </w:numPr>
        <w:ind w:firstLine="643"/>
      </w:pPr>
      <w:r>
        <w:rPr>
          <w:rFonts w:hint="eastAsia"/>
        </w:rPr>
        <w:t>业务办理</w:t>
      </w:r>
    </w:p>
    <w:p>
      <w:pPr>
        <w:ind w:firstLine="640"/>
      </w:pPr>
      <w:r>
        <w:rPr>
          <w:rFonts w:hint="eastAsia"/>
        </w:rPr>
        <w:t>对施工告知业务的快速处理和历史任务的查询。如施工告知快速通过、作废及回退等的操作。</w:t>
      </w:r>
    </w:p>
    <w:p>
      <w:pPr>
        <w:ind w:firstLine="640"/>
      </w:pPr>
    </w:p>
    <w:p>
      <w:pPr>
        <w:ind w:firstLine="640"/>
      </w:pPr>
    </w:p>
    <w:p>
      <w:pPr>
        <w:ind w:firstLine="640"/>
      </w:pPr>
    </w:p>
    <w:p>
      <w:pPr>
        <w:ind w:firstLine="640"/>
      </w:pPr>
    </w:p>
    <w:p>
      <w:pPr>
        <w:ind w:firstLine="640"/>
      </w:pPr>
    </w:p>
    <w:p>
      <w:pPr>
        <w:pStyle w:val="3"/>
        <w:numPr>
          <w:ilvl w:val="1"/>
          <w:numId w:val="6"/>
        </w:numPr>
        <w:ind w:firstLine="640"/>
      </w:pPr>
      <w:bookmarkStart w:id="43" w:name="_Toc12178"/>
      <w:bookmarkStart w:id="44" w:name="_Toc2499"/>
      <w:r>
        <w:rPr>
          <w:rFonts w:hint="eastAsia" w:ascii="黑体" w:hAnsi="黑体"/>
          <w:b w:val="0"/>
        </w:rPr>
        <w:t>全省公共服务</w:t>
      </w:r>
      <w:bookmarkEnd w:id="43"/>
      <w:r>
        <w:rPr>
          <w:rFonts w:hint="eastAsia" w:ascii="黑体" w:hAnsi="黑体"/>
          <w:b w:val="0"/>
        </w:rPr>
        <w:t>模块</w:t>
      </w:r>
      <w:bookmarkEnd w:id="44"/>
    </w:p>
    <w:p>
      <w:pPr>
        <w:ind w:firstLine="640"/>
      </w:pPr>
      <w:r>
        <w:rPr>
          <w:rFonts w:hint="eastAsia"/>
        </w:rPr>
        <w:t>全省</w:t>
      </w:r>
      <w:r>
        <w:t>公共服务</w:t>
      </w:r>
      <w:r>
        <w:rPr>
          <w:rFonts w:hint="eastAsia"/>
        </w:rPr>
        <w:t>模块</w:t>
      </w:r>
      <w:r>
        <w:t>立足于为民服务、促进特种设备安全行业发展以及“最多跑一次”的深入建设，打造为特种设备</w:t>
      </w:r>
      <w:r>
        <w:rPr>
          <w:rFonts w:hint="eastAsia"/>
        </w:rPr>
        <w:t>制造单位、销售单位、施工单位（包括安装、改造、维修）、</w:t>
      </w:r>
      <w:r>
        <w:t>使用单位、</w:t>
      </w:r>
      <w:r>
        <w:rPr>
          <w:rFonts w:hint="eastAsia"/>
        </w:rPr>
        <w:t>维保单位，和</w:t>
      </w:r>
      <w:r>
        <w:t>相关从业人员</w:t>
      </w:r>
      <w:r>
        <w:rPr>
          <w:rFonts w:hint="eastAsia"/>
        </w:rPr>
        <w:t>以及社会公众</w:t>
      </w:r>
      <w:r>
        <w:t>的全面服务及</w:t>
      </w:r>
      <w:r>
        <w:rPr>
          <w:rFonts w:hint="eastAsia"/>
        </w:rPr>
        <w:t>业务</w:t>
      </w:r>
      <w:r>
        <w:t>办理窗口。</w:t>
      </w:r>
      <w:r>
        <w:rPr>
          <w:rFonts w:hint="eastAsia"/>
        </w:rPr>
        <w:t>全省公共服务模块需要开发Web端和移动端，主要功能模块建设在企业管理部分，如下图所示：</w:t>
      </w:r>
    </w:p>
    <w:p>
      <w:pPr>
        <w:pStyle w:val="15"/>
        <w:ind w:firstLine="480"/>
      </w:pPr>
      <w:r>
        <w:drawing>
          <wp:anchor distT="0" distB="0" distL="114300" distR="114300" simplePos="0" relativeHeight="251676672" behindDoc="0" locked="0" layoutInCell="1" allowOverlap="1">
            <wp:simplePos x="0" y="0"/>
            <wp:positionH relativeFrom="column">
              <wp:posOffset>591185</wp:posOffset>
            </wp:positionH>
            <wp:positionV relativeFrom="paragraph">
              <wp:posOffset>317500</wp:posOffset>
            </wp:positionV>
            <wp:extent cx="4771390" cy="2654935"/>
            <wp:effectExtent l="0" t="0" r="13970" b="12065"/>
            <wp:wrapTopAndBottom/>
            <wp:docPr id="30" name="图片 30" descr="公共服务主要功能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公共服务主要功能模块"/>
                    <pic:cNvPicPr>
                      <a:picLocks noChangeAspect="1"/>
                    </pic:cNvPicPr>
                  </pic:nvPicPr>
                  <pic:blipFill>
                    <a:blip r:embed="rId25"/>
                    <a:stretch>
                      <a:fillRect/>
                    </a:stretch>
                  </pic:blipFill>
                  <pic:spPr>
                    <a:xfrm>
                      <a:off x="0" y="0"/>
                      <a:ext cx="4771390" cy="2654935"/>
                    </a:xfrm>
                    <a:prstGeom prst="rect">
                      <a:avLst/>
                    </a:prstGeom>
                  </pic:spPr>
                </pic:pic>
              </a:graphicData>
            </a:graphic>
          </wp:anchor>
        </w:drawing>
      </w:r>
    </w:p>
    <w:p>
      <w:pPr>
        <w:ind w:firstLine="640"/>
      </w:pPr>
      <w:r>
        <w:rPr>
          <w:rFonts w:hint="eastAsia"/>
        </w:rPr>
        <w:t>本章内容将通过公共服务门户网站和公共服务企业管理两大内容进行具体的描述。</w:t>
      </w:r>
    </w:p>
    <w:p>
      <w:pPr>
        <w:pStyle w:val="4"/>
        <w:numPr>
          <w:ilvl w:val="2"/>
          <w:numId w:val="19"/>
        </w:numPr>
        <w:spacing w:before="0" w:after="0" w:line="580" w:lineRule="exact"/>
        <w:ind w:firstLine="640"/>
        <w:rPr>
          <w:rFonts w:ascii="楷体_GB2312" w:eastAsia="楷体_GB2312"/>
        </w:rPr>
      </w:pPr>
      <w:bookmarkStart w:id="45" w:name="_Toc21569"/>
      <w:r>
        <w:rPr>
          <w:rFonts w:hint="eastAsia" w:ascii="楷体_GB2312" w:eastAsia="楷体_GB2312"/>
        </w:rPr>
        <w:t>公共服务门户网站</w:t>
      </w:r>
      <w:bookmarkEnd w:id="45"/>
    </w:p>
    <w:p>
      <w:pPr>
        <w:ind w:firstLine="640"/>
      </w:pPr>
      <w:r>
        <w:rPr>
          <w:rFonts w:hint="eastAsia"/>
        </w:rPr>
        <w:t>全省公共服务模块的首页呈现形式为门户网站，主要是为社会公众及企业主体提供特种设备相关知识、通知公告、办事指南等相关信息查询。主要显示内容如下：</w:t>
      </w:r>
    </w:p>
    <w:p>
      <w:pPr>
        <w:pStyle w:val="15"/>
        <w:ind w:firstLine="0" w:firstLineChars="0"/>
      </w:pPr>
      <w:r>
        <w:drawing>
          <wp:anchor distT="0" distB="0" distL="114300" distR="114300" simplePos="0" relativeHeight="251677696" behindDoc="0" locked="0" layoutInCell="1" allowOverlap="1">
            <wp:simplePos x="0" y="0"/>
            <wp:positionH relativeFrom="column">
              <wp:posOffset>1031240</wp:posOffset>
            </wp:positionH>
            <wp:positionV relativeFrom="paragraph">
              <wp:posOffset>187325</wp:posOffset>
            </wp:positionV>
            <wp:extent cx="4067175" cy="2257425"/>
            <wp:effectExtent l="0" t="0" r="1905" b="13335"/>
            <wp:wrapTopAndBottom/>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26"/>
                    <a:stretch>
                      <a:fillRect/>
                    </a:stretch>
                  </pic:blipFill>
                  <pic:spPr>
                    <a:xfrm>
                      <a:off x="0" y="0"/>
                      <a:ext cx="4067175" cy="2257425"/>
                    </a:xfrm>
                    <a:prstGeom prst="rect">
                      <a:avLst/>
                    </a:prstGeom>
                    <a:noFill/>
                    <a:ln>
                      <a:noFill/>
                    </a:ln>
                  </pic:spPr>
                </pic:pic>
              </a:graphicData>
            </a:graphic>
          </wp:anchor>
        </w:drawing>
      </w:r>
    </w:p>
    <w:p>
      <w:pPr>
        <w:pStyle w:val="5"/>
        <w:numPr>
          <w:ilvl w:val="0"/>
          <w:numId w:val="20"/>
        </w:numPr>
        <w:ind w:firstLine="643"/>
      </w:pPr>
      <w:bookmarkStart w:id="46" w:name="_Toc2088"/>
      <w:r>
        <w:rPr>
          <w:rFonts w:hint="eastAsia"/>
        </w:rPr>
        <w:t>在线知识库</w:t>
      </w:r>
      <w:bookmarkEnd w:id="46"/>
    </w:p>
    <w:p>
      <w:pPr>
        <w:ind w:firstLine="640"/>
      </w:pPr>
      <w:r>
        <w:rPr>
          <w:rFonts w:hint="eastAsia"/>
        </w:rPr>
        <w:t>提供各类特种设备相关知识的在线查询与学习，便于企业与相关从业人员进行在线学习。包括法律法规、安全标准、检验缺陷、事故案例、专家分析等。用户可以根据查询条件，包括资料名称、设备种类、发布时间等，分门别类地设置，让用户快速查找到相应的信息资料进行在线浏览。</w:t>
      </w:r>
    </w:p>
    <w:p>
      <w:pPr>
        <w:pStyle w:val="5"/>
        <w:numPr>
          <w:ilvl w:val="0"/>
          <w:numId w:val="20"/>
        </w:numPr>
        <w:ind w:firstLine="643"/>
      </w:pPr>
      <w:r>
        <w:rPr>
          <w:rFonts w:hint="eastAsia"/>
        </w:rPr>
        <w:t>信息公示</w:t>
      </w:r>
    </w:p>
    <w:p>
      <w:pPr>
        <w:ind w:firstLine="640"/>
      </w:pPr>
      <w:r>
        <w:rPr>
          <w:rFonts w:hint="eastAsia"/>
        </w:rPr>
        <w:t>主要展示最新的公示信息、消息通知、监督检查情况的通报等内容，包括电梯检测试点公示、电梯检测机构公示、电梯按需维保试点公示、维保单位按需维保业务开展公示、使用单位和维保单位自行检测公示、主要零部件和维保工时公示和电梯参保信息公示等。用户可以通过不同的信息分类进入页面并查询内容。</w:t>
      </w:r>
    </w:p>
    <w:p>
      <w:pPr>
        <w:pStyle w:val="5"/>
        <w:numPr>
          <w:ilvl w:val="0"/>
          <w:numId w:val="20"/>
        </w:numPr>
        <w:ind w:firstLine="643"/>
        <w:rPr>
          <w:rFonts w:ascii="楷体_GB2312" w:eastAsia="楷体_GB2312" w:cstheme="minorBidi"/>
          <w:szCs w:val="32"/>
        </w:rPr>
      </w:pPr>
      <w:bookmarkStart w:id="47" w:name="_Toc24388"/>
      <w:r>
        <w:rPr>
          <w:rFonts w:hint="eastAsia" w:ascii="楷体_GB2312" w:eastAsia="楷体_GB2312" w:cstheme="minorBidi"/>
          <w:szCs w:val="32"/>
        </w:rPr>
        <w:t>投诉举报</w:t>
      </w:r>
      <w:bookmarkEnd w:id="47"/>
    </w:p>
    <w:p>
      <w:pPr>
        <w:ind w:firstLine="640"/>
      </w:pPr>
      <w:r>
        <w:rPr>
          <w:rFonts w:hint="eastAsia"/>
        </w:rPr>
        <w:t>主要是为普通公众提供投诉举报入口，当发现检验检测机构、特种设备使用单位、生产单位等有各类违法违规的行为可进行在线举报或通过联系方式进行投诉。</w:t>
      </w:r>
    </w:p>
    <w:p>
      <w:pPr>
        <w:pStyle w:val="5"/>
        <w:numPr>
          <w:ilvl w:val="0"/>
          <w:numId w:val="20"/>
        </w:numPr>
        <w:ind w:firstLine="643"/>
        <w:rPr>
          <w:rFonts w:ascii="楷体_GB2312" w:eastAsia="楷体_GB2312" w:cstheme="minorBidi"/>
          <w:szCs w:val="32"/>
        </w:rPr>
      </w:pPr>
      <w:r>
        <w:rPr>
          <w:rFonts w:hint="eastAsia" w:ascii="楷体_GB2312" w:eastAsia="楷体_GB2312" w:cstheme="minorBidi"/>
          <w:szCs w:val="32"/>
        </w:rPr>
        <w:t>资料下载</w:t>
      </w:r>
    </w:p>
    <w:p>
      <w:pPr>
        <w:ind w:firstLine="640"/>
      </w:pPr>
      <w:r>
        <w:rPr>
          <w:rFonts w:hint="eastAsia"/>
        </w:rPr>
        <w:t>为企业用户和社会公众提供相关资料的下载入口，包括各类协议书模板、业务办理申请表模板、施工告知书模板和各类报告模板等。用户可以根据资料文件的分类、资料的名称等相关搜索条件快速查找，并且下载相应的文件模板。</w:t>
      </w:r>
    </w:p>
    <w:p>
      <w:pPr>
        <w:pStyle w:val="5"/>
        <w:numPr>
          <w:ilvl w:val="0"/>
          <w:numId w:val="20"/>
        </w:numPr>
        <w:ind w:firstLine="643"/>
        <w:rPr>
          <w:rFonts w:ascii="楷体_GB2312" w:eastAsia="楷体_GB2312" w:cstheme="minorBidi"/>
          <w:szCs w:val="32"/>
        </w:rPr>
      </w:pPr>
      <w:r>
        <w:rPr>
          <w:rFonts w:hint="eastAsia" w:ascii="楷体_GB2312" w:eastAsia="楷体_GB2312" w:cstheme="minorBidi"/>
          <w:szCs w:val="32"/>
        </w:rPr>
        <w:t>办事指南</w:t>
      </w:r>
    </w:p>
    <w:p>
      <w:pPr>
        <w:ind w:firstLine="640"/>
      </w:pPr>
      <w:r>
        <w:rPr>
          <w:rFonts w:hint="eastAsia"/>
        </w:rPr>
        <w:t>提供各类业务办理的简单易懂的图文介绍，包括施工告知、使用登记、在线报检、电梯维保检测等主要业务的操作流程和简短说明，用户可以通过筛选业务种类、搜索关键词等方式快速找到相应的办事指南说明书。</w:t>
      </w:r>
    </w:p>
    <w:p>
      <w:pPr>
        <w:pStyle w:val="5"/>
        <w:numPr>
          <w:ilvl w:val="0"/>
          <w:numId w:val="20"/>
        </w:numPr>
        <w:ind w:firstLine="643"/>
        <w:rPr>
          <w:rFonts w:ascii="楷体_GB2312" w:eastAsia="楷体_GB2312" w:cstheme="minorBidi"/>
          <w:szCs w:val="32"/>
        </w:rPr>
      </w:pPr>
      <w:r>
        <w:rPr>
          <w:rFonts w:hint="eastAsia" w:ascii="楷体_GB2312" w:eastAsia="楷体_GB2312" w:cstheme="minorBidi"/>
          <w:szCs w:val="32"/>
        </w:rPr>
        <w:t>工作动态</w:t>
      </w:r>
    </w:p>
    <w:p>
      <w:pPr>
        <w:ind w:firstLine="640"/>
      </w:pPr>
      <w:r>
        <w:rPr>
          <w:rFonts w:hint="eastAsia"/>
        </w:rPr>
        <w:t>主要为社会公众提供渠道了解全省特种设备相关的工作动向，包括活动开展、信息公开、实时新闻等。用户也可以根据查询条件进行查询，内容可以通过图文、视频等形式呈现。</w:t>
      </w:r>
    </w:p>
    <w:p>
      <w:pPr>
        <w:pStyle w:val="5"/>
        <w:numPr>
          <w:ilvl w:val="0"/>
          <w:numId w:val="20"/>
        </w:numPr>
        <w:ind w:firstLine="643"/>
        <w:rPr>
          <w:rFonts w:ascii="楷体_GB2312" w:eastAsia="楷体_GB2312" w:cstheme="minorBidi"/>
          <w:szCs w:val="32"/>
        </w:rPr>
      </w:pPr>
      <w:r>
        <w:rPr>
          <w:rFonts w:hint="eastAsia" w:ascii="楷体_GB2312" w:eastAsia="楷体_GB2312" w:cstheme="minorBidi"/>
          <w:szCs w:val="32"/>
        </w:rPr>
        <w:t>业务办理入口</w:t>
      </w:r>
    </w:p>
    <w:p>
      <w:pPr>
        <w:ind w:firstLine="640"/>
      </w:pPr>
      <w:r>
        <w:rPr>
          <w:rFonts w:hint="eastAsia"/>
        </w:rPr>
        <w:t>提供各类企业主体进行业务办理的入口，包括使用单位、制造单位、销售单位、维保单位、施工单位，通过条理清晰的办事入口让企业快速登录账户并进行业务申请和信息查询管理。</w:t>
      </w:r>
    </w:p>
    <w:p>
      <w:pPr>
        <w:pStyle w:val="5"/>
        <w:numPr>
          <w:ilvl w:val="0"/>
          <w:numId w:val="20"/>
        </w:numPr>
        <w:ind w:firstLine="643"/>
        <w:rPr>
          <w:rFonts w:ascii="楷体_GB2312" w:eastAsia="楷体_GB2312" w:cstheme="minorBidi"/>
          <w:szCs w:val="32"/>
        </w:rPr>
      </w:pPr>
      <w:r>
        <w:rPr>
          <w:rFonts w:hint="eastAsia" w:ascii="楷体_GB2312" w:eastAsia="楷体_GB2312" w:cstheme="minorBidi"/>
          <w:szCs w:val="32"/>
        </w:rPr>
        <w:t>联系我们</w:t>
      </w:r>
    </w:p>
    <w:p>
      <w:pPr>
        <w:ind w:firstLine="640"/>
      </w:pPr>
      <w:r>
        <w:rPr>
          <w:rFonts w:hint="eastAsia"/>
        </w:rPr>
        <w:t>主要为社会公众提供全省范围内各个监察机构和检验机构的联系方式，包括所属地区、业务办理范围、咨询电话、办公地址等。</w:t>
      </w:r>
    </w:p>
    <w:p>
      <w:pPr>
        <w:pStyle w:val="4"/>
        <w:numPr>
          <w:ilvl w:val="2"/>
          <w:numId w:val="19"/>
        </w:numPr>
        <w:spacing w:before="0" w:after="0" w:line="580" w:lineRule="exact"/>
        <w:ind w:firstLine="640"/>
        <w:rPr>
          <w:rFonts w:ascii="楷体_GB2312" w:eastAsia="楷体_GB2312"/>
        </w:rPr>
      </w:pPr>
      <w:bookmarkStart w:id="48" w:name="_Toc25309"/>
      <w:r>
        <w:rPr>
          <w:rFonts w:hint="eastAsia" w:ascii="楷体_GB2312" w:eastAsia="楷体_GB2312"/>
        </w:rPr>
        <w:t>公共服务企业管理</w:t>
      </w:r>
      <w:bookmarkEnd w:id="48"/>
    </w:p>
    <w:p>
      <w:pPr>
        <w:ind w:firstLine="640"/>
      </w:pPr>
      <w:r>
        <w:rPr>
          <w:rFonts w:hint="eastAsia"/>
        </w:rPr>
        <w:t>全省公共服务企业管理主要是为各类企业主体提供业务办理、信息备案、信息查询等综合管理功能的平台。以下内容根据企业主体角度进行分类说明。</w:t>
      </w:r>
    </w:p>
    <w:p>
      <w:pPr>
        <w:pStyle w:val="5"/>
        <w:numPr>
          <w:ilvl w:val="0"/>
          <w:numId w:val="21"/>
        </w:numPr>
        <w:ind w:firstLine="643"/>
      </w:pPr>
      <w:r>
        <w:rPr>
          <w:rFonts w:hint="eastAsia"/>
        </w:rPr>
        <w:t>制造单位</w:t>
      </w:r>
    </w:p>
    <w:p>
      <w:pPr>
        <w:ind w:firstLine="640"/>
        <w:rPr>
          <w:rFonts w:cs="Times New Roman"/>
        </w:rPr>
      </w:pPr>
      <w:r>
        <w:rPr>
          <w:rFonts w:hint="eastAsia"/>
        </w:rPr>
        <w:t>以下内容为制造单位登录账户后所能查看和操作的主要功能模块和功能点：</w:t>
      </w:r>
    </w:p>
    <w:p>
      <w:pPr>
        <w:pStyle w:val="6"/>
        <w:numPr>
          <w:ilvl w:val="0"/>
          <w:numId w:val="22"/>
        </w:numPr>
        <w:ind w:firstLine="640"/>
        <w:rPr>
          <w:rStyle w:val="39"/>
          <w:bCs/>
        </w:rPr>
      </w:pPr>
      <w:r>
        <w:rPr>
          <w:rStyle w:val="39"/>
          <w:rFonts w:hint="eastAsia"/>
          <w:bCs/>
        </w:rPr>
        <w:t>账户管理</w:t>
      </w:r>
    </w:p>
    <w:p>
      <w:pPr>
        <w:ind w:firstLine="640"/>
      </w:pPr>
      <w:r>
        <w:rPr>
          <w:rFonts w:hint="eastAsia"/>
        </w:rPr>
        <w:t>提供账号开通和账户信息维护等相关功能。首次进入全省公共服务模块的特种设备相关制造单位需要根据单位性质提供单位信息和相关资质证明等。制造单位需要提供企业营业执照、特种设备制造许可证明等信息。与使用单位相同，功能模块为已开通账户的制造单位提供账户的登录信息和其他相关信息进行维护。</w:t>
      </w:r>
    </w:p>
    <w:p>
      <w:pPr>
        <w:pStyle w:val="6"/>
        <w:numPr>
          <w:ilvl w:val="0"/>
          <w:numId w:val="22"/>
        </w:numPr>
        <w:ind w:firstLine="640"/>
        <w:rPr>
          <w:rStyle w:val="39"/>
          <w:bCs/>
        </w:rPr>
      </w:pPr>
      <w:r>
        <w:rPr>
          <w:rStyle w:val="39"/>
          <w:rFonts w:hint="eastAsia"/>
          <w:bCs/>
        </w:rPr>
        <w:t>工作桌面</w:t>
      </w:r>
    </w:p>
    <w:p>
      <w:pPr>
        <w:ind w:firstLine="640"/>
      </w:pPr>
      <w:r>
        <w:rPr>
          <w:rFonts w:hint="eastAsia"/>
        </w:rPr>
        <w:t>主要为制造单位用户提供业务办理消息通知和公告等信息。包括制造单位申请制造监检的进度和结果消息，单位资质过期或补正消息等，以及监察部门推送发布的相关公告通知等。</w:t>
      </w:r>
    </w:p>
    <w:p>
      <w:pPr>
        <w:pStyle w:val="6"/>
        <w:numPr>
          <w:ilvl w:val="0"/>
          <w:numId w:val="22"/>
        </w:numPr>
        <w:ind w:firstLine="640"/>
        <w:rPr>
          <w:rStyle w:val="39"/>
          <w:bCs/>
        </w:rPr>
      </w:pPr>
      <w:r>
        <w:rPr>
          <w:rStyle w:val="39"/>
          <w:rFonts w:hint="eastAsia"/>
          <w:bCs/>
        </w:rPr>
        <w:t>单位管理</w:t>
      </w:r>
    </w:p>
    <w:p>
      <w:pPr>
        <w:ind w:firstLine="640"/>
      </w:pPr>
      <w:r>
        <w:rPr>
          <w:rFonts w:hint="eastAsia" w:ascii="宋体" w:hAnsi="宋体"/>
        </w:rPr>
        <w:t>制造单位可对本单位的基本信息进行管理，支持对本单位信息的修改、查询操作。</w:t>
      </w:r>
    </w:p>
    <w:p>
      <w:pPr>
        <w:pStyle w:val="7"/>
        <w:numPr>
          <w:ilvl w:val="0"/>
          <w:numId w:val="23"/>
        </w:numPr>
        <w:ind w:firstLine="643"/>
      </w:pPr>
      <w:r>
        <w:rPr>
          <w:rFonts w:hint="eastAsia"/>
        </w:rPr>
        <w:t>单位信息</w:t>
      </w:r>
    </w:p>
    <w:p>
      <w:pPr>
        <w:ind w:firstLine="640"/>
      </w:pPr>
      <w:r>
        <w:rPr>
          <w:rFonts w:hint="eastAsia"/>
        </w:rPr>
        <w:t>制造单位可以对本单位的基本信息进行维护和查询，包括单位名称、社会信用代码、法人信息、主要联系人信息等。系统对部分信息做不可修改处理，如单位名称、社会信息用代码等字段。</w:t>
      </w:r>
    </w:p>
    <w:p>
      <w:pPr>
        <w:pStyle w:val="7"/>
        <w:numPr>
          <w:ilvl w:val="0"/>
          <w:numId w:val="23"/>
        </w:numPr>
        <w:ind w:firstLine="643"/>
      </w:pPr>
      <w:r>
        <w:rPr>
          <w:rFonts w:hint="eastAsia"/>
        </w:rPr>
        <w:t>单位资质</w:t>
      </w:r>
    </w:p>
    <w:p>
      <w:pPr>
        <w:ind w:firstLine="640"/>
      </w:pPr>
      <w:r>
        <w:rPr>
          <w:rFonts w:hint="eastAsia"/>
        </w:rPr>
        <w:t>主要是为制造单位提供管理单位资质的相应入口，用户需要管理本单位的特种设备制造许可证等，并对证书的编号、资质范围、发证日期和有效期等信息进行维护和管理。</w:t>
      </w:r>
    </w:p>
    <w:p>
      <w:pPr>
        <w:pStyle w:val="6"/>
        <w:numPr>
          <w:ilvl w:val="0"/>
          <w:numId w:val="22"/>
        </w:numPr>
        <w:ind w:firstLine="640"/>
        <w:rPr>
          <w:rStyle w:val="39"/>
          <w:bCs/>
        </w:rPr>
      </w:pPr>
      <w:r>
        <w:rPr>
          <w:rStyle w:val="39"/>
          <w:rFonts w:hint="eastAsia"/>
          <w:bCs/>
        </w:rPr>
        <w:t>设备管理</w:t>
      </w:r>
    </w:p>
    <w:p>
      <w:pPr>
        <w:ind w:firstLine="640"/>
        <w:rPr>
          <w:rFonts w:ascii="宋体" w:hAnsi="宋体"/>
        </w:rPr>
      </w:pPr>
      <w:r>
        <w:rPr>
          <w:rFonts w:hint="eastAsia" w:ascii="宋体" w:hAnsi="宋体"/>
        </w:rPr>
        <w:t>主要是用于制造单位对本单位制造的特种设备信息进行备案，以及对设备信息查询统计等功能。</w:t>
      </w:r>
    </w:p>
    <w:p>
      <w:pPr>
        <w:pStyle w:val="6"/>
        <w:numPr>
          <w:ilvl w:val="0"/>
          <w:numId w:val="22"/>
        </w:numPr>
        <w:ind w:firstLine="640"/>
        <w:rPr>
          <w:rStyle w:val="39"/>
          <w:bCs/>
        </w:rPr>
      </w:pPr>
      <w:r>
        <w:rPr>
          <w:rStyle w:val="39"/>
          <w:rFonts w:hint="eastAsia"/>
          <w:bCs/>
        </w:rPr>
        <w:t>在线报检</w:t>
      </w:r>
    </w:p>
    <w:p>
      <w:pPr>
        <w:ind w:firstLine="640"/>
      </w:pPr>
      <w:r>
        <w:rPr>
          <w:rFonts w:hint="eastAsia"/>
        </w:rPr>
        <w:t>主要为制造单位提供制造监检的报检入口。</w:t>
      </w:r>
    </w:p>
    <w:p>
      <w:pPr>
        <w:pStyle w:val="7"/>
        <w:numPr>
          <w:ilvl w:val="0"/>
          <w:numId w:val="24"/>
        </w:numPr>
        <w:ind w:firstLine="643"/>
      </w:pPr>
      <w:r>
        <w:rPr>
          <w:rFonts w:hint="eastAsia"/>
        </w:rPr>
        <w:t>用户报检</w:t>
      </w:r>
    </w:p>
    <w:p>
      <w:pPr>
        <w:ind w:firstLine="640"/>
      </w:pPr>
      <w:r>
        <w:rPr>
          <w:rFonts w:hint="eastAsia"/>
        </w:rPr>
        <w:t>制造单位进入在线报检菜单，通过选择设备种类、检验类别，以及选择相应设备，再选择所属辖区内的检验检测机构后，向检验机构申请制造监检。通过单点登录进入到所选择的检验机构的报检平台。通过与检验检测机构的数据互联互通，推送和接收设备信息和检测信息等。</w:t>
      </w:r>
    </w:p>
    <w:p>
      <w:pPr>
        <w:pStyle w:val="7"/>
        <w:numPr>
          <w:ilvl w:val="0"/>
          <w:numId w:val="24"/>
        </w:numPr>
        <w:ind w:firstLine="643"/>
      </w:pPr>
      <w:r>
        <w:rPr>
          <w:rFonts w:hint="eastAsia"/>
        </w:rPr>
        <w:t>检验进度和结果查询</w:t>
      </w:r>
    </w:p>
    <w:p>
      <w:pPr>
        <w:ind w:firstLine="640"/>
      </w:pPr>
      <w:r>
        <w:rPr>
          <w:rFonts w:hint="eastAsia"/>
        </w:rPr>
        <w:t>用户根据已报检的设备进入到相关检验进度查询入口，并查看到检验是否受理、报告出具情况等。</w:t>
      </w:r>
    </w:p>
    <w:p>
      <w:pPr>
        <w:pStyle w:val="5"/>
        <w:numPr>
          <w:ilvl w:val="0"/>
          <w:numId w:val="21"/>
        </w:numPr>
        <w:ind w:firstLine="643"/>
      </w:pPr>
      <w:r>
        <w:rPr>
          <w:rFonts w:hint="eastAsia"/>
        </w:rPr>
        <w:t>施工单位</w:t>
      </w:r>
    </w:p>
    <w:p>
      <w:pPr>
        <w:pStyle w:val="6"/>
        <w:numPr>
          <w:ilvl w:val="0"/>
          <w:numId w:val="25"/>
        </w:numPr>
        <w:ind w:firstLine="640"/>
        <w:rPr>
          <w:rStyle w:val="39"/>
          <w:bCs/>
        </w:rPr>
      </w:pPr>
      <w:r>
        <w:rPr>
          <w:rStyle w:val="39"/>
          <w:rFonts w:hint="eastAsia"/>
          <w:bCs/>
        </w:rPr>
        <w:t>账户管理</w:t>
      </w:r>
    </w:p>
    <w:p>
      <w:pPr>
        <w:ind w:firstLine="640"/>
      </w:pPr>
      <w:r>
        <w:rPr>
          <w:rFonts w:hint="eastAsia"/>
        </w:rPr>
        <w:t>提供账号开通和账户信息维护等相关功能。首次进入全省公共服务模块的特种设备相关施工单位需要根据单位性质提供单位信息和相关资质证明等，包括单位名称、社会统一信用代码、法定代表人、主要联系人、单位地址、单位联系方式等。同时，单位还需要提供相关资质证明文件，包括企业营业执照、特种设备安装改造维修许可证明等。账户权限开通后，单位可以进行相应的业务办理和信息查询、管理。</w:t>
      </w:r>
    </w:p>
    <w:p>
      <w:pPr>
        <w:pStyle w:val="6"/>
        <w:numPr>
          <w:ilvl w:val="0"/>
          <w:numId w:val="25"/>
        </w:numPr>
        <w:ind w:firstLine="640"/>
        <w:rPr>
          <w:rStyle w:val="39"/>
          <w:bCs/>
        </w:rPr>
      </w:pPr>
      <w:r>
        <w:rPr>
          <w:rStyle w:val="39"/>
          <w:rFonts w:hint="eastAsia"/>
          <w:bCs/>
        </w:rPr>
        <w:t>工作桌面</w:t>
      </w:r>
    </w:p>
    <w:p>
      <w:pPr>
        <w:ind w:firstLine="640"/>
      </w:pPr>
      <w:r>
        <w:rPr>
          <w:rFonts w:hint="eastAsia"/>
        </w:rPr>
        <w:t>当施工单位登录账户后首先进入工作桌面即首页，可以查看待处理任务、消息通知及设备信息总览。</w:t>
      </w:r>
    </w:p>
    <w:p>
      <w:pPr>
        <w:pStyle w:val="7"/>
        <w:numPr>
          <w:ilvl w:val="0"/>
          <w:numId w:val="26"/>
        </w:numPr>
        <w:ind w:firstLine="643"/>
      </w:pPr>
      <w:r>
        <w:rPr>
          <w:rFonts w:hint="eastAsia"/>
        </w:rPr>
        <w:t>待处理任务</w:t>
      </w:r>
    </w:p>
    <w:p>
      <w:pPr>
        <w:ind w:firstLine="640"/>
      </w:pPr>
      <w:r>
        <w:rPr>
          <w:rFonts w:hint="eastAsia"/>
        </w:rPr>
        <w:t>主要为使用单位呈现施工告知信息补正、申报监检信息补正等任务信息，方便企业用户快速通过待处理任务栏进入相应的操作界面进行查看、修改和提交等功能。</w:t>
      </w:r>
    </w:p>
    <w:p>
      <w:pPr>
        <w:pStyle w:val="7"/>
        <w:numPr>
          <w:ilvl w:val="0"/>
          <w:numId w:val="26"/>
        </w:numPr>
        <w:ind w:firstLine="643"/>
      </w:pPr>
      <w:r>
        <w:rPr>
          <w:rFonts w:hint="eastAsia"/>
        </w:rPr>
        <w:t>消息通知</w:t>
      </w:r>
    </w:p>
    <w:p>
      <w:pPr>
        <w:ind w:firstLine="640"/>
      </w:pPr>
      <w:r>
        <w:rPr>
          <w:rFonts w:hint="eastAsia"/>
        </w:rPr>
        <w:t>主要为施工单位提供公告和消息提醒服务，包括检验进度和结果、施工告知办理结果等。同时，将监管部门最新发布的消息和通知推送给施工单位，并提供各类查询条件方便企业用户查询。</w:t>
      </w:r>
    </w:p>
    <w:p>
      <w:pPr>
        <w:pStyle w:val="6"/>
        <w:numPr>
          <w:ilvl w:val="0"/>
          <w:numId w:val="25"/>
        </w:numPr>
        <w:ind w:firstLine="640"/>
        <w:rPr>
          <w:rStyle w:val="39"/>
          <w:bCs/>
        </w:rPr>
      </w:pPr>
      <w:bookmarkStart w:id="49" w:name="_Toc29831"/>
      <w:r>
        <w:rPr>
          <w:rStyle w:val="39"/>
          <w:rFonts w:hint="eastAsia"/>
          <w:bCs/>
        </w:rPr>
        <w:t>施工告知</w:t>
      </w:r>
      <w:bookmarkEnd w:id="49"/>
    </w:p>
    <w:p>
      <w:pPr>
        <w:ind w:firstLine="640"/>
        <w:rPr>
          <w:rFonts w:ascii="宋体" w:hAnsi="宋体"/>
        </w:rPr>
      </w:pPr>
      <w:r>
        <w:rPr>
          <w:rFonts w:hint="eastAsia" w:ascii="宋体" w:hAnsi="宋体"/>
        </w:rPr>
        <w:t>为特种设备施工单位提供发起施工告知申请功能，并提交至所属行政区划的监察机构，可对发起的施工告知进行修改。</w:t>
      </w:r>
    </w:p>
    <w:p>
      <w:pPr>
        <w:pStyle w:val="7"/>
        <w:numPr>
          <w:ilvl w:val="0"/>
          <w:numId w:val="27"/>
        </w:numPr>
        <w:ind w:firstLine="643"/>
      </w:pPr>
      <w:r>
        <w:rPr>
          <w:rFonts w:hint="eastAsia"/>
        </w:rPr>
        <w:t>申请施工告知</w:t>
      </w:r>
    </w:p>
    <w:p>
      <w:pPr>
        <w:ind w:firstLine="640"/>
      </w:pPr>
      <w:r>
        <w:rPr>
          <w:rFonts w:hint="eastAsia" w:ascii="仿宋_GB2312" w:hAnsi="仿宋_GB2312" w:cs="仿宋_GB2312"/>
          <w:szCs w:val="32"/>
        </w:rPr>
        <w:t>安装改造维修单位通过施工告知入口进入后，选择设备施工的行政区域，并选择施工告知的设备类型和施工类型。系统提供过滤</w:t>
      </w:r>
      <w:r>
        <w:rPr>
          <w:rFonts w:hint="eastAsia" w:ascii="仿宋_GB2312" w:hAnsi="仿宋_GB2312" w:cs="仿宋_GB2312"/>
          <w:bCs/>
          <w:szCs w:val="40"/>
        </w:rPr>
        <w:t>功能，隐藏不需要施工告知的设备种类。</w:t>
      </w:r>
      <w:r>
        <w:rPr>
          <w:rFonts w:hint="eastAsia" w:ascii="仿宋_GB2312" w:hAnsi="仿宋_GB2312" w:cs="仿宋_GB2312"/>
          <w:szCs w:val="32"/>
        </w:rPr>
        <w:t>根据所选择的设备种类和施工类型进行信息填报，如果是维修和改造的施工类型，则用户只需要选择设备，并对信息进行补充即可。同时根据相关部门的规定上传附件材料，并提交申请，即完成施工告知申请。</w:t>
      </w:r>
    </w:p>
    <w:p>
      <w:pPr>
        <w:pStyle w:val="7"/>
        <w:numPr>
          <w:ilvl w:val="0"/>
          <w:numId w:val="27"/>
        </w:numPr>
        <w:ind w:firstLine="643"/>
      </w:pPr>
      <w:r>
        <w:rPr>
          <w:rFonts w:hint="eastAsia"/>
        </w:rPr>
        <w:t>查看施工告知</w:t>
      </w:r>
    </w:p>
    <w:p>
      <w:pPr>
        <w:ind w:firstLine="640"/>
      </w:pPr>
      <w:r>
        <w:rPr>
          <w:rFonts w:hint="eastAsia" w:ascii="仿宋_GB2312" w:hAnsi="仿宋_GB2312" w:cs="仿宋_GB2312"/>
          <w:szCs w:val="32"/>
        </w:rPr>
        <w:t>用户可以通过施工告知申请历史记录进入界面，并根据施工告知单号、施工告知类型、设备类型、告知日期、受理状态等查询条件查看历史告知申请。主要查看施工告知的受理状态和进度，并可以对施工告知的信息进行修改或信息补充等相关操作。</w:t>
      </w:r>
    </w:p>
    <w:p>
      <w:pPr>
        <w:pStyle w:val="7"/>
        <w:numPr>
          <w:ilvl w:val="0"/>
          <w:numId w:val="27"/>
        </w:numPr>
        <w:ind w:firstLine="643"/>
      </w:pPr>
      <w:r>
        <w:rPr>
          <w:rFonts w:hint="eastAsia"/>
        </w:rPr>
        <w:t>打印施工告知</w:t>
      </w:r>
    </w:p>
    <w:p>
      <w:pPr>
        <w:ind w:firstLine="640"/>
      </w:pPr>
      <w:r>
        <w:rPr>
          <w:rFonts w:hint="eastAsia" w:ascii="仿宋_GB2312" w:hAnsi="仿宋_GB2312" w:cs="仿宋_GB2312"/>
          <w:szCs w:val="32"/>
        </w:rPr>
        <w:t>针对已经受理通过的施工告知单，用户可以单独对施工告知单进行打印。</w:t>
      </w:r>
    </w:p>
    <w:p>
      <w:pPr>
        <w:pStyle w:val="7"/>
        <w:numPr>
          <w:ilvl w:val="0"/>
          <w:numId w:val="27"/>
        </w:numPr>
        <w:ind w:firstLine="643"/>
      </w:pPr>
      <w:r>
        <w:rPr>
          <w:rFonts w:hint="eastAsia"/>
        </w:rPr>
        <w:t>作废施工告知</w:t>
      </w:r>
    </w:p>
    <w:p>
      <w:pPr>
        <w:ind w:firstLine="640"/>
        <w:rPr>
          <w:rFonts w:ascii="仿宋_GB2312" w:hAnsi="仿宋_GB2312" w:cs="仿宋_GB2312"/>
          <w:szCs w:val="32"/>
        </w:rPr>
      </w:pPr>
      <w:r>
        <w:rPr>
          <w:rFonts w:hint="eastAsia" w:ascii="仿宋_GB2312" w:hAnsi="仿宋_GB2312" w:cs="仿宋_GB2312"/>
          <w:szCs w:val="32"/>
        </w:rPr>
        <w:t>针对还未审批通过的施工告知申请，用户可以对其做作废处理，作废后的申请被监察端确认后即作废完成。如果该申请设备已经提交监督检验，且设备的检验状态为已受理，则不允许用户对此施工告知行作废处理。当施工告知确认作废后，该设备信息也同步做删除处理。</w:t>
      </w:r>
    </w:p>
    <w:p>
      <w:pPr>
        <w:pStyle w:val="6"/>
        <w:numPr>
          <w:ilvl w:val="0"/>
          <w:numId w:val="25"/>
        </w:numPr>
        <w:ind w:firstLine="640"/>
        <w:rPr>
          <w:rStyle w:val="39"/>
          <w:bCs/>
        </w:rPr>
      </w:pPr>
      <w:r>
        <w:rPr>
          <w:rStyle w:val="39"/>
          <w:rFonts w:hint="eastAsia"/>
          <w:bCs/>
        </w:rPr>
        <w:t>单位管理</w:t>
      </w:r>
    </w:p>
    <w:p>
      <w:pPr>
        <w:ind w:firstLine="640"/>
      </w:pPr>
      <w:r>
        <w:rPr>
          <w:rFonts w:hint="eastAsia" w:ascii="宋体" w:hAnsi="宋体"/>
        </w:rPr>
        <w:t>施工单位可对本单位的基本信息进行管理，支持对本单位信息的修改、查询操作。</w:t>
      </w:r>
    </w:p>
    <w:p>
      <w:pPr>
        <w:pStyle w:val="7"/>
        <w:numPr>
          <w:ilvl w:val="0"/>
          <w:numId w:val="28"/>
        </w:numPr>
        <w:ind w:firstLine="643"/>
      </w:pPr>
      <w:r>
        <w:rPr>
          <w:rFonts w:hint="eastAsia"/>
        </w:rPr>
        <w:t>单位信息</w:t>
      </w:r>
    </w:p>
    <w:p>
      <w:pPr>
        <w:ind w:firstLine="640"/>
      </w:pPr>
      <w:r>
        <w:rPr>
          <w:rFonts w:hint="eastAsia"/>
        </w:rPr>
        <w:t>施工单位可以对本单位的基本信息进行维护和查询，包括单位名称、社会信用代码、法人信息、主要联系人信息等。系统对部分信息做不可修改处理，如单位名称、社会信息用代码等字段。</w:t>
      </w:r>
    </w:p>
    <w:p>
      <w:pPr>
        <w:pStyle w:val="7"/>
        <w:numPr>
          <w:ilvl w:val="0"/>
          <w:numId w:val="28"/>
        </w:numPr>
        <w:ind w:firstLine="643"/>
      </w:pPr>
      <w:r>
        <w:rPr>
          <w:rFonts w:hint="eastAsia"/>
        </w:rPr>
        <w:t>单位资质</w:t>
      </w:r>
    </w:p>
    <w:p>
      <w:pPr>
        <w:ind w:firstLine="640"/>
      </w:pPr>
      <w:r>
        <w:rPr>
          <w:rFonts w:hint="eastAsia"/>
        </w:rPr>
        <w:t>主要是为施工单位提供管理单位资质的相应入口，用户需要管理本单位的特种设备安装改造维修许可证明等资质，并对证书的编号、资质范围、发证日期和有效期等信息进行维护和管理。</w:t>
      </w:r>
    </w:p>
    <w:p>
      <w:pPr>
        <w:pStyle w:val="6"/>
        <w:numPr>
          <w:ilvl w:val="0"/>
          <w:numId w:val="25"/>
        </w:numPr>
        <w:ind w:firstLine="640"/>
        <w:rPr>
          <w:rStyle w:val="39"/>
          <w:bCs/>
        </w:rPr>
      </w:pPr>
      <w:r>
        <w:rPr>
          <w:rStyle w:val="39"/>
          <w:rFonts w:hint="eastAsia"/>
          <w:bCs/>
        </w:rPr>
        <w:t>在线报检</w:t>
      </w:r>
    </w:p>
    <w:p>
      <w:pPr>
        <w:ind w:firstLine="640"/>
      </w:pPr>
      <w:r>
        <w:rPr>
          <w:rFonts w:hint="eastAsia"/>
        </w:rPr>
        <w:t>主要为施工单位提供监督检验的报检入口。</w:t>
      </w:r>
    </w:p>
    <w:p>
      <w:pPr>
        <w:pStyle w:val="7"/>
        <w:numPr>
          <w:ilvl w:val="0"/>
          <w:numId w:val="29"/>
        </w:numPr>
        <w:ind w:firstLine="643"/>
      </w:pPr>
      <w:r>
        <w:rPr>
          <w:rFonts w:hint="eastAsia"/>
        </w:rPr>
        <w:t>用户报检</w:t>
      </w:r>
    </w:p>
    <w:p>
      <w:pPr>
        <w:ind w:firstLine="640"/>
      </w:pPr>
      <w:r>
        <w:rPr>
          <w:rFonts w:hint="eastAsia"/>
        </w:rPr>
        <w:t>施工单位替代使用单位进行设备报检，通过选择设备种类、检验类别，点选相应设备或新增设备信息，再选择所属辖区内的检验机构后，申请特种设备报检。通过单点登录进入到所选择的检验机构的报检平台。通过与检验机构的数据互联互通，推送和接收设备信息和检测信息等。施工单位还需要上传使用单位委托授权的证明才可进行报检。</w:t>
      </w:r>
    </w:p>
    <w:p>
      <w:pPr>
        <w:pStyle w:val="7"/>
        <w:numPr>
          <w:ilvl w:val="0"/>
          <w:numId w:val="29"/>
        </w:numPr>
        <w:ind w:firstLine="643"/>
      </w:pPr>
      <w:r>
        <w:rPr>
          <w:rFonts w:hint="eastAsia"/>
        </w:rPr>
        <w:t>检验进度和结果查询</w:t>
      </w:r>
    </w:p>
    <w:p>
      <w:pPr>
        <w:ind w:firstLine="640"/>
      </w:pPr>
      <w:r>
        <w:rPr>
          <w:rFonts w:hint="eastAsia"/>
        </w:rPr>
        <w:t>用户根据已报检的设备进入到相关检验进度查询入口，并查看到检验是否受理、报告出具情况等。</w:t>
      </w:r>
    </w:p>
    <w:p>
      <w:pPr>
        <w:pStyle w:val="5"/>
        <w:numPr>
          <w:ilvl w:val="0"/>
          <w:numId w:val="21"/>
        </w:numPr>
        <w:ind w:firstLine="643"/>
        <w:rPr>
          <w:rFonts w:cs="Times New Roman"/>
        </w:rPr>
      </w:pPr>
      <w:r>
        <w:rPr>
          <w:rFonts w:hint="eastAsia"/>
        </w:rPr>
        <w:t>使用单位</w:t>
      </w:r>
    </w:p>
    <w:p>
      <w:pPr>
        <w:ind w:firstLine="640"/>
        <w:rPr>
          <w:rFonts w:cs="Times New Roman"/>
        </w:rPr>
      </w:pPr>
      <w:r>
        <w:rPr>
          <w:rFonts w:hint="eastAsia"/>
        </w:rPr>
        <w:t>以下内容为使用单位登录账户后所能查看和操作的主要功能模块和功能点：</w:t>
      </w:r>
    </w:p>
    <w:p>
      <w:pPr>
        <w:pStyle w:val="6"/>
        <w:numPr>
          <w:ilvl w:val="0"/>
          <w:numId w:val="30"/>
        </w:numPr>
        <w:ind w:firstLine="640"/>
        <w:rPr>
          <w:rStyle w:val="39"/>
          <w:bCs/>
        </w:rPr>
      </w:pPr>
      <w:r>
        <w:rPr>
          <w:rStyle w:val="39"/>
          <w:rFonts w:hint="eastAsia"/>
          <w:bCs/>
        </w:rPr>
        <w:t>账户管理</w:t>
      </w:r>
    </w:p>
    <w:p>
      <w:pPr>
        <w:ind w:firstLine="640"/>
      </w:pPr>
      <w:r>
        <w:rPr>
          <w:rFonts w:hint="eastAsia"/>
        </w:rPr>
        <w:t>提供账号开通和账户信息维护等相关功能。首次进入全省公共服务模块的特种设备相关使用单位需要根据单位性质提供单位信息和相关资质证明等，包括单位名称、单位统一信用代码、法定代表人、单位主要联系人、单位地址、单位联系方式等。同时，单位还需要提供相关资质证明文件，包括企业营业执照等。账户权限开通后，单位可以进行相应的业务办理和信息查询、管理。</w:t>
      </w:r>
    </w:p>
    <w:p>
      <w:pPr>
        <w:ind w:firstLine="640"/>
      </w:pPr>
      <w:r>
        <w:rPr>
          <w:rFonts w:hint="eastAsia"/>
        </w:rPr>
        <w:t>并且为已开通账户的使用单位提供账户的登录信息和其他相关信息进行维护。</w:t>
      </w:r>
    </w:p>
    <w:p>
      <w:pPr>
        <w:pStyle w:val="6"/>
        <w:numPr>
          <w:ilvl w:val="0"/>
          <w:numId w:val="30"/>
        </w:numPr>
        <w:ind w:firstLine="640"/>
        <w:rPr>
          <w:rStyle w:val="39"/>
          <w:bCs/>
        </w:rPr>
      </w:pPr>
      <w:bookmarkStart w:id="50" w:name="_Toc2229"/>
      <w:r>
        <w:rPr>
          <w:rStyle w:val="39"/>
          <w:rFonts w:hint="eastAsia"/>
          <w:bCs/>
        </w:rPr>
        <w:t>工作桌面</w:t>
      </w:r>
      <w:bookmarkEnd w:id="50"/>
    </w:p>
    <w:p>
      <w:pPr>
        <w:ind w:firstLine="640"/>
      </w:pPr>
      <w:r>
        <w:rPr>
          <w:rFonts w:hint="eastAsia"/>
        </w:rPr>
        <w:t>当企业用户登录账户后首先进入工作桌面即首页，可以查看待处理任务、消息通知及设备信息总览。</w:t>
      </w:r>
    </w:p>
    <w:p>
      <w:pPr>
        <w:pStyle w:val="7"/>
        <w:numPr>
          <w:ilvl w:val="0"/>
          <w:numId w:val="31"/>
        </w:numPr>
        <w:ind w:firstLine="643"/>
      </w:pPr>
      <w:r>
        <w:rPr>
          <w:rFonts w:hint="eastAsia"/>
        </w:rPr>
        <w:t>待处理任务</w:t>
      </w:r>
    </w:p>
    <w:p>
      <w:pPr>
        <w:ind w:firstLine="640"/>
      </w:pPr>
      <w:r>
        <w:rPr>
          <w:rFonts w:hint="eastAsia"/>
        </w:rPr>
        <w:t>主要为使用单位呈现待处理风险、待申报定检、使用登记补正、变更登记待补正、停用报废注销待补正、待处理隐患、预警提醒等任务信息，方便企业用户快速通过待处理任务栏进入相应的操作界面进行查看、修改和提交等功能。</w:t>
      </w:r>
    </w:p>
    <w:p>
      <w:pPr>
        <w:pStyle w:val="7"/>
        <w:numPr>
          <w:ilvl w:val="0"/>
          <w:numId w:val="31"/>
        </w:numPr>
        <w:ind w:firstLine="643"/>
      </w:pPr>
      <w:r>
        <w:rPr>
          <w:rFonts w:hint="eastAsia"/>
        </w:rPr>
        <w:t>消息通知</w:t>
      </w:r>
    </w:p>
    <w:p>
      <w:pPr>
        <w:ind w:firstLine="640"/>
      </w:pPr>
      <w:r>
        <w:rPr>
          <w:rFonts w:hint="eastAsia"/>
        </w:rPr>
        <w:t>主要为企业用户提供公告和消息提醒服务，将监管部门的最新发布的消息和通知推送给企业用户的同时，并提供各类查询条件方便企业用户查询。</w:t>
      </w:r>
    </w:p>
    <w:p>
      <w:pPr>
        <w:pStyle w:val="7"/>
        <w:numPr>
          <w:ilvl w:val="0"/>
          <w:numId w:val="31"/>
        </w:numPr>
        <w:ind w:firstLine="643"/>
      </w:pPr>
      <w:r>
        <w:rPr>
          <w:rFonts w:hint="eastAsia"/>
        </w:rPr>
        <w:t>设备总览</w:t>
      </w:r>
    </w:p>
    <w:p>
      <w:pPr>
        <w:ind w:firstLine="640"/>
      </w:pPr>
      <w:r>
        <w:rPr>
          <w:rFonts w:hint="eastAsia"/>
        </w:rPr>
        <w:t>为特种设备使用单位提供总体设备统计信息，可以查看所属单位下的各设备类别的在用、停用、设备风险等信息。</w:t>
      </w:r>
    </w:p>
    <w:p>
      <w:pPr>
        <w:pStyle w:val="6"/>
        <w:numPr>
          <w:ilvl w:val="0"/>
          <w:numId w:val="30"/>
        </w:numPr>
        <w:ind w:firstLine="640"/>
        <w:rPr>
          <w:rStyle w:val="39"/>
          <w:bCs/>
        </w:rPr>
      </w:pPr>
      <w:bookmarkStart w:id="51" w:name="_Toc876"/>
      <w:r>
        <w:rPr>
          <w:rStyle w:val="39"/>
          <w:rFonts w:hint="eastAsia"/>
          <w:bCs/>
        </w:rPr>
        <w:t>设备使用登记（变更）申请</w:t>
      </w:r>
      <w:bookmarkEnd w:id="51"/>
    </w:p>
    <w:p>
      <w:pPr>
        <w:ind w:firstLine="640"/>
        <w:rPr>
          <w:rFonts w:ascii="宋体" w:hAnsi="宋体"/>
        </w:rPr>
      </w:pPr>
      <w:r>
        <w:rPr>
          <w:rFonts w:hint="eastAsia" w:ascii="宋体" w:hAnsi="宋体"/>
        </w:rPr>
        <w:t>主要为使用单位提供对新增特种设备网上办理使用登记申请或对原有设备办理使用登记变更等相关应用功能，根据系统提示的资料上传附件，并提交相应行政区划的监察部门。</w:t>
      </w:r>
    </w:p>
    <w:p>
      <w:pPr>
        <w:pStyle w:val="7"/>
        <w:numPr>
          <w:ilvl w:val="0"/>
          <w:numId w:val="32"/>
        </w:numPr>
        <w:ind w:firstLine="643"/>
      </w:pPr>
      <w:r>
        <w:rPr>
          <w:rFonts w:hint="eastAsia"/>
        </w:rPr>
        <w:t>使用登记</w:t>
      </w:r>
    </w:p>
    <w:p>
      <w:pPr>
        <w:ind w:firstLine="640"/>
      </w:pPr>
      <w:r>
        <w:rPr>
          <w:rFonts w:hint="eastAsia"/>
        </w:rPr>
        <w:t>企业用户对特种设备（台套）和特种设备（管道）进行使用登记申请，可进行添加、撤销、查看等操作。</w:t>
      </w:r>
      <w:r>
        <w:rPr>
          <w:rFonts w:hint="eastAsia" w:ascii="仿宋_GB2312" w:hAnsi="仿宋_GB2312" w:cs="仿宋_GB2312"/>
          <w:bCs/>
          <w:szCs w:val="32"/>
        </w:rPr>
        <w:t>当使用单位办理使用登记申请时抓取所要登记的设备已有信息，并根据各地市要求上传相应的信息和证明材料，并生成电子版的使用登记表。提供用户使用登记表预览和打印功能。</w:t>
      </w:r>
    </w:p>
    <w:p>
      <w:pPr>
        <w:pStyle w:val="7"/>
        <w:numPr>
          <w:ilvl w:val="0"/>
          <w:numId w:val="32"/>
        </w:numPr>
        <w:ind w:firstLine="643"/>
      </w:pPr>
      <w:r>
        <w:rPr>
          <w:rFonts w:hint="eastAsia"/>
        </w:rPr>
        <w:t>变更登记</w:t>
      </w:r>
    </w:p>
    <w:p>
      <w:pPr>
        <w:ind w:firstLine="640"/>
      </w:pPr>
      <w:r>
        <w:rPr>
          <w:rFonts w:hint="eastAsia"/>
        </w:rPr>
        <w:t>企业用户对特种设备的变更进行使用登记的申请，其功能与使用登记类似，且可进行批量操作。如果是省内移装的设备，系统可以直接调取原有登记表信息，无需用户重复输入信息，完成变更登记申请。如果使用单位同时进行移装和用户变更，则需要上传所有的材料附件。</w:t>
      </w:r>
    </w:p>
    <w:p>
      <w:pPr>
        <w:pStyle w:val="7"/>
        <w:numPr>
          <w:ilvl w:val="0"/>
          <w:numId w:val="32"/>
        </w:numPr>
        <w:ind w:firstLine="643"/>
      </w:pPr>
      <w:r>
        <w:rPr>
          <w:rFonts w:hint="eastAsia"/>
        </w:rPr>
        <w:t>状态变更</w:t>
      </w:r>
    </w:p>
    <w:p>
      <w:pPr>
        <w:ind w:firstLine="640"/>
      </w:pPr>
      <w:r>
        <w:rPr>
          <w:rFonts w:hint="eastAsia"/>
        </w:rPr>
        <w:t>使用单位对特种设备的停用、启用、报废、注销状态的申请备案，其功能与使用登记类似，且可进行批量操作。</w:t>
      </w:r>
    </w:p>
    <w:p>
      <w:pPr>
        <w:pStyle w:val="7"/>
        <w:numPr>
          <w:ilvl w:val="0"/>
          <w:numId w:val="32"/>
        </w:numPr>
        <w:ind w:firstLine="643"/>
      </w:pPr>
      <w:r>
        <w:rPr>
          <w:rFonts w:hint="eastAsia"/>
        </w:rPr>
        <w:t>使用（变更）登记信息查询</w:t>
      </w:r>
    </w:p>
    <w:p>
      <w:pPr>
        <w:ind w:firstLine="640"/>
      </w:pPr>
      <w:r>
        <w:rPr>
          <w:rFonts w:hint="eastAsia"/>
        </w:rPr>
        <w:t>使用单位可以登录账户对以往发起的使用登记、变更登记、状态变更登记的申请单，通过查询条件进行查看，同时可以生成电子版登记表，提供用户打印等功能。</w:t>
      </w:r>
    </w:p>
    <w:p>
      <w:pPr>
        <w:pStyle w:val="6"/>
        <w:numPr>
          <w:ilvl w:val="0"/>
          <w:numId w:val="30"/>
        </w:numPr>
        <w:ind w:firstLine="640"/>
        <w:rPr>
          <w:rStyle w:val="39"/>
          <w:bCs/>
        </w:rPr>
      </w:pPr>
      <w:bookmarkStart w:id="52" w:name="_Toc17293"/>
      <w:r>
        <w:rPr>
          <w:rStyle w:val="39"/>
          <w:rFonts w:hint="eastAsia"/>
          <w:bCs/>
        </w:rPr>
        <w:t>在线报检</w:t>
      </w:r>
      <w:bookmarkEnd w:id="52"/>
    </w:p>
    <w:p>
      <w:pPr>
        <w:ind w:firstLine="640"/>
      </w:pPr>
      <w:r>
        <w:rPr>
          <w:rFonts w:hint="eastAsia"/>
        </w:rPr>
        <w:t>主要为使用单位提供报检入口，包括法定报检和检测委托。</w:t>
      </w:r>
    </w:p>
    <w:p>
      <w:pPr>
        <w:pStyle w:val="7"/>
        <w:numPr>
          <w:ilvl w:val="0"/>
          <w:numId w:val="33"/>
        </w:numPr>
        <w:ind w:firstLine="643"/>
      </w:pPr>
      <w:r>
        <w:rPr>
          <w:rFonts w:hint="eastAsia"/>
        </w:rPr>
        <w:t>用户报检</w:t>
      </w:r>
    </w:p>
    <w:p>
      <w:pPr>
        <w:ind w:firstLine="640"/>
      </w:pPr>
      <w:r>
        <w:rPr>
          <w:rFonts w:hint="eastAsia"/>
        </w:rPr>
        <w:t>使用单位进入在线报检菜单，通过选择设备种类、检验检测类别，通过选择相应设备或新增设备信息，再选择所属辖区内的检验检测机构后，申请特种设备报检。通过单点登录进入到所选择的检验检测机构的报检平台。通过与检验检测机构的数据互联互通，推送和接收设备信息和检测信息等。</w:t>
      </w:r>
    </w:p>
    <w:p>
      <w:pPr>
        <w:pStyle w:val="7"/>
        <w:numPr>
          <w:ilvl w:val="0"/>
          <w:numId w:val="33"/>
        </w:numPr>
        <w:ind w:firstLine="643"/>
      </w:pPr>
      <w:r>
        <w:rPr>
          <w:rFonts w:hint="eastAsia"/>
        </w:rPr>
        <w:t>检验进度和结果查询</w:t>
      </w:r>
    </w:p>
    <w:p>
      <w:pPr>
        <w:ind w:firstLine="640"/>
      </w:pPr>
      <w:r>
        <w:rPr>
          <w:rFonts w:hint="eastAsia"/>
        </w:rPr>
        <w:t>用户根据已报检的设备进入到相关检验进度查询入口，并查看到检验是否受理、报告出具情况等。</w:t>
      </w:r>
    </w:p>
    <w:p>
      <w:pPr>
        <w:pStyle w:val="6"/>
        <w:numPr>
          <w:ilvl w:val="0"/>
          <w:numId w:val="30"/>
        </w:numPr>
        <w:ind w:firstLine="640"/>
        <w:rPr>
          <w:rStyle w:val="39"/>
          <w:bCs/>
        </w:rPr>
      </w:pPr>
      <w:r>
        <w:rPr>
          <w:rStyle w:val="39"/>
          <w:rFonts w:hint="eastAsia"/>
          <w:bCs/>
        </w:rPr>
        <w:t>电梯维保检测</w:t>
      </w:r>
    </w:p>
    <w:p>
      <w:pPr>
        <w:ind w:firstLine="640"/>
        <w:rPr>
          <w:rStyle w:val="39"/>
        </w:rPr>
      </w:pPr>
      <w:r>
        <w:rPr>
          <w:rStyle w:val="39"/>
          <w:rFonts w:hint="eastAsia"/>
        </w:rPr>
        <w:t>主要是为使用单位进行电梯检测试点和电梯自行检测申请的功能模块。</w:t>
      </w:r>
    </w:p>
    <w:p>
      <w:pPr>
        <w:pStyle w:val="7"/>
        <w:numPr>
          <w:ilvl w:val="0"/>
          <w:numId w:val="34"/>
        </w:numPr>
        <w:ind w:firstLine="643"/>
      </w:pPr>
      <w:r>
        <w:rPr>
          <w:rFonts w:hint="eastAsia"/>
        </w:rPr>
        <w:t>申请</w:t>
      </w:r>
    </w:p>
    <w:p>
      <w:pPr>
        <w:ind w:firstLine="640"/>
      </w:pPr>
      <w:r>
        <w:rPr>
          <w:rFonts w:hint="eastAsia"/>
        </w:rPr>
        <w:t>需要使用单位点击进入到相应入口，选择相应电梯形成申请清单，同时填写申请表信息以及上传相关证明材料。完成申请后，信息将在公共服务模块上进行公示。</w:t>
      </w:r>
    </w:p>
    <w:p>
      <w:pPr>
        <w:pStyle w:val="7"/>
        <w:numPr>
          <w:ilvl w:val="0"/>
          <w:numId w:val="34"/>
        </w:numPr>
        <w:ind w:firstLine="643"/>
      </w:pPr>
      <w:r>
        <w:rPr>
          <w:rFonts w:hint="eastAsia"/>
        </w:rPr>
        <w:t>撤销</w:t>
      </w:r>
    </w:p>
    <w:p>
      <w:pPr>
        <w:ind w:firstLine="640"/>
      </w:pPr>
      <w:r>
        <w:rPr>
          <w:rFonts w:hint="eastAsia"/>
        </w:rPr>
        <w:t>如果使用单位取消电梯检测试点和电梯自行检测申请，也可以发起撤销申请，申请信息将被作废。</w:t>
      </w:r>
    </w:p>
    <w:p>
      <w:pPr>
        <w:pStyle w:val="7"/>
        <w:numPr>
          <w:ilvl w:val="0"/>
          <w:numId w:val="34"/>
        </w:numPr>
        <w:ind w:firstLine="643"/>
      </w:pPr>
      <w:r>
        <w:rPr>
          <w:rFonts w:hint="eastAsia"/>
        </w:rPr>
        <w:t>查询申请记录</w:t>
      </w:r>
    </w:p>
    <w:p>
      <w:pPr>
        <w:ind w:firstLine="640"/>
      </w:pPr>
      <w:r>
        <w:rPr>
          <w:rFonts w:hint="eastAsia"/>
        </w:rPr>
        <w:t>主要是为使用单位提供查询功能，查看到历史申请的电梯检测试点和电梯自行检测申请的记录列表和详情。</w:t>
      </w:r>
    </w:p>
    <w:p>
      <w:pPr>
        <w:pStyle w:val="6"/>
        <w:numPr>
          <w:ilvl w:val="0"/>
          <w:numId w:val="30"/>
        </w:numPr>
        <w:ind w:firstLine="640"/>
        <w:rPr>
          <w:rStyle w:val="39"/>
          <w:bCs/>
        </w:rPr>
      </w:pPr>
      <w:bookmarkStart w:id="53" w:name="_Toc21024"/>
      <w:r>
        <w:rPr>
          <w:rStyle w:val="39"/>
          <w:rFonts w:hint="eastAsia"/>
          <w:bCs/>
        </w:rPr>
        <w:t>单位管理</w:t>
      </w:r>
      <w:bookmarkEnd w:id="53"/>
    </w:p>
    <w:p>
      <w:pPr>
        <w:ind w:firstLine="640"/>
        <w:rPr>
          <w:rFonts w:ascii="宋体" w:hAnsi="宋体"/>
        </w:rPr>
      </w:pPr>
      <w:r>
        <w:rPr>
          <w:rFonts w:hint="eastAsia" w:ascii="宋体" w:hAnsi="宋体"/>
        </w:rPr>
        <w:t>使用单位可对本单位的基本信息进行管理，支持对本单位信息的修改、查询操作。</w:t>
      </w:r>
    </w:p>
    <w:p>
      <w:pPr>
        <w:pStyle w:val="7"/>
        <w:numPr>
          <w:ilvl w:val="0"/>
          <w:numId w:val="35"/>
        </w:numPr>
        <w:ind w:firstLine="643"/>
      </w:pPr>
      <w:r>
        <w:rPr>
          <w:rFonts w:hint="eastAsia"/>
        </w:rPr>
        <w:t>单位信息</w:t>
      </w:r>
    </w:p>
    <w:p>
      <w:pPr>
        <w:ind w:firstLine="640"/>
      </w:pPr>
      <w:r>
        <w:rPr>
          <w:rFonts w:hint="eastAsia"/>
        </w:rPr>
        <w:t>使用单位可以对本单位的基本信息进行维护和查询，包括单位名称、社会信用代码、法人信息、安全管理员信息、下属机构和部门信息，系统对部分信息做不可修改处理，如单位名称、社会信息用代码等字段。</w:t>
      </w:r>
    </w:p>
    <w:p>
      <w:pPr>
        <w:pStyle w:val="7"/>
        <w:numPr>
          <w:ilvl w:val="0"/>
          <w:numId w:val="35"/>
        </w:numPr>
        <w:ind w:firstLine="643"/>
      </w:pPr>
      <w:r>
        <w:rPr>
          <w:rFonts w:hint="eastAsia"/>
        </w:rPr>
        <w:t>单位安全码</w:t>
      </w:r>
    </w:p>
    <w:p>
      <w:pPr>
        <w:pStyle w:val="15"/>
        <w:spacing w:before="0" w:beforeLines="0" w:after="0" w:afterLines="0" w:line="580" w:lineRule="exact"/>
        <w:ind w:firstLine="640"/>
        <w:rPr>
          <w:rFonts w:ascii="Times New Roman" w:hAnsi="Times New Roman"/>
          <w:kern w:val="2"/>
          <w:sz w:val="32"/>
        </w:rPr>
      </w:pPr>
      <w:r>
        <w:rPr>
          <w:rFonts w:hint="eastAsia" w:ascii="Times New Roman" w:hAnsi="Times New Roman"/>
          <w:kern w:val="2"/>
          <w:sz w:val="32"/>
        </w:rPr>
        <w:t>主要提供单位的风险等级的查询入口，根据一码通用中的单位安全码功能，呈现相应的单位风险等级信息。</w:t>
      </w:r>
    </w:p>
    <w:p>
      <w:pPr>
        <w:pStyle w:val="6"/>
        <w:numPr>
          <w:ilvl w:val="0"/>
          <w:numId w:val="30"/>
        </w:numPr>
        <w:ind w:firstLine="640"/>
        <w:rPr>
          <w:rStyle w:val="39"/>
          <w:bCs/>
        </w:rPr>
      </w:pPr>
      <w:bookmarkStart w:id="54" w:name="_Toc23692"/>
      <w:r>
        <w:rPr>
          <w:rStyle w:val="39"/>
          <w:rFonts w:hint="eastAsia"/>
          <w:bCs/>
        </w:rPr>
        <w:t>设备管理</w:t>
      </w:r>
      <w:bookmarkEnd w:id="54"/>
    </w:p>
    <w:p>
      <w:pPr>
        <w:ind w:firstLine="640"/>
        <w:rPr>
          <w:rFonts w:ascii="宋体" w:hAnsi="宋体"/>
        </w:rPr>
      </w:pPr>
      <w:r>
        <w:rPr>
          <w:rFonts w:hint="eastAsia" w:ascii="宋体" w:hAnsi="宋体"/>
        </w:rPr>
        <w:t>主要是用于使用单位查询和管理本单位的所有特种设备清单和详情信息。</w:t>
      </w:r>
    </w:p>
    <w:p>
      <w:pPr>
        <w:pStyle w:val="7"/>
        <w:numPr>
          <w:ilvl w:val="0"/>
          <w:numId w:val="36"/>
        </w:numPr>
        <w:ind w:firstLine="643"/>
      </w:pPr>
      <w:r>
        <w:rPr>
          <w:rFonts w:hint="eastAsia"/>
        </w:rPr>
        <w:t>设备信息查询</w:t>
      </w:r>
    </w:p>
    <w:p>
      <w:pPr>
        <w:ind w:firstLine="640"/>
      </w:pPr>
      <w:r>
        <w:rPr>
          <w:rFonts w:hint="eastAsia" w:ascii="宋体" w:hAnsi="宋体"/>
        </w:rPr>
        <w:t>使用单位可以直接查看本单位的所有设备情况，包括设备名称、设备代码、设备使用情况、设备检验信息、设备的安全管理人员及联系方式等。所有设备参数和基础信息都不可修改，只可以修改设备的管理人员、主要联系人及联系方式等与设备基础和参数无关的信息。</w:t>
      </w:r>
    </w:p>
    <w:p>
      <w:pPr>
        <w:pStyle w:val="7"/>
        <w:numPr>
          <w:ilvl w:val="0"/>
          <w:numId w:val="36"/>
        </w:numPr>
        <w:ind w:firstLine="643"/>
      </w:pPr>
      <w:r>
        <w:rPr>
          <w:rFonts w:hint="eastAsia"/>
        </w:rPr>
        <w:t>设备信息统计</w:t>
      </w:r>
    </w:p>
    <w:p>
      <w:pPr>
        <w:ind w:firstLine="640"/>
      </w:pPr>
      <w:r>
        <w:rPr>
          <w:rFonts w:hint="eastAsia" w:ascii="宋体" w:hAnsi="宋体"/>
        </w:rPr>
        <w:t>相当于使用单位可以查看的设备信息统计。将所有设备根据不同维度进行查询统计，不限于设备的种类、在用情况、地区分布、风险等级等。</w:t>
      </w:r>
    </w:p>
    <w:p>
      <w:pPr>
        <w:pStyle w:val="7"/>
        <w:numPr>
          <w:ilvl w:val="0"/>
          <w:numId w:val="36"/>
        </w:numPr>
        <w:ind w:firstLine="643"/>
      </w:pPr>
      <w:r>
        <w:rPr>
          <w:rFonts w:hint="eastAsia"/>
        </w:rPr>
        <w:t>设备安全码</w:t>
      </w:r>
    </w:p>
    <w:p>
      <w:pPr>
        <w:pStyle w:val="15"/>
        <w:spacing w:before="0" w:beforeLines="0" w:after="0" w:afterLines="0" w:line="580" w:lineRule="exact"/>
        <w:ind w:firstLine="640"/>
        <w:rPr>
          <w:rFonts w:ascii="Times New Roman" w:hAnsi="Times New Roman"/>
          <w:kern w:val="2"/>
          <w:sz w:val="32"/>
        </w:rPr>
      </w:pPr>
      <w:r>
        <w:rPr>
          <w:rFonts w:hint="eastAsia" w:ascii="Times New Roman" w:hAnsi="Times New Roman"/>
          <w:kern w:val="2"/>
          <w:sz w:val="32"/>
        </w:rPr>
        <w:t>主要提供使用单位的特种设备风险等级的查询入口，参照一码通用中的设备安全码功能，企业可以对每台设备的风险等级进行管理。</w:t>
      </w:r>
    </w:p>
    <w:p>
      <w:pPr>
        <w:pStyle w:val="6"/>
        <w:numPr>
          <w:ilvl w:val="0"/>
          <w:numId w:val="30"/>
        </w:numPr>
        <w:ind w:firstLine="640"/>
        <w:rPr>
          <w:rStyle w:val="39"/>
          <w:bCs/>
        </w:rPr>
      </w:pPr>
      <w:bookmarkStart w:id="55" w:name="_Toc24478"/>
      <w:r>
        <w:rPr>
          <w:rStyle w:val="39"/>
          <w:rFonts w:hint="eastAsia"/>
          <w:bCs/>
        </w:rPr>
        <w:t>人员管理</w:t>
      </w:r>
      <w:bookmarkEnd w:id="55"/>
    </w:p>
    <w:p>
      <w:pPr>
        <w:ind w:firstLine="640"/>
        <w:rPr>
          <w:rFonts w:ascii="宋体" w:hAnsi="宋体"/>
        </w:rPr>
      </w:pPr>
      <w:r>
        <w:rPr>
          <w:rFonts w:hint="eastAsia" w:ascii="宋体" w:hAnsi="宋体"/>
        </w:rPr>
        <w:t>使用单位可以管理本单位的作业人员，包括添加、查看、修改、解绑人员、管理非省市特种设备作业证件、管理项目操作。</w:t>
      </w:r>
    </w:p>
    <w:p>
      <w:pPr>
        <w:pStyle w:val="7"/>
        <w:numPr>
          <w:ilvl w:val="0"/>
          <w:numId w:val="37"/>
        </w:numPr>
        <w:ind w:firstLine="643"/>
      </w:pPr>
      <w:r>
        <w:rPr>
          <w:rFonts w:hint="eastAsia"/>
        </w:rPr>
        <w:t>人员信息</w:t>
      </w:r>
    </w:p>
    <w:p>
      <w:pPr>
        <w:ind w:firstLine="640"/>
        <w:rPr>
          <w:rFonts w:ascii="宋体" w:hAnsi="宋体"/>
        </w:rPr>
      </w:pPr>
      <w:r>
        <w:rPr>
          <w:rFonts w:hint="eastAsia" w:ascii="宋体" w:hAnsi="宋体"/>
        </w:rPr>
        <w:t>主要管理单位从属的所有作业人员，可以添加和维护作业人员的基本信息，包括姓名、联系方式、工龄、作业的设备种类等。</w:t>
      </w:r>
    </w:p>
    <w:p>
      <w:pPr>
        <w:pStyle w:val="7"/>
        <w:numPr>
          <w:ilvl w:val="0"/>
          <w:numId w:val="37"/>
        </w:numPr>
        <w:ind w:firstLine="643"/>
      </w:pPr>
      <w:r>
        <w:rPr>
          <w:rFonts w:hint="eastAsia"/>
        </w:rPr>
        <w:t>人员资质</w:t>
      </w:r>
    </w:p>
    <w:p>
      <w:pPr>
        <w:ind w:firstLine="640"/>
        <w:rPr>
          <w:rFonts w:ascii="宋体" w:hAnsi="宋体"/>
        </w:rPr>
      </w:pPr>
      <w:r>
        <w:rPr>
          <w:rFonts w:hint="eastAsia" w:ascii="宋体" w:hAnsi="宋体"/>
        </w:rPr>
        <w:t>提供添加、删除、修改本单位所有人员的相关资质等功能，包括添加和维护资质证明附件、资质有效日期、资质名称。</w:t>
      </w:r>
    </w:p>
    <w:p>
      <w:pPr>
        <w:pStyle w:val="7"/>
        <w:numPr>
          <w:ilvl w:val="0"/>
          <w:numId w:val="37"/>
        </w:numPr>
        <w:ind w:firstLine="643"/>
      </w:pPr>
      <w:r>
        <w:rPr>
          <w:rFonts w:hint="eastAsia"/>
        </w:rPr>
        <w:t>人员捆绑</w:t>
      </w:r>
    </w:p>
    <w:p>
      <w:pPr>
        <w:ind w:firstLine="640"/>
      </w:pPr>
      <w:r>
        <w:rPr>
          <w:rFonts w:hint="eastAsia"/>
        </w:rPr>
        <w:t>提供作业人员和单位关联绑定的功能，包括聘用时间、聘用单位、作业项目等信息，同时可以对已离职的人员进行关联解绑。</w:t>
      </w:r>
    </w:p>
    <w:p>
      <w:pPr>
        <w:pStyle w:val="7"/>
        <w:numPr>
          <w:ilvl w:val="0"/>
          <w:numId w:val="37"/>
        </w:numPr>
        <w:ind w:firstLine="643"/>
      </w:pPr>
      <w:r>
        <w:rPr>
          <w:rFonts w:hint="eastAsia"/>
        </w:rPr>
        <w:t>人员安全码</w:t>
      </w:r>
    </w:p>
    <w:p>
      <w:pPr>
        <w:pStyle w:val="15"/>
        <w:spacing w:before="0" w:beforeLines="0" w:after="0" w:afterLines="0" w:line="580" w:lineRule="exact"/>
        <w:ind w:firstLine="640"/>
        <w:rPr>
          <w:rFonts w:ascii="Times New Roman" w:hAnsi="Times New Roman"/>
          <w:kern w:val="2"/>
          <w:sz w:val="32"/>
        </w:rPr>
      </w:pPr>
      <w:r>
        <w:rPr>
          <w:rFonts w:hint="eastAsia" w:ascii="Times New Roman" w:hAnsi="Times New Roman"/>
          <w:kern w:val="2"/>
          <w:sz w:val="32"/>
        </w:rPr>
        <w:t>主要提供使用单位的作业人员风险等级的查询入口，参照一码通用中的人员安全码功能。</w:t>
      </w:r>
    </w:p>
    <w:p>
      <w:pPr>
        <w:pStyle w:val="6"/>
        <w:numPr>
          <w:ilvl w:val="0"/>
          <w:numId w:val="30"/>
        </w:numPr>
        <w:ind w:firstLine="640"/>
        <w:rPr>
          <w:rStyle w:val="39"/>
          <w:bCs/>
        </w:rPr>
      </w:pPr>
      <w:bookmarkStart w:id="56" w:name="_Toc7576"/>
      <w:r>
        <w:rPr>
          <w:rStyle w:val="39"/>
          <w:rFonts w:hint="eastAsia"/>
          <w:bCs/>
        </w:rPr>
        <w:t>安全管理</w:t>
      </w:r>
      <w:bookmarkEnd w:id="56"/>
    </w:p>
    <w:p>
      <w:pPr>
        <w:ind w:firstLine="640"/>
        <w:rPr>
          <w:rFonts w:ascii="宋体" w:hAnsi="宋体"/>
        </w:rPr>
      </w:pPr>
      <w:r>
        <w:rPr>
          <w:rFonts w:hint="eastAsia" w:ascii="宋体" w:hAnsi="宋体"/>
        </w:rPr>
        <w:t>安全管理包括预警信息、隐患信息、监察指令书、双重预防、事故上报等相关功能。</w:t>
      </w:r>
    </w:p>
    <w:p>
      <w:pPr>
        <w:pStyle w:val="7"/>
        <w:numPr>
          <w:ilvl w:val="0"/>
          <w:numId w:val="38"/>
        </w:numPr>
        <w:ind w:firstLine="643"/>
      </w:pPr>
      <w:r>
        <w:rPr>
          <w:rFonts w:hint="eastAsia"/>
        </w:rPr>
        <w:t>预警信息</w:t>
      </w:r>
    </w:p>
    <w:p>
      <w:pPr>
        <w:pStyle w:val="15"/>
        <w:spacing w:before="0" w:beforeLines="0" w:after="0" w:afterLines="0" w:line="580" w:lineRule="exact"/>
        <w:ind w:firstLine="960" w:firstLineChars="300"/>
        <w:rPr>
          <w:rFonts w:hAnsi="宋体"/>
        </w:rPr>
      </w:pPr>
      <w:r>
        <w:rPr>
          <w:rFonts w:hint="eastAsia" w:hAnsi="宋体"/>
          <w:kern w:val="2"/>
          <w:sz w:val="32"/>
        </w:rPr>
        <w:t>生产单位和使用单位用户可以查看隐患的预警信息和接收预警信息。预警信息包括人员证件到期预警、单位资质到期预警、设备超期未检预警、设备检验意见书等</w:t>
      </w:r>
      <w:r>
        <w:rPr>
          <w:rFonts w:hint="eastAsia" w:hAnsi="宋体"/>
        </w:rPr>
        <w:t>。</w:t>
      </w:r>
    </w:p>
    <w:p>
      <w:pPr>
        <w:pStyle w:val="7"/>
        <w:numPr>
          <w:ilvl w:val="0"/>
          <w:numId w:val="38"/>
        </w:numPr>
        <w:ind w:firstLine="643"/>
      </w:pPr>
      <w:r>
        <w:rPr>
          <w:rFonts w:hint="eastAsia"/>
        </w:rPr>
        <w:t>隐患信息</w:t>
      </w:r>
    </w:p>
    <w:p>
      <w:pPr>
        <w:ind w:firstLine="640"/>
        <w:rPr>
          <w:rFonts w:ascii="宋体" w:hAnsi="宋体"/>
        </w:rPr>
      </w:pPr>
      <w:r>
        <w:rPr>
          <w:rFonts w:hint="eastAsia" w:ascii="宋体" w:hAnsi="宋体"/>
        </w:rPr>
        <w:t>通过与三项制度、分类评价、双随机、风险预警系统及基层四平台的实时互联互通。使用单位用户可查询本单位的隐患和缺陷信息，并对存在的隐患提交整改反馈。</w:t>
      </w:r>
    </w:p>
    <w:p>
      <w:pPr>
        <w:pStyle w:val="7"/>
        <w:numPr>
          <w:ilvl w:val="0"/>
          <w:numId w:val="38"/>
        </w:numPr>
        <w:ind w:firstLine="643"/>
      </w:pPr>
      <w:r>
        <w:rPr>
          <w:rFonts w:hint="eastAsia"/>
        </w:rPr>
        <w:t>监察指令书</w:t>
      </w:r>
    </w:p>
    <w:p>
      <w:pPr>
        <w:ind w:firstLine="640"/>
        <w:rPr>
          <w:rFonts w:ascii="宋体" w:hAnsi="宋体"/>
        </w:rPr>
      </w:pPr>
      <w:r>
        <w:rPr>
          <w:rFonts w:hint="eastAsia" w:ascii="宋体" w:hAnsi="宋体"/>
        </w:rPr>
        <w:t>单位用户可查看发给本单位的监察指令书，提交整改反馈。</w:t>
      </w:r>
    </w:p>
    <w:p>
      <w:pPr>
        <w:pStyle w:val="7"/>
        <w:numPr>
          <w:ilvl w:val="0"/>
          <w:numId w:val="38"/>
        </w:numPr>
        <w:ind w:firstLine="643"/>
      </w:pPr>
      <w:r>
        <w:rPr>
          <w:rFonts w:hint="eastAsia"/>
        </w:rPr>
        <w:t>双重预防</w:t>
      </w:r>
    </w:p>
    <w:p>
      <w:pPr>
        <w:ind w:firstLine="640"/>
      </w:pPr>
      <w:r>
        <w:rPr>
          <w:rFonts w:hint="eastAsia"/>
        </w:rPr>
        <w:t>包括分类评价和三项制度的相关功能，其功能复用现有的分类评价和三项制度系统。为企业提供在线自我评价服务，实现企业的分类评价在线管理。同时，实现企业特种设备风险隐患自查自改自报，形成重大风险隐患排查日志、严重事故隐患报告等。</w:t>
      </w:r>
    </w:p>
    <w:p>
      <w:pPr>
        <w:pStyle w:val="5"/>
        <w:numPr>
          <w:ilvl w:val="0"/>
          <w:numId w:val="21"/>
        </w:numPr>
        <w:ind w:firstLine="643"/>
      </w:pPr>
      <w:r>
        <w:rPr>
          <w:rFonts w:hint="eastAsia"/>
        </w:rPr>
        <w:t>维保单位</w:t>
      </w:r>
    </w:p>
    <w:p>
      <w:pPr>
        <w:ind w:firstLine="640"/>
      </w:pPr>
      <w:r>
        <w:rPr>
          <w:rFonts w:hint="eastAsia"/>
        </w:rPr>
        <w:t>以下内容为维保单位登录账户后所能查看和操作的主要功能模块和功能点：</w:t>
      </w:r>
    </w:p>
    <w:p>
      <w:pPr>
        <w:pStyle w:val="6"/>
        <w:numPr>
          <w:ilvl w:val="0"/>
          <w:numId w:val="39"/>
        </w:numPr>
        <w:ind w:firstLine="640"/>
        <w:rPr>
          <w:rStyle w:val="39"/>
          <w:bCs/>
        </w:rPr>
      </w:pPr>
      <w:r>
        <w:rPr>
          <w:rStyle w:val="39"/>
          <w:rFonts w:hint="eastAsia"/>
          <w:bCs/>
        </w:rPr>
        <w:t>账户管理</w:t>
      </w:r>
    </w:p>
    <w:p>
      <w:pPr>
        <w:ind w:firstLine="640"/>
      </w:pPr>
      <w:r>
        <w:rPr>
          <w:rFonts w:hint="eastAsia"/>
        </w:rPr>
        <w:t>提供账号开通和账户信息维护等相关功能。首次进入全省公共服务模块的特种设备相关维保单位需要根据单位性质提供单位信息和相关资质证明等，包括单位名称、单位统一信用代码、法定代表人、单位主要联系人、单位地址、单位联系方式等。同时，单位还需要提供相关资质证明文件，包括企业营业执照和电梯维保相关资质。账户权限开通后，单位可以进行相应的业务办理和信息查询、管理。</w:t>
      </w:r>
    </w:p>
    <w:p>
      <w:pPr>
        <w:pStyle w:val="6"/>
        <w:numPr>
          <w:ilvl w:val="0"/>
          <w:numId w:val="39"/>
        </w:numPr>
        <w:ind w:firstLine="640"/>
        <w:rPr>
          <w:rStyle w:val="39"/>
          <w:bCs/>
        </w:rPr>
      </w:pPr>
      <w:r>
        <w:rPr>
          <w:rStyle w:val="39"/>
          <w:rFonts w:hint="eastAsia"/>
          <w:bCs/>
        </w:rPr>
        <w:t>工作桌面</w:t>
      </w:r>
    </w:p>
    <w:p>
      <w:pPr>
        <w:ind w:firstLine="640"/>
      </w:pPr>
      <w:r>
        <w:rPr>
          <w:rFonts w:hint="eastAsia"/>
        </w:rPr>
        <w:t>当企业用户登录账户后首先进入工作桌面即首页，可以推送及时消息通知给维保单位，包括电梯按需维保业务开展、电梯按需维保试点和电梯自行检测等申请业务的进度和结果消息通知。工作桌面也为维保单位提供监察部门推送发布的相关公告通知等内容。</w:t>
      </w:r>
    </w:p>
    <w:p>
      <w:pPr>
        <w:pStyle w:val="6"/>
        <w:numPr>
          <w:ilvl w:val="0"/>
          <w:numId w:val="39"/>
        </w:numPr>
        <w:ind w:firstLine="640"/>
        <w:rPr>
          <w:rStyle w:val="39"/>
          <w:bCs/>
        </w:rPr>
      </w:pPr>
      <w:r>
        <w:rPr>
          <w:rStyle w:val="39"/>
          <w:rFonts w:hint="eastAsia"/>
          <w:bCs/>
        </w:rPr>
        <w:t>电梯维保检测</w:t>
      </w:r>
    </w:p>
    <w:p>
      <w:pPr>
        <w:ind w:firstLine="640"/>
        <w:rPr>
          <w:rStyle w:val="39"/>
        </w:rPr>
      </w:pPr>
      <w:r>
        <w:rPr>
          <w:rStyle w:val="39"/>
          <w:rFonts w:hint="eastAsia"/>
        </w:rPr>
        <w:t>主要是为维保单位进行电梯按需维保试点、维保单位按需维保业务开展、电梯自行检测等申请的功能模块。</w:t>
      </w:r>
    </w:p>
    <w:p>
      <w:pPr>
        <w:pStyle w:val="7"/>
        <w:numPr>
          <w:ilvl w:val="0"/>
          <w:numId w:val="40"/>
        </w:numPr>
        <w:ind w:firstLine="643"/>
      </w:pPr>
      <w:r>
        <w:rPr>
          <w:rFonts w:hint="eastAsia"/>
        </w:rPr>
        <w:t>申请</w:t>
      </w:r>
    </w:p>
    <w:p>
      <w:pPr>
        <w:ind w:firstLine="640"/>
      </w:pPr>
      <w:r>
        <w:rPr>
          <w:rFonts w:hint="eastAsia"/>
        </w:rPr>
        <w:t>需要维保单位点击进入到相应入口，填写按需维保试点、按需维保业务开展和电梯自行检测等申请表信息并上传相关证明材料。完成申请后，信息将在公共服务模块上进行公示。</w:t>
      </w:r>
    </w:p>
    <w:p>
      <w:pPr>
        <w:pStyle w:val="7"/>
        <w:numPr>
          <w:ilvl w:val="0"/>
          <w:numId w:val="40"/>
        </w:numPr>
        <w:ind w:firstLine="643"/>
      </w:pPr>
      <w:r>
        <w:rPr>
          <w:rFonts w:hint="eastAsia"/>
        </w:rPr>
        <w:t>撤销</w:t>
      </w:r>
    </w:p>
    <w:p>
      <w:pPr>
        <w:ind w:firstLine="640"/>
      </w:pPr>
      <w:r>
        <w:rPr>
          <w:rFonts w:hint="eastAsia"/>
        </w:rPr>
        <w:t>如果维保单位取消电梯按需维保试点、按需维保业务开展和电梯自行检测的申请，也可以发起撤销申请，申请信息将被作废。</w:t>
      </w:r>
    </w:p>
    <w:p>
      <w:pPr>
        <w:pStyle w:val="7"/>
        <w:numPr>
          <w:ilvl w:val="0"/>
          <w:numId w:val="40"/>
        </w:numPr>
        <w:ind w:firstLine="643"/>
      </w:pPr>
      <w:r>
        <w:rPr>
          <w:rFonts w:hint="eastAsia"/>
        </w:rPr>
        <w:t>查询申请记录</w:t>
      </w:r>
    </w:p>
    <w:p>
      <w:pPr>
        <w:ind w:firstLine="640"/>
      </w:pPr>
      <w:r>
        <w:rPr>
          <w:rFonts w:hint="eastAsia"/>
        </w:rPr>
        <w:t>主要是为维保单位提供查询功能，查看到申请的历史记录列表和详细内容。</w:t>
      </w:r>
    </w:p>
    <w:p>
      <w:pPr>
        <w:pStyle w:val="7"/>
        <w:numPr>
          <w:ilvl w:val="0"/>
          <w:numId w:val="40"/>
        </w:numPr>
        <w:ind w:firstLine="643"/>
      </w:pPr>
      <w:r>
        <w:rPr>
          <w:rFonts w:hint="eastAsia"/>
        </w:rPr>
        <w:t>维保公示申报</w:t>
      </w:r>
    </w:p>
    <w:p>
      <w:pPr>
        <w:ind w:firstLine="640"/>
      </w:pPr>
      <w:r>
        <w:rPr>
          <w:rFonts w:hint="eastAsia"/>
        </w:rPr>
        <w:t>主要是为维保单位提供主要零部件和维保工时公示及电梯参保信息公示的申报入口。根据申报内容进行填写后，申报信息将在全省公共服务模块上进行公示。</w:t>
      </w:r>
    </w:p>
    <w:p>
      <w:pPr>
        <w:pStyle w:val="6"/>
        <w:numPr>
          <w:ilvl w:val="0"/>
          <w:numId w:val="39"/>
        </w:numPr>
        <w:ind w:firstLine="640"/>
        <w:rPr>
          <w:rStyle w:val="39"/>
          <w:bCs/>
        </w:rPr>
      </w:pPr>
      <w:r>
        <w:rPr>
          <w:rStyle w:val="39"/>
          <w:rFonts w:hint="eastAsia"/>
          <w:bCs/>
        </w:rPr>
        <w:t>单位管理</w:t>
      </w:r>
    </w:p>
    <w:p>
      <w:pPr>
        <w:ind w:firstLine="640"/>
        <w:rPr>
          <w:rFonts w:ascii="宋体" w:hAnsi="宋体"/>
        </w:rPr>
      </w:pPr>
      <w:r>
        <w:rPr>
          <w:rFonts w:hint="eastAsia" w:ascii="宋体" w:hAnsi="宋体"/>
        </w:rPr>
        <w:t>维保单位可对本单位的基本信息进行管理，支持对本单位信息的修改、查询操作。</w:t>
      </w:r>
    </w:p>
    <w:p>
      <w:pPr>
        <w:pStyle w:val="7"/>
        <w:numPr>
          <w:ilvl w:val="0"/>
          <w:numId w:val="41"/>
        </w:numPr>
        <w:ind w:firstLine="643"/>
      </w:pPr>
      <w:r>
        <w:rPr>
          <w:rFonts w:hint="eastAsia"/>
        </w:rPr>
        <w:t>单位信息</w:t>
      </w:r>
    </w:p>
    <w:p>
      <w:pPr>
        <w:ind w:firstLine="640"/>
      </w:pPr>
      <w:r>
        <w:rPr>
          <w:rFonts w:hint="eastAsia"/>
        </w:rPr>
        <w:t>维保单位可以对本单位的基本信息进行维护和查询，包括单位名称、社会信用代码、法人信息、分支机构名称和办公场所等信息进行查询和维护。系统对部分信息做不可修改处理，如单位名称、社会信息用代码等字段。同时，对维保单位的授权范围和授权有效期等信息进行管理。</w:t>
      </w:r>
    </w:p>
    <w:p>
      <w:pPr>
        <w:pStyle w:val="7"/>
        <w:numPr>
          <w:ilvl w:val="0"/>
          <w:numId w:val="41"/>
        </w:numPr>
        <w:ind w:firstLine="643"/>
      </w:pPr>
      <w:r>
        <w:rPr>
          <w:rFonts w:hint="eastAsia"/>
        </w:rPr>
        <w:t>单位资质</w:t>
      </w:r>
    </w:p>
    <w:p>
      <w:pPr>
        <w:ind w:firstLine="640"/>
      </w:pPr>
      <w:r>
        <w:rPr>
          <w:rFonts w:hint="eastAsia"/>
        </w:rPr>
        <w:t>维保单位需要对本单位的维保相关资质进行维护，包括证书编号、证书发证日期、证书有效期信息。</w:t>
      </w:r>
    </w:p>
    <w:p>
      <w:pPr>
        <w:pStyle w:val="6"/>
        <w:numPr>
          <w:ilvl w:val="0"/>
          <w:numId w:val="39"/>
        </w:numPr>
        <w:ind w:firstLine="640"/>
        <w:rPr>
          <w:rStyle w:val="39"/>
          <w:bCs/>
        </w:rPr>
      </w:pPr>
      <w:r>
        <w:rPr>
          <w:rStyle w:val="39"/>
          <w:rFonts w:hint="eastAsia"/>
          <w:bCs/>
        </w:rPr>
        <w:t>人员管理</w:t>
      </w:r>
    </w:p>
    <w:p>
      <w:pPr>
        <w:ind w:firstLine="640"/>
        <w:rPr>
          <w:rFonts w:ascii="宋体" w:hAnsi="宋体"/>
        </w:rPr>
      </w:pPr>
      <w:r>
        <w:rPr>
          <w:rFonts w:hint="eastAsia" w:ascii="宋体" w:hAnsi="宋体"/>
        </w:rPr>
        <w:t>维保单位可以管理本单位的维保人员，包括添加、查看、修改、解绑人员等。</w:t>
      </w:r>
    </w:p>
    <w:p>
      <w:pPr>
        <w:pStyle w:val="7"/>
        <w:numPr>
          <w:ilvl w:val="0"/>
          <w:numId w:val="42"/>
        </w:numPr>
        <w:ind w:firstLine="643"/>
      </w:pPr>
      <w:r>
        <w:rPr>
          <w:rFonts w:hint="eastAsia"/>
        </w:rPr>
        <w:t>人员信息</w:t>
      </w:r>
    </w:p>
    <w:p>
      <w:pPr>
        <w:ind w:firstLine="640"/>
        <w:rPr>
          <w:rFonts w:ascii="宋体" w:hAnsi="宋体"/>
        </w:rPr>
      </w:pPr>
      <w:r>
        <w:rPr>
          <w:rFonts w:hint="eastAsia" w:ascii="宋体" w:hAnsi="宋体"/>
        </w:rPr>
        <w:t>主要管理单位从属的所有维保人员，可以添加和维护人员的基本信息，包括姓名、联系方式、维保负责人等。</w:t>
      </w:r>
    </w:p>
    <w:p>
      <w:pPr>
        <w:pStyle w:val="7"/>
        <w:numPr>
          <w:ilvl w:val="0"/>
          <w:numId w:val="42"/>
        </w:numPr>
        <w:ind w:firstLine="643"/>
      </w:pPr>
      <w:r>
        <w:rPr>
          <w:rFonts w:hint="eastAsia"/>
        </w:rPr>
        <w:t>人员捆绑</w:t>
      </w:r>
    </w:p>
    <w:p>
      <w:pPr>
        <w:ind w:firstLine="640"/>
      </w:pPr>
      <w:r>
        <w:rPr>
          <w:rFonts w:hint="eastAsia"/>
        </w:rPr>
        <w:t>提供维保人员和单位关联绑定的功能，包括聘用时间、聘用单位、维保项目等信息，同时可以对已离职的人员进行关联解绑。</w:t>
      </w:r>
    </w:p>
    <w:p>
      <w:pPr>
        <w:pStyle w:val="4"/>
        <w:numPr>
          <w:ilvl w:val="2"/>
          <w:numId w:val="19"/>
        </w:numPr>
        <w:spacing w:before="0" w:after="0" w:line="580" w:lineRule="exact"/>
        <w:ind w:firstLine="640"/>
      </w:pPr>
      <w:bookmarkStart w:id="57" w:name="_Toc21219"/>
      <w:bookmarkStart w:id="58" w:name="_Toc16947"/>
      <w:r>
        <w:rPr>
          <w:rFonts w:hint="eastAsia"/>
        </w:rPr>
        <w:t>公共服务移动端</w:t>
      </w:r>
      <w:bookmarkEnd w:id="57"/>
      <w:bookmarkEnd w:id="58"/>
    </w:p>
    <w:p>
      <w:pPr>
        <w:ind w:firstLine="640"/>
      </w:pPr>
      <w:r>
        <w:rPr>
          <w:rFonts w:hint="eastAsia"/>
        </w:rPr>
        <w:t>根据用户角色类型分为制造单位客户端、销售单位客户端、施工单位客户端、使用单位客户端、维保单位客户端和公众客户端。该公共服务移动端是对公共服务平台用户服务的移动延伸，选取部分公共服务平台的功能模块进行移动化建设，最终形成服务于公众的移动端。其基本功能操作相较于公共服务Web端进行了一定的修正改进。主要功能模块包括：</w:t>
      </w:r>
    </w:p>
    <w:p>
      <w:pPr>
        <w:ind w:firstLine="640"/>
      </w:pPr>
      <w:r>
        <w:rPr>
          <w:rFonts w:hint="eastAsia"/>
        </w:rPr>
        <w:t>一是账户管理，涉及包括制造单位、销售单位、施工单位、使用单位和维保单位，需要开通账户后方可在移动端上进行业务办理和信息管理，并可以对账户进行管理。</w:t>
      </w:r>
    </w:p>
    <w:p>
      <w:pPr>
        <w:ind w:firstLine="640"/>
      </w:pPr>
      <w:r>
        <w:rPr>
          <w:rFonts w:hint="eastAsia"/>
        </w:rPr>
        <w:t>二是待办任务，主要是为用户提供查看待处理隐患、待阅文件和通知公告等信息，方便用户快速查看任务信息，并操作相应处理。</w:t>
      </w:r>
    </w:p>
    <w:p>
      <w:pPr>
        <w:ind w:firstLine="640"/>
      </w:pPr>
      <w:r>
        <w:rPr>
          <w:rFonts w:hint="eastAsia"/>
        </w:rPr>
        <w:t>三是施工告知，根据相关法律法规要求，实现安装、改造、维修告知书的填报。完成相关信息填写和相关文件的上传告知。</w:t>
      </w:r>
    </w:p>
    <w:p>
      <w:pPr>
        <w:ind w:firstLine="640"/>
      </w:pPr>
      <w:r>
        <w:rPr>
          <w:rFonts w:hint="eastAsia"/>
        </w:rPr>
        <w:t>四是电梯维保检测，主要是为使用单位和维保单位提供电梯检测试点、电梯按需维保试点、电梯按需维保业务开展及电梯自行检测的相关业务申请入口。用户可以提交申请信息和上传资料，同时也可撤销相关申请。</w:t>
      </w:r>
    </w:p>
    <w:p>
      <w:pPr>
        <w:ind w:firstLine="640"/>
      </w:pPr>
      <w:r>
        <w:rPr>
          <w:rFonts w:hint="eastAsia"/>
        </w:rPr>
        <w:t>五是业务办理查询，对办理的业务的状态和历史业务的记录进行查询。</w:t>
      </w:r>
    </w:p>
    <w:p>
      <w:pPr>
        <w:ind w:firstLine="640"/>
      </w:pPr>
      <w:r>
        <w:rPr>
          <w:rFonts w:hint="eastAsia"/>
        </w:rPr>
        <w:t>六是单位管理，针对本单位的基本信息、相关资质、单位的风险等级等信息进行查询和维护。</w:t>
      </w:r>
    </w:p>
    <w:p>
      <w:pPr>
        <w:ind w:firstLine="640"/>
      </w:pPr>
      <w:r>
        <w:rPr>
          <w:rFonts w:hint="eastAsia"/>
        </w:rPr>
        <w:t>七是人员管理，针对本单位所从属的相关人员，包括作业人员、安全管理员、维保负责人员等。可以进行信息查询和维护，包括基本信息和证件信息，同时可以管理人员与单位的聘用关联、违规记录等。</w:t>
      </w:r>
    </w:p>
    <w:p>
      <w:pPr>
        <w:ind w:firstLine="640"/>
      </w:pPr>
      <w:r>
        <w:rPr>
          <w:rFonts w:hint="eastAsia"/>
        </w:rPr>
        <w:t>八是设备管理，针对使用单位所属的特种设备种类、设备信息、设备在用情况等进行统计查询，以及对设备风险等级进行查询。</w:t>
      </w:r>
    </w:p>
    <w:p>
      <w:pPr>
        <w:ind w:firstLine="640"/>
      </w:pPr>
      <w:r>
        <w:rPr>
          <w:rFonts w:hint="eastAsia"/>
        </w:rPr>
        <w:t>九是安全管理，主要是为使用单位接收和查询本单位存在的隐患信息、预警信息、监察指令书、检验意见书等，且对隐患做出整改，同时提供事故上报的功能。同时，安全管理模块提供双重预防的相关功能，包括企业的分类评价和三项制度。</w:t>
      </w:r>
    </w:p>
    <w:p>
      <w:pPr>
        <w:ind w:firstLine="640"/>
      </w:pPr>
      <w:r>
        <w:rPr>
          <w:rFonts w:hint="eastAsia"/>
        </w:rPr>
        <w:t>十是在线知识库，提供各类特种设备相关知识的在线查询与学习，便于企业与相关从业人员进行在线学习。包括法律法规、安全标准、检验缺陷、事故案例、专家分析等。</w:t>
      </w:r>
    </w:p>
    <w:p>
      <w:pPr>
        <w:ind w:firstLine="640"/>
      </w:pPr>
      <w:r>
        <w:rPr>
          <w:rFonts w:hint="eastAsia"/>
        </w:rPr>
        <w:t>十一是信息公示，提供各类需要公示的内容信息，包括电梯检测试点、电梯检测机构、电梯按需维保试点等公示信息。</w:t>
      </w:r>
    </w:p>
    <w:p>
      <w:pPr>
        <w:ind w:firstLine="640"/>
      </w:pPr>
      <w:r>
        <w:rPr>
          <w:rFonts w:hint="eastAsia"/>
        </w:rPr>
        <w:t>十二是投诉举报，公众发现发现检验机构、特种设备使用单位、生产单位等有各类违法违规行为可进行在线举报或投诉进行反馈。</w:t>
      </w:r>
    </w:p>
    <w:p>
      <w:pPr>
        <w:pStyle w:val="3"/>
        <w:numPr>
          <w:ilvl w:val="1"/>
          <w:numId w:val="6"/>
        </w:numPr>
        <w:ind w:firstLine="640" w:firstLineChars="200"/>
        <w:rPr>
          <w:rFonts w:ascii="黑体" w:hAnsi="黑体"/>
          <w:b w:val="0"/>
        </w:rPr>
      </w:pPr>
      <w:bookmarkStart w:id="59" w:name="_Toc16988"/>
      <w:r>
        <w:rPr>
          <w:rFonts w:hint="eastAsia" w:ascii="黑体" w:hAnsi="黑体"/>
          <w:b w:val="0"/>
        </w:rPr>
        <w:t>检索分析子系统</w:t>
      </w:r>
      <w:bookmarkEnd w:id="59"/>
    </w:p>
    <w:p>
      <w:pPr>
        <w:pStyle w:val="4"/>
        <w:numPr>
          <w:ilvl w:val="2"/>
          <w:numId w:val="43"/>
        </w:numPr>
        <w:spacing w:before="0" w:after="0" w:line="580" w:lineRule="exact"/>
        <w:ind w:firstLineChars="0"/>
        <w:rPr>
          <w:rFonts w:ascii="楷体_GB2312" w:eastAsia="楷体_GB2312"/>
        </w:rPr>
      </w:pPr>
      <w:bookmarkStart w:id="60" w:name="_Toc26703"/>
      <w:r>
        <w:rPr>
          <w:rFonts w:hint="eastAsia" w:ascii="楷体_GB2312" w:eastAsia="楷体_GB2312"/>
        </w:rPr>
        <w:t>单位检索</w:t>
      </w:r>
      <w:bookmarkEnd w:id="60"/>
    </w:p>
    <w:p>
      <w:pPr>
        <w:ind w:firstLine="640"/>
        <w:rPr>
          <w:rFonts w:ascii="仿宋" w:hAnsi="仿宋" w:eastAsia="仿宋" w:cs="Arial"/>
          <w:szCs w:val="32"/>
        </w:rPr>
      </w:pPr>
      <w:r>
        <w:rPr>
          <w:rFonts w:hint="eastAsia" w:ascii="仿宋" w:hAnsi="仿宋" w:eastAsia="仿宋" w:cs="Arial"/>
          <w:szCs w:val="32"/>
        </w:rPr>
        <w:t>在全省监察子系统、监察移动端支持单位信息的检索，即输入单位的名称（支持模糊查询）或社会信用代码，即可看到该单位所有相关的信息，如：</w:t>
      </w:r>
    </w:p>
    <w:p>
      <w:pPr>
        <w:ind w:firstLine="640"/>
        <w:rPr>
          <w:rFonts w:ascii="仿宋" w:hAnsi="仿宋" w:eastAsia="仿宋" w:cs="Arial"/>
          <w:szCs w:val="32"/>
        </w:rPr>
      </w:pPr>
      <w:r>
        <w:rPr>
          <w:rFonts w:hint="eastAsia" w:ascii="仿宋" w:hAnsi="仿宋" w:eastAsia="仿宋" w:cs="Arial"/>
          <w:szCs w:val="32"/>
        </w:rPr>
        <w:t>一是企业的基本信息，包括单位名称、地址、法人代表、单位资质信息、单位风险等级与风险报告等；</w:t>
      </w:r>
    </w:p>
    <w:p>
      <w:pPr>
        <w:ind w:firstLine="640"/>
        <w:rPr>
          <w:rFonts w:ascii="仿宋" w:hAnsi="仿宋" w:eastAsia="仿宋" w:cs="Arial"/>
          <w:szCs w:val="32"/>
        </w:rPr>
      </w:pPr>
      <w:r>
        <w:rPr>
          <w:rFonts w:hint="eastAsia" w:ascii="仿宋" w:hAnsi="仿宋" w:eastAsia="仿宋" w:cs="Arial"/>
          <w:szCs w:val="32"/>
        </w:rPr>
        <w:t>二是企业的设备信息，设备的基本情况，设备的检验信息，设备的隐患信息，设备的风险指数，设备的风险详情等；</w:t>
      </w:r>
    </w:p>
    <w:p>
      <w:pPr>
        <w:ind w:firstLine="640"/>
        <w:rPr>
          <w:rFonts w:ascii="仿宋" w:hAnsi="仿宋" w:eastAsia="仿宋" w:cs="Arial"/>
          <w:szCs w:val="32"/>
        </w:rPr>
      </w:pPr>
      <w:r>
        <w:rPr>
          <w:rFonts w:hint="eastAsia" w:ascii="仿宋" w:hAnsi="仿宋" w:eastAsia="仿宋" w:cs="Arial"/>
          <w:szCs w:val="32"/>
        </w:rPr>
        <w:t>三是企业作业人员信息，包括安全管理人员、作业人员的持证情况等；</w:t>
      </w:r>
    </w:p>
    <w:p>
      <w:pPr>
        <w:ind w:firstLine="640"/>
        <w:rPr>
          <w:rFonts w:ascii="仿宋" w:hAnsi="仿宋" w:eastAsia="仿宋" w:cs="Arial"/>
          <w:szCs w:val="32"/>
        </w:rPr>
      </w:pPr>
      <w:r>
        <w:rPr>
          <w:rFonts w:hint="eastAsia" w:ascii="仿宋" w:hAnsi="仿宋" w:eastAsia="仿宋" w:cs="Arial"/>
          <w:szCs w:val="32"/>
        </w:rPr>
        <w:t xml:space="preserve">四是安全监管信息，包括日常检查信息、监督检查信息、分类评价、三项制度信息等； </w:t>
      </w:r>
    </w:p>
    <w:p>
      <w:pPr>
        <w:ind w:firstLine="640"/>
        <w:rPr>
          <w:rFonts w:ascii="仿宋" w:hAnsi="仿宋" w:eastAsia="仿宋" w:cs="Arial"/>
          <w:szCs w:val="32"/>
        </w:rPr>
      </w:pPr>
      <w:r>
        <w:rPr>
          <w:rFonts w:hint="eastAsia" w:ascii="仿宋" w:hAnsi="仿宋" w:eastAsia="仿宋" w:cs="Arial"/>
          <w:szCs w:val="32"/>
        </w:rPr>
        <w:t>五是事故信息，包括该企业事故信息、违法投拆信息等。</w:t>
      </w:r>
    </w:p>
    <w:p>
      <w:pPr>
        <w:pStyle w:val="4"/>
        <w:numPr>
          <w:ilvl w:val="2"/>
          <w:numId w:val="43"/>
        </w:numPr>
        <w:spacing w:before="0" w:after="0" w:line="580" w:lineRule="exact"/>
        <w:ind w:firstLineChars="0"/>
        <w:rPr>
          <w:rFonts w:ascii="楷体_GB2312" w:eastAsia="楷体_GB2312"/>
        </w:rPr>
      </w:pPr>
      <w:bookmarkStart w:id="61" w:name="_Toc16477"/>
      <w:r>
        <w:rPr>
          <w:rFonts w:hint="eastAsia" w:ascii="楷体_GB2312" w:eastAsia="楷体_GB2312"/>
        </w:rPr>
        <w:t>设备检索</w:t>
      </w:r>
      <w:bookmarkEnd w:id="61"/>
    </w:p>
    <w:p>
      <w:pPr>
        <w:ind w:firstLine="480" w:firstLineChars="150"/>
        <w:rPr>
          <w:rFonts w:hint="eastAsia" w:ascii="仿宋" w:hAnsi="仿宋" w:eastAsia="仿宋" w:cs="Arial"/>
          <w:szCs w:val="32"/>
          <w:lang w:eastAsia="zh-CN"/>
        </w:rPr>
      </w:pPr>
      <w:r>
        <w:rPr>
          <w:rFonts w:hint="eastAsia" w:ascii="仿宋" w:hAnsi="仿宋" w:eastAsia="仿宋" w:cs="Arial"/>
          <w:szCs w:val="32"/>
        </w:rPr>
        <w:t>在全省监察子系统、监察移动端支持设备信息的检索，即输入设备代码或其他设备属性值，即可看到该设备所有相关的信息，</w:t>
      </w:r>
      <w:r>
        <w:rPr>
          <w:rFonts w:hint="eastAsia" w:ascii="仿宋" w:hAnsi="仿宋" w:eastAsia="仿宋" w:cs="Arial"/>
          <w:szCs w:val="32"/>
          <w:lang w:val="en-US" w:eastAsia="zh-CN"/>
        </w:rPr>
        <w:t>同时系统</w:t>
      </w:r>
      <w:r>
        <w:rPr>
          <w:rFonts w:hint="eastAsia" w:ascii="仿宋" w:hAnsi="仿宋" w:eastAsia="仿宋" w:cs="Arial"/>
          <w:szCs w:val="32"/>
        </w:rPr>
        <w:t>支持设备所有字段检索</w:t>
      </w:r>
      <w:r>
        <w:rPr>
          <w:rFonts w:hint="eastAsia" w:ascii="仿宋" w:hAnsi="仿宋" w:eastAsia="仿宋" w:cs="Arial"/>
          <w:szCs w:val="32"/>
          <w:lang w:eastAsia="zh-CN"/>
        </w:rPr>
        <w:t>。</w:t>
      </w:r>
    </w:p>
    <w:p>
      <w:pPr>
        <w:ind w:firstLine="480" w:firstLineChars="150"/>
        <w:rPr>
          <w:rFonts w:ascii="仿宋" w:hAnsi="仿宋" w:eastAsia="仿宋" w:cs="Arial"/>
          <w:szCs w:val="32"/>
        </w:rPr>
      </w:pPr>
      <w:r>
        <w:rPr>
          <w:rFonts w:hint="eastAsia" w:ascii="仿宋" w:hAnsi="仿宋" w:eastAsia="仿宋" w:cs="Arial"/>
          <w:szCs w:val="32"/>
        </w:rPr>
        <w:t>一是该设备所属的单位信息，包括单位名称、地址、法人代表、单位资质信息、单位风险等级等；二是该设备的基本信息与设备参数信息，设备基本信息中包括生产单位信息、设计单位信息、检验单位信息等。三是该设备的检验情况，历史检验情况，下检日期，检验报告等；四是该设备的状态变更信息。</w:t>
      </w:r>
    </w:p>
    <w:p>
      <w:pPr>
        <w:pStyle w:val="4"/>
        <w:numPr>
          <w:ilvl w:val="2"/>
          <w:numId w:val="43"/>
        </w:numPr>
        <w:spacing w:before="0" w:after="0" w:line="580" w:lineRule="exact"/>
        <w:ind w:firstLineChars="0"/>
        <w:rPr>
          <w:rFonts w:ascii="楷体_GB2312" w:eastAsia="楷体_GB2312"/>
        </w:rPr>
      </w:pPr>
      <w:bookmarkStart w:id="62" w:name="_Toc25326"/>
      <w:r>
        <w:rPr>
          <w:rFonts w:hint="eastAsia" w:ascii="楷体_GB2312" w:eastAsia="楷体_GB2312"/>
        </w:rPr>
        <w:t>人员检索</w:t>
      </w:r>
      <w:bookmarkEnd w:id="62"/>
    </w:p>
    <w:p>
      <w:pPr>
        <w:ind w:firstLine="480" w:firstLineChars="150"/>
        <w:rPr>
          <w:rFonts w:ascii="仿宋" w:hAnsi="仿宋" w:eastAsia="仿宋" w:cs="Arial"/>
          <w:szCs w:val="32"/>
        </w:rPr>
      </w:pPr>
      <w:r>
        <w:rPr>
          <w:rFonts w:hint="eastAsia" w:ascii="仿宋" w:hAnsi="仿宋" w:eastAsia="仿宋" w:cs="Arial"/>
          <w:szCs w:val="32"/>
        </w:rPr>
        <w:t>在全省监察子系统、监察移动端支持人员信息的检索，即输入从业人员姓名，身份证号码，即可看到该从业人员的相关信息，包括该人员所属的单位信息、人员资质证书信息等。</w:t>
      </w:r>
    </w:p>
    <w:p>
      <w:pPr>
        <w:pStyle w:val="4"/>
        <w:numPr>
          <w:ilvl w:val="2"/>
          <w:numId w:val="43"/>
        </w:numPr>
        <w:spacing w:before="0" w:after="0" w:line="580" w:lineRule="exact"/>
        <w:ind w:firstLineChars="0"/>
        <w:rPr>
          <w:rFonts w:ascii="楷体_GB2312" w:eastAsia="楷体_GB2312"/>
        </w:rPr>
      </w:pPr>
      <w:bookmarkStart w:id="63" w:name="_Toc8638"/>
      <w:r>
        <w:rPr>
          <w:rFonts w:hint="eastAsia" w:ascii="楷体_GB2312" w:eastAsia="楷体_GB2312"/>
        </w:rPr>
        <w:t>统计分析</w:t>
      </w:r>
      <w:bookmarkEnd w:id="63"/>
    </w:p>
    <w:p>
      <w:pPr>
        <w:ind w:firstLine="480" w:firstLineChars="150"/>
        <w:rPr>
          <w:rFonts w:ascii="仿宋" w:hAnsi="仿宋" w:eastAsia="仿宋" w:cs="Arial"/>
          <w:szCs w:val="32"/>
        </w:rPr>
      </w:pPr>
      <w:r>
        <w:rPr>
          <w:rFonts w:hint="eastAsia" w:ascii="仿宋" w:hAnsi="仿宋" w:eastAsia="仿宋" w:cs="Arial"/>
          <w:szCs w:val="32"/>
        </w:rPr>
        <w:t>统计分析主要是以目前管理需要各类常用统计报表进行固化，形成快速统计分析管理。</w:t>
      </w:r>
    </w:p>
    <w:p>
      <w:pPr>
        <w:pStyle w:val="5"/>
        <w:ind w:firstLine="643"/>
        <w:rPr>
          <w:rFonts w:ascii="Times New Roman" w:hAnsi="Times New Roman" w:cs="Times New Roman"/>
          <w:szCs w:val="32"/>
        </w:rPr>
      </w:pPr>
      <w:r>
        <w:rPr>
          <w:rFonts w:ascii="Times New Roman" w:hAnsi="Times New Roman" w:cs="Times New Roman"/>
          <w:szCs w:val="32"/>
        </w:rPr>
        <w:t>1.</w:t>
      </w:r>
      <w:r>
        <w:rPr>
          <w:rFonts w:hint="eastAsia" w:ascii="Times New Roman" w:hAnsi="Times New Roman" w:cs="Times New Roman"/>
          <w:szCs w:val="32"/>
        </w:rPr>
        <w:t>监管分析</w:t>
      </w:r>
    </w:p>
    <w:p>
      <w:pPr>
        <w:spacing w:line="360" w:lineRule="auto"/>
        <w:ind w:firstLine="643"/>
        <w:rPr>
          <w:color w:val="000000"/>
          <w:szCs w:val="32"/>
        </w:rPr>
      </w:pPr>
      <w:r>
        <w:rPr>
          <w:rFonts w:hint="eastAsia" w:cs="Times New Roman"/>
          <w:b/>
          <w:bCs/>
          <w:szCs w:val="28"/>
        </w:rPr>
        <w:t>在用设备</w:t>
      </w:r>
      <w:r>
        <w:rPr>
          <w:rFonts w:hint="eastAsia"/>
          <w:b/>
          <w:color w:val="000000"/>
          <w:szCs w:val="32"/>
        </w:rPr>
        <w:t>：</w:t>
      </w:r>
      <w:r>
        <w:rPr>
          <w:rFonts w:hint="eastAsia"/>
          <w:color w:val="000000"/>
          <w:szCs w:val="32"/>
        </w:rPr>
        <w:t>以地图、柱状图展示在用设备数、设备增长率。</w:t>
      </w:r>
    </w:p>
    <w:p>
      <w:pPr>
        <w:spacing w:line="360" w:lineRule="auto"/>
        <w:ind w:firstLine="643"/>
        <w:rPr>
          <w:color w:val="000000"/>
          <w:szCs w:val="32"/>
        </w:rPr>
      </w:pPr>
      <w:r>
        <w:rPr>
          <w:rFonts w:hint="eastAsia"/>
          <w:b/>
          <w:color w:val="000000"/>
          <w:szCs w:val="32"/>
        </w:rPr>
        <w:t>在册设备：</w:t>
      </w:r>
      <w:r>
        <w:rPr>
          <w:rFonts w:hint="eastAsia"/>
          <w:color w:val="000000"/>
          <w:szCs w:val="32"/>
        </w:rPr>
        <w:t>以地图、柱状图展示在册设备数、设备增长率。</w:t>
      </w:r>
    </w:p>
    <w:p>
      <w:pPr>
        <w:spacing w:line="360" w:lineRule="auto"/>
        <w:ind w:firstLine="643"/>
        <w:rPr>
          <w:color w:val="000000"/>
          <w:szCs w:val="32"/>
        </w:rPr>
      </w:pPr>
      <w:r>
        <w:rPr>
          <w:rFonts w:hint="eastAsia"/>
          <w:b/>
          <w:color w:val="000000"/>
          <w:szCs w:val="32"/>
        </w:rPr>
        <w:t>设备登记：</w:t>
      </w:r>
      <w:r>
        <w:rPr>
          <w:rFonts w:hint="eastAsia"/>
          <w:color w:val="000000"/>
          <w:szCs w:val="32"/>
        </w:rPr>
        <w:t>以地图、柱状图展示登记率、相应设备数，并根据登记率展示不同颜色。</w:t>
      </w:r>
    </w:p>
    <w:p>
      <w:pPr>
        <w:spacing w:line="360" w:lineRule="auto"/>
        <w:ind w:firstLine="643"/>
        <w:rPr>
          <w:color w:val="000000"/>
          <w:szCs w:val="32"/>
        </w:rPr>
      </w:pPr>
      <w:r>
        <w:rPr>
          <w:rFonts w:hint="eastAsia"/>
          <w:b/>
          <w:color w:val="000000"/>
          <w:szCs w:val="32"/>
        </w:rPr>
        <w:t>设备检验：</w:t>
      </w:r>
      <w:r>
        <w:rPr>
          <w:rFonts w:hint="eastAsia"/>
          <w:color w:val="000000"/>
          <w:szCs w:val="32"/>
        </w:rPr>
        <w:t>以地图、柱状图展示设备检验率、报检率、未检设备数，并根据检验率展示不同颜色。</w:t>
      </w:r>
    </w:p>
    <w:p>
      <w:pPr>
        <w:spacing w:line="360" w:lineRule="auto"/>
        <w:ind w:firstLine="643"/>
        <w:rPr>
          <w:color w:val="000000"/>
          <w:szCs w:val="32"/>
        </w:rPr>
      </w:pPr>
      <w:r>
        <w:rPr>
          <w:rFonts w:hint="eastAsia"/>
          <w:b/>
          <w:color w:val="000000"/>
          <w:szCs w:val="32"/>
        </w:rPr>
        <w:t>隐患设备：</w:t>
      </w:r>
      <w:r>
        <w:rPr>
          <w:rFonts w:hint="eastAsia"/>
          <w:color w:val="000000"/>
          <w:szCs w:val="32"/>
        </w:rPr>
        <w:t>以地图、柱状图展示隐患设备率、设备数，以饼图展示各隐患类别设备数。</w:t>
      </w:r>
    </w:p>
    <w:p>
      <w:pPr>
        <w:spacing w:line="360" w:lineRule="auto"/>
        <w:ind w:firstLine="643"/>
        <w:rPr>
          <w:b/>
          <w:color w:val="000000"/>
          <w:szCs w:val="32"/>
        </w:rPr>
      </w:pPr>
      <w:r>
        <w:rPr>
          <w:rFonts w:hint="eastAsia"/>
          <w:b/>
          <w:color w:val="000000"/>
          <w:szCs w:val="32"/>
        </w:rPr>
        <w:t>风险预警：</w:t>
      </w:r>
      <w:r>
        <w:rPr>
          <w:rFonts w:hint="eastAsia"/>
          <w:color w:val="000000"/>
          <w:szCs w:val="32"/>
        </w:rPr>
        <w:t>以地图、柱状图等展示单位与设备风险预警情况等各类风险预警类型分析等。</w:t>
      </w:r>
    </w:p>
    <w:p>
      <w:pPr>
        <w:spacing w:line="360" w:lineRule="auto"/>
        <w:ind w:firstLine="643"/>
        <w:rPr>
          <w:color w:val="000000"/>
          <w:szCs w:val="32"/>
        </w:rPr>
      </w:pPr>
      <w:r>
        <w:rPr>
          <w:rFonts w:hint="eastAsia"/>
          <w:b/>
          <w:color w:val="000000"/>
          <w:szCs w:val="32"/>
        </w:rPr>
        <w:t>特设事故：</w:t>
      </w:r>
      <w:r>
        <w:rPr>
          <w:rFonts w:hint="eastAsia"/>
          <w:color w:val="000000"/>
          <w:szCs w:val="32"/>
        </w:rPr>
        <w:t>以地图、柱状图展示本年度特设事故数。</w:t>
      </w:r>
    </w:p>
    <w:p>
      <w:pPr>
        <w:pStyle w:val="5"/>
        <w:ind w:firstLine="643"/>
        <w:rPr>
          <w:rFonts w:ascii="Times New Roman" w:hAnsi="Times New Roman" w:cs="Times New Roman"/>
          <w:szCs w:val="32"/>
        </w:rPr>
      </w:pPr>
      <w:r>
        <w:rPr>
          <w:rFonts w:hint="eastAsia" w:ascii="Times New Roman" w:hAnsi="Times New Roman" w:cs="Times New Roman"/>
          <w:szCs w:val="32"/>
        </w:rPr>
        <w:t>2.业务分析</w:t>
      </w:r>
    </w:p>
    <w:p>
      <w:pPr>
        <w:spacing w:line="360" w:lineRule="auto"/>
        <w:ind w:firstLine="643"/>
        <w:rPr>
          <w:color w:val="000000"/>
          <w:szCs w:val="32"/>
        </w:rPr>
      </w:pPr>
      <w:r>
        <w:rPr>
          <w:rFonts w:hint="eastAsia"/>
          <w:b/>
          <w:color w:val="000000"/>
          <w:szCs w:val="32"/>
        </w:rPr>
        <w:t>使用单位：</w:t>
      </w:r>
      <w:r>
        <w:rPr>
          <w:rFonts w:hint="eastAsia"/>
          <w:color w:val="000000"/>
          <w:szCs w:val="32"/>
        </w:rPr>
        <w:t>包括特种设备使用单位情况、使用单位设备汇总、使用单位设备明细。</w:t>
      </w:r>
    </w:p>
    <w:p>
      <w:pPr>
        <w:spacing w:line="360" w:lineRule="auto"/>
        <w:ind w:firstLine="643"/>
        <w:rPr>
          <w:color w:val="000000"/>
          <w:szCs w:val="32"/>
        </w:rPr>
      </w:pPr>
      <w:r>
        <w:rPr>
          <w:rFonts w:hint="eastAsia"/>
          <w:b/>
          <w:color w:val="000000"/>
          <w:szCs w:val="32"/>
        </w:rPr>
        <w:t>设备数量：</w:t>
      </w:r>
      <w:r>
        <w:rPr>
          <w:rFonts w:hint="eastAsia"/>
          <w:color w:val="000000"/>
          <w:szCs w:val="32"/>
        </w:rPr>
        <w:t>以汇总表格、各类图形方式呈现统计结果，并可查看设备明细；包括设备类别、使用状态、分布情况、增长情况、设备占比等子功能模块统计分析。</w:t>
      </w:r>
    </w:p>
    <w:p>
      <w:pPr>
        <w:spacing w:line="360" w:lineRule="auto"/>
        <w:ind w:firstLine="643"/>
        <w:rPr>
          <w:color w:val="000000"/>
          <w:szCs w:val="32"/>
        </w:rPr>
      </w:pPr>
      <w:r>
        <w:rPr>
          <w:rFonts w:hint="eastAsia"/>
          <w:b/>
          <w:color w:val="000000"/>
          <w:szCs w:val="32"/>
        </w:rPr>
        <w:t>使用登记：</w:t>
      </w:r>
      <w:r>
        <w:rPr>
          <w:rFonts w:hint="eastAsia"/>
          <w:color w:val="000000"/>
          <w:szCs w:val="32"/>
        </w:rPr>
        <w:t>以汇总表格、各类图形方式呈现统计结果，并可查看设备明细；包括设备登记情况、设备备案情况、设备登记率等子功能模块统计分析。</w:t>
      </w:r>
    </w:p>
    <w:p>
      <w:pPr>
        <w:spacing w:line="360" w:lineRule="auto"/>
        <w:ind w:firstLine="643"/>
        <w:rPr>
          <w:color w:val="000000"/>
          <w:szCs w:val="32"/>
        </w:rPr>
      </w:pPr>
      <w:r>
        <w:rPr>
          <w:rFonts w:hint="eastAsia"/>
          <w:b/>
          <w:color w:val="000000"/>
          <w:szCs w:val="32"/>
        </w:rPr>
        <w:t>检验分析：</w:t>
      </w:r>
      <w:r>
        <w:rPr>
          <w:rFonts w:hint="eastAsia"/>
          <w:color w:val="000000"/>
          <w:szCs w:val="32"/>
        </w:rPr>
        <w:t>以汇总表格、各类图形方式呈现统计结果，并可查看设备明细；包括设备检验情况、设备报检情况、设备检验率、检验合格率、完成设备检验数、检验增长、定检工作情况等子功能模块统计分析。</w:t>
      </w:r>
    </w:p>
    <w:p>
      <w:pPr>
        <w:spacing w:line="360" w:lineRule="auto"/>
        <w:ind w:firstLine="643"/>
        <w:rPr>
          <w:color w:val="000000"/>
          <w:szCs w:val="32"/>
        </w:rPr>
      </w:pPr>
      <w:r>
        <w:rPr>
          <w:rFonts w:hint="eastAsia"/>
          <w:b/>
          <w:color w:val="000000"/>
          <w:szCs w:val="32"/>
        </w:rPr>
        <w:t>安全隐患：</w:t>
      </w:r>
      <w:r>
        <w:rPr>
          <w:rFonts w:hint="eastAsia"/>
          <w:color w:val="000000"/>
          <w:szCs w:val="32"/>
        </w:rPr>
        <w:t>以汇总表格、各类图形方式呈现统计结果，并可查看设备明细；包括隐患设备情况、隐患类别、隐患设备率等子功能模块统计分析。</w:t>
      </w:r>
    </w:p>
    <w:p>
      <w:pPr>
        <w:spacing w:line="360" w:lineRule="auto"/>
        <w:ind w:firstLine="643"/>
        <w:rPr>
          <w:color w:val="000000"/>
          <w:szCs w:val="32"/>
        </w:rPr>
      </w:pPr>
      <w:r>
        <w:rPr>
          <w:rFonts w:hint="eastAsia"/>
          <w:b/>
          <w:color w:val="000000"/>
          <w:szCs w:val="32"/>
        </w:rPr>
        <w:t>风险预警：</w:t>
      </w:r>
      <w:r>
        <w:rPr>
          <w:rFonts w:hint="eastAsia"/>
          <w:color w:val="000000"/>
          <w:szCs w:val="32"/>
        </w:rPr>
        <w:t>根据预期天数查询即将到期设备明细；包括风险预警、检验到期预警等功能模块统计分析。</w:t>
      </w:r>
    </w:p>
    <w:p>
      <w:pPr>
        <w:spacing w:line="360" w:lineRule="auto"/>
        <w:ind w:firstLine="643"/>
        <w:rPr>
          <w:color w:val="000000"/>
          <w:szCs w:val="32"/>
        </w:rPr>
      </w:pPr>
      <w:r>
        <w:rPr>
          <w:rFonts w:hint="eastAsia"/>
          <w:b/>
          <w:color w:val="000000"/>
          <w:szCs w:val="32"/>
        </w:rPr>
        <w:t>安全检查：</w:t>
      </w:r>
      <w:r>
        <w:rPr>
          <w:rFonts w:hint="eastAsia"/>
          <w:color w:val="000000"/>
          <w:szCs w:val="32"/>
        </w:rPr>
        <w:t>以汇总表格、各类图形统计安全检查情况。</w:t>
      </w:r>
    </w:p>
    <w:p>
      <w:pPr>
        <w:spacing w:line="360" w:lineRule="auto"/>
        <w:ind w:firstLine="643"/>
        <w:rPr>
          <w:color w:val="000000"/>
          <w:szCs w:val="32"/>
        </w:rPr>
      </w:pPr>
      <w:r>
        <w:rPr>
          <w:rFonts w:hint="eastAsia"/>
          <w:b/>
          <w:color w:val="000000"/>
          <w:szCs w:val="32"/>
        </w:rPr>
        <w:t>特设事故：</w:t>
      </w:r>
      <w:r>
        <w:rPr>
          <w:rFonts w:hint="eastAsia"/>
          <w:color w:val="000000"/>
          <w:szCs w:val="32"/>
        </w:rPr>
        <w:t>以汇总表格、各类图形统计特种设备事故情况。</w:t>
      </w:r>
    </w:p>
    <w:p>
      <w:pPr>
        <w:pStyle w:val="3"/>
        <w:numPr>
          <w:ilvl w:val="1"/>
          <w:numId w:val="6"/>
        </w:numPr>
        <w:ind w:firstLine="640"/>
        <w:rPr>
          <w:rFonts w:ascii="黑体" w:hAnsi="黑体"/>
          <w:b w:val="0"/>
        </w:rPr>
      </w:pPr>
      <w:bookmarkStart w:id="64" w:name="_Toc15800"/>
      <w:bookmarkStart w:id="65" w:name="_Toc17438"/>
      <w:bookmarkStart w:id="66" w:name="_Toc1900"/>
      <w:r>
        <w:rPr>
          <w:rFonts w:hint="eastAsia" w:ascii="黑体" w:hAnsi="黑体"/>
          <w:b w:val="0"/>
        </w:rPr>
        <w:t>检验检测子系统</w:t>
      </w:r>
      <w:bookmarkEnd w:id="64"/>
    </w:p>
    <w:p>
      <w:pPr>
        <w:ind w:firstLine="640"/>
        <w:rPr>
          <w:rFonts w:ascii="仿宋_GB2312"/>
          <w:szCs w:val="32"/>
        </w:rPr>
      </w:pPr>
      <w:r>
        <w:rPr>
          <w:rFonts w:hint="eastAsia" w:ascii="仿宋_GB2312"/>
          <w:szCs w:val="32"/>
        </w:rPr>
        <w:t>全省检验检测子系统，该系统主要聚焦参照检规要求，制定全省检验检测过程数据汇聚标准，为系统的数据库提供全省设备的检验检测数据，具体检验检测功能不做开发。</w:t>
      </w:r>
    </w:p>
    <w:p>
      <w:pPr>
        <w:ind w:firstLine="640"/>
        <w:rPr>
          <w:rFonts w:ascii="仿宋_GB2312"/>
          <w:szCs w:val="32"/>
        </w:rPr>
      </w:pPr>
      <w:r>
        <w:drawing>
          <wp:anchor distT="0" distB="0" distL="114300" distR="114300" simplePos="0" relativeHeight="251678720" behindDoc="0" locked="0" layoutInCell="1" allowOverlap="1">
            <wp:simplePos x="0" y="0"/>
            <wp:positionH relativeFrom="column">
              <wp:posOffset>859790</wp:posOffset>
            </wp:positionH>
            <wp:positionV relativeFrom="paragraph">
              <wp:posOffset>2285365</wp:posOffset>
            </wp:positionV>
            <wp:extent cx="3969385" cy="3979545"/>
            <wp:effectExtent l="0" t="0" r="8255" b="13335"/>
            <wp:wrapTopAndBottom/>
            <wp:docPr id="4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
                    <pic:cNvPicPr>
                      <a:picLocks noChangeAspect="1"/>
                    </pic:cNvPicPr>
                  </pic:nvPicPr>
                  <pic:blipFill>
                    <a:blip r:embed="rId27"/>
                    <a:stretch>
                      <a:fillRect/>
                    </a:stretch>
                  </pic:blipFill>
                  <pic:spPr>
                    <a:xfrm>
                      <a:off x="0" y="0"/>
                      <a:ext cx="3969385" cy="3979545"/>
                    </a:xfrm>
                    <a:prstGeom prst="rect">
                      <a:avLst/>
                    </a:prstGeom>
                    <a:noFill/>
                    <a:ln>
                      <a:noFill/>
                    </a:ln>
                  </pic:spPr>
                </pic:pic>
              </a:graphicData>
            </a:graphic>
          </wp:anchor>
        </w:drawing>
      </w:r>
      <w:r>
        <w:rPr>
          <w:rFonts w:hint="eastAsia" w:ascii="仿宋_GB2312"/>
          <w:szCs w:val="32"/>
        </w:rPr>
        <w:t>根据检验检测数据汇聚标准，全省各检验检测机构严格参照标准进行接口开发与数据转换，实现与系统全省数据库实时互连互通。</w:t>
      </w:r>
    </w:p>
    <w:p>
      <w:pPr>
        <w:ind w:firstLine="640"/>
        <w:rPr>
          <w:rFonts w:ascii="仿宋_GB2312"/>
          <w:szCs w:val="32"/>
        </w:rPr>
      </w:pPr>
      <w:r>
        <w:rPr>
          <w:rFonts w:hint="eastAsia" w:ascii="仿宋_GB2312"/>
          <w:szCs w:val="32"/>
        </w:rPr>
        <w:t>外省检验检测机构，由于网络等原因不具备实时互连互通的条件，允许提供检验检测数据输入与导入的功能，确保数据及时与实时上传数据库。其基本功能模块建设如下图所示：</w:t>
      </w:r>
    </w:p>
    <w:p>
      <w:pPr>
        <w:pStyle w:val="5"/>
        <w:numPr>
          <w:ilvl w:val="0"/>
          <w:numId w:val="44"/>
        </w:numPr>
        <w:ind w:firstLine="643"/>
      </w:pPr>
      <w:r>
        <w:rPr>
          <w:rFonts w:hint="eastAsia"/>
        </w:rPr>
        <w:t>检验（检测）机构信息管理</w:t>
      </w:r>
    </w:p>
    <w:p>
      <w:pPr>
        <w:ind w:firstLine="640"/>
      </w:pPr>
      <w:r>
        <w:rPr>
          <w:rFonts w:hint="eastAsia"/>
        </w:rPr>
        <w:t>该应用模块主要为检验（检测）机构提供单位信息录入和地市进驻报备的相关功能。检验（检测）机构在入驻本省所有地市并提供检验（检测）服务前，需要先向当地监察部门发起备案申请，通过相应地市监察部门审核的检验（检测）机构可以获得账户，且可以对本省登记的特种设备提供法定检验和检测委托服务。在提供新增备案功能的同时，也为检验（检测）机构提供退出备案的功能。</w:t>
      </w:r>
    </w:p>
    <w:p>
      <w:pPr>
        <w:ind w:firstLine="640"/>
      </w:pPr>
      <w:r>
        <w:rPr>
          <w:rFonts w:hint="eastAsia"/>
        </w:rPr>
        <w:t>同时该模块也是检验检测机构对单位信息进行管理的入口。</w:t>
      </w:r>
    </w:p>
    <w:p>
      <w:pPr>
        <w:pStyle w:val="5"/>
        <w:numPr>
          <w:ilvl w:val="0"/>
          <w:numId w:val="44"/>
        </w:numPr>
        <w:ind w:firstLine="643"/>
      </w:pPr>
      <w:r>
        <w:rPr>
          <w:rFonts w:hint="eastAsia"/>
        </w:rPr>
        <w:t>设备信息管理</w:t>
      </w:r>
    </w:p>
    <w:p>
      <w:pPr>
        <w:ind w:firstLine="640"/>
      </w:pPr>
      <w:r>
        <w:rPr>
          <w:rFonts w:hint="eastAsia"/>
        </w:rPr>
        <w:t>主要是为已获得账户的检验（检测）机构提供设备信息查询。条件为使用单位选择该检验（检测）机构后方可进行查询，查询包括设备的基本信息、设备参数和历史检验信息。</w:t>
      </w:r>
    </w:p>
    <w:p>
      <w:pPr>
        <w:ind w:firstLine="640"/>
      </w:pPr>
      <w:r>
        <w:rPr>
          <w:rFonts w:hint="eastAsia"/>
        </w:rPr>
        <w:t>根据检验（检测）机构的权限区分，有修改权限机构的方可对设备的参数进行修改，没有获得权限的机构需要发起报备和审核流程，根据所属区域和设备类型，监察部门对权限进行管理。</w:t>
      </w:r>
    </w:p>
    <w:p>
      <w:pPr>
        <w:pStyle w:val="5"/>
        <w:numPr>
          <w:ilvl w:val="0"/>
          <w:numId w:val="44"/>
        </w:numPr>
        <w:ind w:firstLine="643"/>
      </w:pPr>
      <w:r>
        <w:rPr>
          <w:rFonts w:hint="eastAsia"/>
        </w:rPr>
        <w:t>检验（检测）信息填报</w:t>
      </w:r>
    </w:p>
    <w:p>
      <w:pPr>
        <w:ind w:firstLine="640"/>
      </w:pPr>
      <w:r>
        <w:rPr>
          <w:rFonts w:hint="eastAsia"/>
        </w:rPr>
        <w:t>该功能模块主要是为未做系统对接的检验检测机构进行服务的，主要是检验检测信息的填报导入。包括设备的报检受理情况、设备的使用及维保等单位信息、设备基本信息及参数、检验检测信息等。</w:t>
      </w:r>
    </w:p>
    <w:p>
      <w:pPr>
        <w:ind w:firstLine="640"/>
      </w:pPr>
      <w:r>
        <w:rPr>
          <w:rFonts w:hint="eastAsia"/>
        </w:rPr>
        <w:t>在实际使用过程中提供导入功能，便于大量数据的快捷录入。</w:t>
      </w:r>
    </w:p>
    <w:p>
      <w:pPr>
        <w:pStyle w:val="5"/>
        <w:numPr>
          <w:ilvl w:val="0"/>
          <w:numId w:val="44"/>
        </w:numPr>
        <w:ind w:firstLine="643"/>
      </w:pPr>
      <w:r>
        <w:rPr>
          <w:rFonts w:hint="eastAsia"/>
        </w:rPr>
        <w:t>检验检测管理</w:t>
      </w:r>
    </w:p>
    <w:p>
      <w:pPr>
        <w:ind w:firstLine="640"/>
        <w:rPr>
          <w:rFonts w:ascii="仿宋_GB2312" w:hAnsi="仿宋_GB2312" w:cs="仿宋_GB2312"/>
          <w:bCs/>
          <w:szCs w:val="32"/>
        </w:rPr>
      </w:pPr>
      <w:r>
        <w:rPr>
          <w:rFonts w:hint="eastAsia" w:ascii="仿宋_GB2312" w:hAnsi="仿宋_GB2312" w:cs="仿宋_GB2312"/>
          <w:bCs/>
          <w:szCs w:val="32"/>
        </w:rPr>
        <w:t>主要是为检验检测单位提供除基本检验信息外更多检验检测信息的管理及上报，包括：重大为题告知单、检验缺陷、检验意见书、未检原因等信息上报以及开展电梯检测业务的使用单位和维保单位的一些检测管理。其中检验信息包括检验过程、检验结果，同时提供批量导入功能。检验意见书通过PDF和图片附件上传的形式进行上报。</w:t>
      </w:r>
    </w:p>
    <w:p>
      <w:pPr>
        <w:pStyle w:val="5"/>
        <w:numPr>
          <w:ilvl w:val="0"/>
          <w:numId w:val="44"/>
        </w:numPr>
        <w:ind w:firstLine="643"/>
      </w:pPr>
      <w:r>
        <w:rPr>
          <w:rFonts w:hint="eastAsia"/>
        </w:rPr>
        <w:t>检验检测数据信息</w:t>
      </w:r>
    </w:p>
    <w:p>
      <w:pPr>
        <w:ind w:firstLine="640"/>
      </w:pPr>
      <w:r>
        <w:rPr>
          <w:rFonts w:hint="eastAsia"/>
        </w:rPr>
        <w:t>检验检测信息传输信息及检验结论初步确定，内容详见附件《参数信息整理初稿20210113》中检验信息及检验结论表。</w:t>
      </w:r>
    </w:p>
    <w:p>
      <w:pPr>
        <w:ind w:firstLine="640"/>
      </w:pPr>
    </w:p>
    <w:p>
      <w:pPr>
        <w:pStyle w:val="3"/>
        <w:numPr>
          <w:ilvl w:val="1"/>
          <w:numId w:val="6"/>
        </w:numPr>
        <w:ind w:firstLine="640"/>
        <w:rPr>
          <w:rFonts w:ascii="黑体" w:hAnsi="黑体"/>
          <w:b w:val="0"/>
        </w:rPr>
      </w:pPr>
      <w:bookmarkStart w:id="67" w:name="_Toc15548"/>
      <w:r>
        <w:rPr>
          <w:rFonts w:hint="eastAsia" w:ascii="黑体" w:hAnsi="黑体"/>
          <w:b w:val="0"/>
        </w:rPr>
        <w:t>全省安全风险防范预警子系统</w:t>
      </w:r>
      <w:bookmarkEnd w:id="65"/>
      <w:bookmarkEnd w:id="66"/>
      <w:bookmarkEnd w:id="67"/>
    </w:p>
    <w:p>
      <w:pPr>
        <w:ind w:firstLine="640"/>
        <w:rPr>
          <w:szCs w:val="32"/>
        </w:rPr>
      </w:pPr>
      <w:r>
        <w:rPr>
          <w:rFonts w:hint="eastAsia"/>
          <w:szCs w:val="32"/>
        </w:rPr>
        <w:t>按</w:t>
      </w:r>
      <w:r>
        <w:rPr>
          <w:szCs w:val="32"/>
        </w:rPr>
        <w:t>照数</w:t>
      </w:r>
      <w:r>
        <w:rPr>
          <w:rFonts w:hint="eastAsia"/>
          <w:szCs w:val="32"/>
        </w:rPr>
        <w:t>字</w:t>
      </w:r>
      <w:r>
        <w:rPr>
          <w:szCs w:val="32"/>
        </w:rPr>
        <w:t>政府建设目标要求，依托</w:t>
      </w:r>
      <w:r>
        <w:rPr>
          <w:rFonts w:hint="eastAsia"/>
          <w:szCs w:val="32"/>
        </w:rPr>
        <w:t>政务“一</w:t>
      </w:r>
      <w:r>
        <w:rPr>
          <w:szCs w:val="32"/>
        </w:rPr>
        <w:t>朵云”</w:t>
      </w:r>
      <w:r>
        <w:rPr>
          <w:rFonts w:hint="eastAsia"/>
          <w:szCs w:val="32"/>
        </w:rPr>
        <w:t>，建设省市县三级联动的全省统一平台，通</w:t>
      </w:r>
      <w:r>
        <w:rPr>
          <w:szCs w:val="32"/>
        </w:rPr>
        <w:t>过</w:t>
      </w:r>
      <w:r>
        <w:rPr>
          <w:rFonts w:hint="eastAsia"/>
          <w:szCs w:val="32"/>
        </w:rPr>
        <w:t>风险</w:t>
      </w:r>
      <w:r>
        <w:rPr>
          <w:szCs w:val="32"/>
        </w:rPr>
        <w:t>监测、</w:t>
      </w:r>
      <w:r>
        <w:rPr>
          <w:rFonts w:hint="eastAsia"/>
          <w:szCs w:val="32"/>
        </w:rPr>
        <w:t>智能研判、自动预警、分类处置</w:t>
      </w:r>
      <w:r>
        <w:rPr>
          <w:szCs w:val="32"/>
        </w:rPr>
        <w:t>等</w:t>
      </w:r>
      <w:r>
        <w:rPr>
          <w:rFonts w:hint="eastAsia"/>
          <w:szCs w:val="32"/>
        </w:rPr>
        <w:t>功能</w:t>
      </w:r>
      <w:r>
        <w:rPr>
          <w:szCs w:val="32"/>
        </w:rPr>
        <w:t>，</w:t>
      </w:r>
      <w:r>
        <w:rPr>
          <w:rFonts w:hint="eastAsia"/>
          <w:szCs w:val="32"/>
        </w:rPr>
        <w:t>形成纵横到</w:t>
      </w:r>
      <w:r>
        <w:rPr>
          <w:szCs w:val="32"/>
        </w:rPr>
        <w:t>底的特种设备风险防控体系</w:t>
      </w:r>
      <w:r>
        <w:rPr>
          <w:rFonts w:hint="eastAsia"/>
          <w:szCs w:val="32"/>
        </w:rPr>
        <w:t>。利用</w:t>
      </w:r>
      <w:r>
        <w:rPr>
          <w:rFonts w:hint="eastAsia" w:ascii="仿宋_GB2312" w:hAnsi="仿宋_GB2312" w:cs="仿宋_GB2312"/>
          <w:szCs w:val="32"/>
        </w:rPr>
        <w:t>“</w:t>
      </w:r>
      <w:r>
        <w:rPr>
          <w:rFonts w:hint="eastAsia"/>
          <w:szCs w:val="32"/>
        </w:rPr>
        <w:t>物联网+互联网</w:t>
      </w:r>
      <w:r>
        <w:rPr>
          <w:szCs w:val="32"/>
        </w:rPr>
        <w:t>”</w:t>
      </w:r>
      <w:r>
        <w:rPr>
          <w:rFonts w:hint="eastAsia"/>
          <w:szCs w:val="32"/>
        </w:rPr>
        <w:t>的模式在电梯、大型游乐设施、大型起重机械、锅炉、压力容器、压力管道、客运索道、</w:t>
      </w:r>
      <w:r>
        <w:rPr>
          <w:szCs w:val="32"/>
        </w:rPr>
        <w:t>场(厂)内专用机动车辆</w:t>
      </w:r>
      <w:r>
        <w:rPr>
          <w:rFonts w:hint="eastAsia"/>
          <w:szCs w:val="32"/>
        </w:rPr>
        <w:t>等八大类特种设备的应用,</w:t>
      </w:r>
      <w:r>
        <w:rPr>
          <w:szCs w:val="32"/>
        </w:rPr>
        <w:t>实现</w:t>
      </w:r>
      <w:r>
        <w:rPr>
          <w:rFonts w:hint="eastAsia"/>
          <w:szCs w:val="32"/>
        </w:rPr>
        <w:t>特种设备风险在线精准监管。</w:t>
      </w:r>
    </w:p>
    <w:p>
      <w:pPr>
        <w:pStyle w:val="4"/>
        <w:numPr>
          <w:ilvl w:val="2"/>
          <w:numId w:val="45"/>
        </w:numPr>
        <w:spacing w:before="0" w:after="0" w:line="580" w:lineRule="exact"/>
        <w:ind w:left="0" w:firstLine="640"/>
        <w:rPr>
          <w:rFonts w:ascii="楷体_GB2312" w:eastAsia="楷体_GB2312"/>
        </w:rPr>
      </w:pPr>
      <w:bookmarkStart w:id="68" w:name="_Toc29251"/>
      <w:bookmarkStart w:id="69" w:name="_Toc7240"/>
      <w:r>
        <w:rPr>
          <w:rFonts w:hint="eastAsia" w:ascii="楷体_GB2312" w:eastAsia="楷体_GB2312"/>
        </w:rPr>
        <w:t>一图</w:t>
      </w:r>
      <w:bookmarkEnd w:id="68"/>
    </w:p>
    <w:p>
      <w:pPr>
        <w:pStyle w:val="5"/>
        <w:ind w:firstLine="643"/>
      </w:pPr>
      <w:r>
        <w:rPr>
          <w:rFonts w:ascii="Times New Roman" w:hAnsi="Times New Roman" w:cs="Times New Roman"/>
        </w:rPr>
        <w:t>1.</w:t>
      </w:r>
      <w:r>
        <w:rPr>
          <w:rFonts w:hint="eastAsia"/>
        </w:rPr>
        <w:t>可视化呈现</w:t>
      </w:r>
    </w:p>
    <w:p>
      <w:pPr>
        <w:ind w:firstLine="640"/>
        <w:jc w:val="left"/>
        <w:rPr>
          <w:rFonts w:ascii="仿宋_GB2312" w:hAnsi="仿宋_GB2312" w:cs="仿宋_GB2312"/>
          <w:szCs w:val="32"/>
        </w:rPr>
      </w:pPr>
      <w:r>
        <w:rPr>
          <w:rFonts w:hint="eastAsia" w:ascii="仿宋_GB2312" w:hAnsi="仿宋_GB2312" w:cs="仿宋_GB2312"/>
          <w:szCs w:val="32"/>
        </w:rPr>
        <w:t>“一图”即全省特种设备安全态势感知，基于统一的地理空间框架，以覆盖全浙江的高分辨率地图和行政区划结合为基础，结合全省特种设备数据，包括特种设备安全风险预警数据、检验数据、注册使用数据、从业人员数据、登记企业数据、物联网数据、行政执法数据等，形成全省特种设备态势一张图基本框架，对特种设备资源、平台、产业以及管理等信息进行综合集成，提升一张图的展示、统计、分析等决策支撑服务。</w:t>
      </w:r>
    </w:p>
    <w:p>
      <w:pPr>
        <w:ind w:firstLine="640"/>
        <w:jc w:val="left"/>
        <w:rPr>
          <w:rFonts w:ascii="仿宋_GB2312" w:hAnsi="仿宋_GB2312" w:cs="仿宋_GB2312"/>
          <w:szCs w:val="32"/>
        </w:rPr>
      </w:pPr>
      <w:r>
        <w:rPr>
          <w:rFonts w:hint="eastAsia" w:ascii="仿宋_GB2312" w:hAnsi="仿宋_GB2312" w:cs="仿宋_GB2312"/>
          <w:szCs w:val="32"/>
        </w:rPr>
        <w:t>按照“数据一致、管理一致、纵横一致”的原则，以特种设备为基本点，以安全为核心，制定全省统一数据库及相关标准，整合全省的数据资源，从业务层面出发，依据标准规范</w:t>
      </w:r>
      <w:r>
        <w:rPr>
          <w:rFonts w:ascii="仿宋_GB2312" w:hAnsi="仿宋_GB2312" w:cs="仿宋_GB2312"/>
          <w:szCs w:val="32"/>
        </w:rPr>
        <w:t>进行去重、归一、梳理，并聚合</w:t>
      </w:r>
      <w:r>
        <w:rPr>
          <w:rFonts w:hint="eastAsia" w:ascii="仿宋_GB2312" w:hAnsi="仿宋_GB2312" w:cs="仿宋_GB2312"/>
          <w:szCs w:val="32"/>
        </w:rPr>
        <w:t>设备、人员、企业数据，通过共享和服务接入的方式，与现有风险预警机制想结合构建全省特种设备安全一张图核心数据库。</w:t>
      </w:r>
    </w:p>
    <w:p>
      <w:pPr>
        <w:ind w:firstLine="640"/>
        <w:rPr>
          <w:rFonts w:ascii="仿宋_GB2312" w:hAnsi="仿宋_GB2312" w:cs="仿宋_GB2312"/>
          <w:szCs w:val="32"/>
        </w:rPr>
      </w:pPr>
      <w:r>
        <w:rPr>
          <w:rFonts w:hint="eastAsia" w:ascii="仿宋_GB2312" w:hAnsi="仿宋_GB2312" w:cs="仿宋_GB2312"/>
          <w:szCs w:val="32"/>
        </w:rPr>
        <w:t>通过行政区划、设备类型、风险类型等多重要素进行层层下钻深入，层层展现，清晰展现全省各区域特种设备行业的风险指标、特征、规模、分布等，从而为特种设备的监管、统筹、管理决策和技术推广与支撑提供有效数据支撑和图形化展示。</w:t>
      </w:r>
    </w:p>
    <w:p>
      <w:pPr>
        <w:ind w:firstLine="640"/>
        <w:rPr>
          <w:rFonts w:ascii="仿宋_GB2312" w:hAnsi="仿宋_GB2312" w:cs="仿宋_GB2312"/>
          <w:szCs w:val="32"/>
        </w:rPr>
      </w:pPr>
      <w:r>
        <w:rPr>
          <w:rFonts w:hint="eastAsia" w:ascii="仿宋_GB2312" w:hAnsi="仿宋_GB2312" w:cs="仿宋_GB2312"/>
          <w:szCs w:val="32"/>
        </w:rPr>
        <w:t>“一图”会根据全网监测数据形成有效的特种设备安全监测展示。</w:t>
      </w:r>
    </w:p>
    <w:p>
      <w:pPr>
        <w:pStyle w:val="5"/>
        <w:ind w:firstLine="643"/>
      </w:pPr>
      <w:r>
        <w:rPr>
          <w:rFonts w:ascii="Times New Roman" w:hAnsi="Times New Roman" w:cs="Times New Roman"/>
        </w:rPr>
        <w:t>2.</w:t>
      </w:r>
      <w:r>
        <w:rPr>
          <w:rFonts w:hint="eastAsia"/>
        </w:rPr>
        <w:t>在线监测</w:t>
      </w:r>
    </w:p>
    <w:p>
      <w:pPr>
        <w:ind w:firstLine="640"/>
        <w:jc w:val="left"/>
        <w:rPr>
          <w:rFonts w:ascii="仿宋_GB2312" w:hAnsi="仿宋_GB2312" w:cs="仿宋_GB2312"/>
          <w:szCs w:val="32"/>
        </w:rPr>
      </w:pPr>
      <w:r>
        <w:rPr>
          <w:rFonts w:hint="eastAsia" w:ascii="仿宋_GB2312" w:hAnsi="仿宋_GB2312" w:cs="仿宋_GB2312"/>
          <w:szCs w:val="32"/>
        </w:rPr>
        <w:t>通过云计算、物联网等技术，利用大数据技术全面挖掘采集全省特种业务的特种设备行业相关信息，全面监测全省特种设备安全风险情况。</w:t>
      </w:r>
    </w:p>
    <w:p>
      <w:pPr>
        <w:pStyle w:val="6"/>
        <w:numPr>
          <w:ilvl w:val="0"/>
          <w:numId w:val="46"/>
        </w:numPr>
        <w:ind w:left="0" w:firstLine="640"/>
        <w:rPr>
          <w:rFonts w:ascii="仿宋_GB2312"/>
          <w:szCs w:val="32"/>
        </w:rPr>
      </w:pPr>
      <w:r>
        <w:rPr>
          <w:rFonts w:hint="eastAsia" w:ascii="仿宋_GB2312"/>
          <w:szCs w:val="32"/>
        </w:rPr>
        <w:t>监管信息监测</w:t>
      </w:r>
      <w:r>
        <w:drawing>
          <wp:anchor distT="0" distB="0" distL="0" distR="0" simplePos="0" relativeHeight="251637760" behindDoc="1" locked="0" layoutInCell="1" allowOverlap="1">
            <wp:simplePos x="0" y="0"/>
            <wp:positionH relativeFrom="column">
              <wp:posOffset>391795</wp:posOffset>
            </wp:positionH>
            <wp:positionV relativeFrom="page">
              <wp:posOffset>1517015</wp:posOffset>
            </wp:positionV>
            <wp:extent cx="4445635" cy="2014220"/>
            <wp:effectExtent l="0" t="0" r="0" b="508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4445635" cy="2014220"/>
                    </a:xfrm>
                    <a:prstGeom prst="rect">
                      <a:avLst/>
                    </a:prstGeom>
                    <a:noFill/>
                    <a:ln>
                      <a:noFill/>
                    </a:ln>
                  </pic:spPr>
                </pic:pic>
              </a:graphicData>
            </a:graphic>
          </wp:anchor>
        </w:drawing>
      </w:r>
    </w:p>
    <w:p>
      <w:pPr>
        <w:ind w:firstLine="640"/>
        <w:rPr>
          <w:rFonts w:ascii="仿宋_GB2312" w:cs="仿宋_GB2312"/>
          <w:szCs w:val="32"/>
        </w:rPr>
      </w:pPr>
      <w:r>
        <w:rPr>
          <w:rFonts w:hint="eastAsia" w:ascii="仿宋_GB2312" w:cs="仿宋_GB2312"/>
          <w:szCs w:val="32"/>
        </w:rPr>
        <w:t>全网监测通过大数据技术全面采集全省监管相关信息：动态实时收集全省</w:t>
      </w:r>
      <w:r>
        <w:rPr>
          <w:rFonts w:ascii="仿宋_GB2312" w:cs="仿宋_GB2312"/>
          <w:szCs w:val="32"/>
        </w:rPr>
        <w:t>监察与检验</w:t>
      </w:r>
      <w:r>
        <w:rPr>
          <w:rFonts w:hint="eastAsia" w:ascii="仿宋_GB2312" w:cs="仿宋_GB2312"/>
          <w:szCs w:val="32"/>
        </w:rPr>
        <w:t>信息、全省</w:t>
      </w:r>
      <w:r>
        <w:rPr>
          <w:rFonts w:ascii="仿宋_GB2312" w:cs="仿宋_GB2312"/>
          <w:szCs w:val="32"/>
        </w:rPr>
        <w:t>已建</w:t>
      </w:r>
      <w:r>
        <w:rPr>
          <w:rFonts w:hint="eastAsia" w:ascii="仿宋_GB2312" w:cs="仿宋_GB2312"/>
          <w:szCs w:val="32"/>
        </w:rPr>
        <w:t>电梯</w:t>
      </w:r>
      <w:r>
        <w:rPr>
          <w:rFonts w:cs="Times New Roman"/>
          <w:szCs w:val="32"/>
        </w:rPr>
        <w:t>96333</w:t>
      </w:r>
      <w:r>
        <w:rPr>
          <w:rFonts w:hint="eastAsia" w:ascii="仿宋_GB2312" w:cs="仿宋_GB2312"/>
          <w:szCs w:val="32"/>
        </w:rPr>
        <w:t>应急处置信息、全</w:t>
      </w:r>
      <w:r>
        <w:rPr>
          <w:rFonts w:ascii="仿宋_GB2312" w:cs="仿宋_GB2312"/>
          <w:szCs w:val="32"/>
        </w:rPr>
        <w:t>省</w:t>
      </w:r>
      <w:r>
        <w:rPr>
          <w:rFonts w:hint="eastAsia" w:ascii="仿宋_GB2312" w:cs="仿宋_GB2312"/>
          <w:szCs w:val="32"/>
        </w:rPr>
        <w:t>市场监督管理局的企</w:t>
      </w:r>
      <w:r>
        <w:rPr>
          <w:rFonts w:ascii="仿宋_GB2312" w:cs="仿宋_GB2312"/>
          <w:szCs w:val="32"/>
        </w:rPr>
        <w:t>业基本信息</w:t>
      </w:r>
      <w:r>
        <w:rPr>
          <w:rFonts w:hint="eastAsia" w:ascii="仿宋_GB2312" w:cs="仿宋_GB2312"/>
          <w:szCs w:val="32"/>
        </w:rPr>
        <w:t>、企业财</w:t>
      </w:r>
      <w:r>
        <w:rPr>
          <w:rFonts w:ascii="仿宋_GB2312" w:cs="仿宋_GB2312"/>
          <w:szCs w:val="32"/>
        </w:rPr>
        <w:t>务信息、</w:t>
      </w:r>
      <w:r>
        <w:rPr>
          <w:rFonts w:hint="eastAsia" w:ascii="仿宋_GB2312" w:cs="仿宋_GB2312"/>
          <w:szCs w:val="32"/>
        </w:rPr>
        <w:t>信用</w:t>
      </w:r>
      <w:r>
        <w:rPr>
          <w:rFonts w:ascii="仿宋_GB2312" w:cs="仿宋_GB2312"/>
          <w:szCs w:val="32"/>
        </w:rPr>
        <w:t>信息</w:t>
      </w:r>
      <w:r>
        <w:rPr>
          <w:rFonts w:hint="eastAsia" w:ascii="仿宋_GB2312" w:cs="仿宋_GB2312"/>
          <w:szCs w:val="32"/>
        </w:rPr>
        <w:t>、全国</w:t>
      </w:r>
      <w:r>
        <w:rPr>
          <w:rFonts w:ascii="仿宋_GB2312" w:cs="仿宋_GB2312"/>
          <w:szCs w:val="32"/>
        </w:rPr>
        <w:t>特种设备伤亡事故信息</w:t>
      </w:r>
      <w:r>
        <w:rPr>
          <w:rFonts w:hint="eastAsia" w:ascii="仿宋_GB2312" w:cs="仿宋_GB2312"/>
          <w:szCs w:val="32"/>
        </w:rPr>
        <w:t>、全省</w:t>
      </w:r>
      <w:r>
        <w:rPr>
          <w:rFonts w:ascii="仿宋_GB2312" w:cs="仿宋_GB2312"/>
          <w:szCs w:val="32"/>
        </w:rPr>
        <w:t>特种设备行政执法数据</w:t>
      </w:r>
      <w:r>
        <w:rPr>
          <w:rFonts w:hint="eastAsia" w:ascii="仿宋_GB2312" w:cs="仿宋_GB2312"/>
          <w:szCs w:val="32"/>
        </w:rPr>
        <w:t>、全省</w:t>
      </w:r>
      <w:r>
        <w:rPr>
          <w:rFonts w:cs="Times New Roman"/>
          <w:szCs w:val="32"/>
        </w:rPr>
        <w:t>12315</w:t>
      </w:r>
      <w:r>
        <w:rPr>
          <w:rFonts w:hint="eastAsia" w:ascii="仿宋_GB2312" w:cs="仿宋_GB2312"/>
          <w:szCs w:val="32"/>
        </w:rPr>
        <w:t>数据信息、全省异常企业信用名录信息、全省特种设备行政许可信息、省特种设备作业人员信息、全省特种设备分类评价信息、全省特种设备三项制度信息、电梯透明维保信息等。</w:t>
      </w:r>
    </w:p>
    <w:p>
      <w:pPr>
        <w:ind w:firstLine="640"/>
        <w:rPr>
          <w:rFonts w:ascii="仿宋_GB2312" w:cs="仿宋_GB2312"/>
          <w:szCs w:val="32"/>
        </w:rPr>
      </w:pPr>
      <w:r>
        <w:rPr>
          <w:rFonts w:hint="eastAsia" w:ascii="仿宋_GB2312" w:cs="仿宋_GB2312"/>
          <w:szCs w:val="32"/>
        </w:rPr>
        <w:t>汇聚所有影响特种设备安全的相关数据，后进行数据清洗、加工、风险研判与分析等面向全省所有使用单位和特种设备实现全网监测，主要监测的风险点有：</w:t>
      </w:r>
    </w:p>
    <w:p>
      <w:pPr>
        <w:numPr>
          <w:ilvl w:val="0"/>
          <w:numId w:val="47"/>
        </w:numPr>
        <w:ind w:left="0" w:firstLine="640"/>
        <w:rPr>
          <w:rFonts w:ascii="仿宋_GB2312" w:hAnsi="仿宋"/>
          <w:szCs w:val="32"/>
        </w:rPr>
      </w:pPr>
      <w:r>
        <w:rPr>
          <w:rFonts w:hint="eastAsia" w:ascii="仿宋_GB2312" w:hAnsi="仿宋"/>
          <w:szCs w:val="32"/>
        </w:rPr>
        <w:t>全省使用单位经营状况；</w:t>
      </w:r>
    </w:p>
    <w:p>
      <w:pPr>
        <w:numPr>
          <w:ilvl w:val="0"/>
          <w:numId w:val="47"/>
        </w:numPr>
        <w:ind w:left="0" w:firstLine="640"/>
        <w:rPr>
          <w:rFonts w:ascii="仿宋_GB2312" w:hAnsi="仿宋"/>
          <w:szCs w:val="32"/>
        </w:rPr>
      </w:pPr>
      <w:r>
        <w:rPr>
          <w:rFonts w:hint="eastAsia" w:ascii="仿宋_GB2312" w:hAnsi="仿宋"/>
          <w:szCs w:val="32"/>
        </w:rPr>
        <w:t>使用单位在特种设备安全管理状况（如：单位事故频发等、使用单位应设置而未设置管理机构、使用单位未建立管理制度、作业人员配备不足、单位存在历史违法行为等）；</w:t>
      </w:r>
    </w:p>
    <w:p>
      <w:pPr>
        <w:numPr>
          <w:ilvl w:val="0"/>
          <w:numId w:val="47"/>
        </w:numPr>
        <w:ind w:left="0" w:firstLine="640"/>
        <w:rPr>
          <w:rFonts w:ascii="仿宋_GB2312" w:hAnsi="仿宋"/>
          <w:szCs w:val="32"/>
        </w:rPr>
      </w:pPr>
      <w:r>
        <w:rPr>
          <w:rFonts w:hint="eastAsia" w:ascii="仿宋_GB2312" w:hAnsi="仿宋"/>
          <w:szCs w:val="32"/>
        </w:rPr>
        <w:t>使用单位实施特种设备分类评价情况；</w:t>
      </w:r>
    </w:p>
    <w:p>
      <w:pPr>
        <w:numPr>
          <w:ilvl w:val="0"/>
          <w:numId w:val="47"/>
        </w:numPr>
        <w:ind w:left="0" w:firstLine="640"/>
        <w:rPr>
          <w:rFonts w:ascii="仿宋_GB2312" w:hAnsi="仿宋"/>
          <w:szCs w:val="32"/>
        </w:rPr>
      </w:pPr>
      <w:r>
        <w:rPr>
          <w:rFonts w:hint="eastAsia" w:ascii="仿宋_GB2312" w:hAnsi="仿宋"/>
          <w:szCs w:val="32"/>
        </w:rPr>
        <w:t>使用单位实施每日风险隐患排查日志情况；</w:t>
      </w:r>
    </w:p>
    <w:p>
      <w:pPr>
        <w:numPr>
          <w:ilvl w:val="0"/>
          <w:numId w:val="47"/>
        </w:numPr>
        <w:ind w:left="0" w:firstLine="640"/>
        <w:rPr>
          <w:rFonts w:ascii="仿宋_GB2312" w:hAnsi="仿宋"/>
          <w:szCs w:val="32"/>
        </w:rPr>
      </w:pPr>
      <w:r>
        <w:rPr>
          <w:rFonts w:hint="eastAsia" w:ascii="仿宋_GB2312" w:hAnsi="仿宋"/>
          <w:szCs w:val="32"/>
        </w:rPr>
        <w:t>全省特种设备主体风险监测（如：未登记在用、超设计使用年限在用、设备故障频发、设备存在安全隐患、危险化学品罐车非法站点充装、等）进行实时监控；</w:t>
      </w:r>
    </w:p>
    <w:p>
      <w:pPr>
        <w:numPr>
          <w:ilvl w:val="0"/>
          <w:numId w:val="47"/>
        </w:numPr>
        <w:ind w:left="0" w:firstLine="640"/>
        <w:rPr>
          <w:rFonts w:ascii="仿宋_GB2312" w:hAnsi="仿宋"/>
          <w:szCs w:val="32"/>
        </w:rPr>
      </w:pPr>
      <w:r>
        <w:rPr>
          <w:rFonts w:hint="eastAsia" w:ascii="仿宋_GB2312" w:hAnsi="仿宋"/>
          <w:szCs w:val="32"/>
        </w:rPr>
        <w:t>全省检验检测情况监测（如：超期未检、设备检验不合格在用、检验缺陷等）；</w:t>
      </w:r>
    </w:p>
    <w:p>
      <w:pPr>
        <w:numPr>
          <w:ilvl w:val="0"/>
          <w:numId w:val="47"/>
        </w:numPr>
        <w:ind w:left="0" w:firstLine="640"/>
        <w:rPr>
          <w:rFonts w:ascii="仿宋_GB2312" w:hAnsi="仿宋"/>
          <w:szCs w:val="32"/>
        </w:rPr>
      </w:pPr>
      <w:r>
        <w:rPr>
          <w:rFonts w:hint="eastAsia" w:ascii="仿宋_GB2312" w:hAnsi="仿宋"/>
          <w:szCs w:val="32"/>
        </w:rPr>
        <w:t>对电梯的维保情况监测（如：电梯故障频发，维保单位存在异常或存在行政处罚等）。</w:t>
      </w:r>
    </w:p>
    <w:p>
      <w:pPr>
        <w:pStyle w:val="6"/>
        <w:numPr>
          <w:ilvl w:val="0"/>
          <w:numId w:val="46"/>
        </w:numPr>
        <w:ind w:left="0" w:firstLine="640"/>
        <w:rPr>
          <w:rFonts w:ascii="仿宋_GB2312"/>
          <w:szCs w:val="32"/>
        </w:rPr>
      </w:pPr>
      <w:r>
        <w:rPr>
          <w:rFonts w:hint="eastAsia" w:ascii="仿宋_GB2312"/>
          <w:szCs w:val="32"/>
        </w:rPr>
        <w:t>物联信息监测</w:t>
      </w:r>
    </w:p>
    <w:p>
      <w:pPr>
        <w:ind w:firstLine="640"/>
        <w:rPr>
          <w:rFonts w:ascii="仿宋_GB2312" w:hAnsi="仿宋_GB2312" w:cs="仿宋_GB2312"/>
          <w:szCs w:val="32"/>
        </w:rPr>
      </w:pPr>
      <w:r>
        <w:rPr>
          <w:rFonts w:hint="eastAsia" w:ascii="仿宋_GB2312" w:hAnsi="仿宋_GB2312" w:cs="仿宋_GB2312"/>
          <w:szCs w:val="32"/>
        </w:rPr>
        <w:t>采用物联网等技术，构建全省八大类特种设备物联网数据传输标准，建议与设备厂商物联网监控平台对接，获取设备的涉及安全的运行数据与故障数据等。</w:t>
      </w:r>
    </w:p>
    <w:p>
      <w:pPr>
        <w:pStyle w:val="4"/>
        <w:numPr>
          <w:ilvl w:val="2"/>
          <w:numId w:val="45"/>
        </w:numPr>
        <w:spacing w:before="0" w:after="0" w:line="580" w:lineRule="exact"/>
        <w:ind w:left="0" w:firstLine="640"/>
        <w:rPr>
          <w:rFonts w:ascii="楷体_GB2312" w:eastAsia="楷体_GB2312"/>
        </w:rPr>
      </w:pPr>
      <w:bookmarkStart w:id="70" w:name="_Toc30628"/>
      <w:r>
        <w:rPr>
          <w:rFonts w:hint="eastAsia" w:ascii="楷体_GB2312" w:eastAsia="楷体_GB2312"/>
        </w:rPr>
        <w:t>一指数</w:t>
      </w:r>
      <w:bookmarkEnd w:id="70"/>
    </w:p>
    <w:p>
      <w:pPr>
        <w:ind w:firstLine="640"/>
      </w:pPr>
      <w:r>
        <w:rPr>
          <w:rFonts w:hint="eastAsia"/>
        </w:rPr>
        <w:t>通过可视化大屏展现全省特种设备及使用单位的风险指数，即特种设备和使用单位的当前安全风险情况，通过汇聚多方面数据，并经过相应模型计算得出其风险指数，科学评价特种设备及使用单位的安全风险。帮助监管人员及时发现高风险特种设备及使用单位。</w:t>
      </w:r>
    </w:p>
    <w:p>
      <w:pPr>
        <w:ind w:firstLine="640"/>
      </w:pPr>
      <w:r>
        <w:rPr>
          <w:rFonts w:hint="eastAsia"/>
        </w:rPr>
        <w:t>特种设备安全风险指数主要是汇聚已下数据：</w:t>
      </w:r>
      <w:r>
        <w:rPr>
          <w:rFonts w:cs="Times New Roman"/>
        </w:rPr>
        <w:t>1.</w:t>
      </w:r>
      <w:r>
        <w:rPr>
          <w:rFonts w:hint="eastAsia"/>
        </w:rPr>
        <w:t>使用单位历史违法行为，包括特种设备安全事故数据、安全生产数据及违法行为等；</w:t>
      </w:r>
      <w:r>
        <w:rPr>
          <w:rFonts w:cs="Times New Roman"/>
        </w:rPr>
        <w:t>2.</w:t>
      </w:r>
      <w:r>
        <w:rPr>
          <w:rFonts w:hint="eastAsia"/>
        </w:rPr>
        <w:t>使用单位经营状况，包括企业严重失信行为、异常企业名录等；</w:t>
      </w:r>
      <w:r>
        <w:rPr>
          <w:rFonts w:cs="Times New Roman"/>
        </w:rPr>
        <w:t>3</w:t>
      </w:r>
      <w:r>
        <w:rPr>
          <w:rFonts w:hint="eastAsia"/>
        </w:rPr>
        <w:t>.自我评价指标，包括分类评价、日志排查等；</w:t>
      </w:r>
      <w:r>
        <w:rPr>
          <w:rFonts w:cs="Times New Roman"/>
        </w:rPr>
        <w:t>4.</w:t>
      </w:r>
      <w:r>
        <w:rPr>
          <w:rFonts w:hint="eastAsia"/>
        </w:rPr>
        <w:t>行政监督检查信息；</w:t>
      </w:r>
      <w:r>
        <w:rPr>
          <w:rFonts w:cs="Times New Roman"/>
        </w:rPr>
        <w:t>5.</w:t>
      </w:r>
      <w:r>
        <w:rPr>
          <w:rFonts w:hint="eastAsia"/>
        </w:rPr>
        <w:t>维护保养数据，包括维保质量、历史安全；</w:t>
      </w:r>
      <w:r>
        <w:rPr>
          <w:rFonts w:cs="Times New Roman"/>
        </w:rPr>
        <w:t>6.</w:t>
      </w:r>
      <w:r>
        <w:rPr>
          <w:rFonts w:hint="eastAsia"/>
        </w:rPr>
        <w:t>气象数据；</w:t>
      </w:r>
      <w:r>
        <w:rPr>
          <w:rFonts w:cs="Times New Roman"/>
        </w:rPr>
        <w:t>7</w:t>
      </w:r>
      <w:r>
        <w:rPr>
          <w:rFonts w:hint="eastAsia"/>
        </w:rPr>
        <w:t>.检验数据，包括使用年限、检验时限、检验结果等；</w:t>
      </w:r>
      <w:r>
        <w:rPr>
          <w:rFonts w:cs="Times New Roman"/>
        </w:rPr>
        <w:t>8</w:t>
      </w:r>
      <w:r>
        <w:rPr>
          <w:rFonts w:hint="eastAsia"/>
        </w:rPr>
        <w:t>.负面舆情数据；</w:t>
      </w:r>
      <w:r>
        <w:rPr>
          <w:rFonts w:cs="Times New Roman"/>
        </w:rPr>
        <w:t>9</w:t>
      </w:r>
      <w:r>
        <w:rPr>
          <w:rFonts w:hint="eastAsia"/>
        </w:rPr>
        <w:t>.物联网数据，包括设备运行数据、故障数据等。</w:t>
      </w:r>
    </w:p>
    <w:p>
      <w:pPr>
        <w:ind w:firstLine="640"/>
      </w:pPr>
      <w:r>
        <w:rPr>
          <w:rFonts w:hint="eastAsia"/>
        </w:rPr>
        <w:t>通过对数百个细分指标项及否决项的计算，得出相关安全风险指数。并利用机器学习不断训练智能计算模型，使模型能够更加精确计算出相关设备及单位的安全风险指数。根据风险指数对使用单位风险进行分级，一共分为三级，风险较高的为高、中风险，除此之外全部为低风险。</w:t>
      </w:r>
    </w:p>
    <w:p>
      <w:pPr>
        <w:pStyle w:val="5"/>
        <w:numPr>
          <w:ilvl w:val="3"/>
          <w:numId w:val="48"/>
        </w:numPr>
        <w:ind w:left="0" w:firstLine="643"/>
        <w:rPr>
          <w:rFonts w:ascii="仿宋_GB2312"/>
          <w:szCs w:val="32"/>
        </w:rPr>
      </w:pPr>
      <w:r>
        <w:rPr>
          <w:rFonts w:hint="eastAsia" w:ascii="仿宋_GB2312"/>
          <w:szCs w:val="32"/>
        </w:rPr>
        <w:t>智能研判模型</w:t>
      </w:r>
    </w:p>
    <w:p>
      <w:pPr>
        <w:ind w:firstLine="640"/>
        <w:rPr>
          <w:rFonts w:ascii="仿宋_GB2312" w:hAnsi="宋体"/>
          <w:szCs w:val="32"/>
        </w:rPr>
      </w:pPr>
      <w:r>
        <w:rPr>
          <w:rFonts w:hint="eastAsia"/>
        </w:rPr>
        <w:t>建立智能研判模型，对指数进行智能计算。对特</w:t>
      </w:r>
      <w:r>
        <w:t>种设备</w:t>
      </w:r>
      <w:r>
        <w:rPr>
          <w:rFonts w:hint="eastAsia"/>
        </w:rPr>
        <w:t>监管</w:t>
      </w:r>
      <w:r>
        <w:t>业务进行梳理，明确业务协同需求，划定业务边界范围，</w:t>
      </w:r>
      <w:r>
        <w:rPr>
          <w:rFonts w:hint="eastAsia"/>
        </w:rPr>
        <w:t>寻找主</w:t>
      </w:r>
      <w:r>
        <w:t>要的风险点，</w:t>
      </w:r>
      <w:r>
        <w:rPr>
          <w:rFonts w:hint="eastAsia"/>
        </w:rPr>
        <w:t>已</w:t>
      </w:r>
      <w:r>
        <w:t>形成</w:t>
      </w:r>
      <w:r>
        <w:rPr>
          <w:rFonts w:hint="eastAsia"/>
        </w:rPr>
        <w:t>“</w:t>
      </w:r>
      <w:r>
        <w:rPr>
          <w:rFonts w:cs="Times New Roman"/>
        </w:rPr>
        <w:t>1+7+8</w:t>
      </w:r>
      <w:r>
        <w:rPr>
          <w:rFonts w:hint="eastAsia" w:cs="Times New Roman"/>
        </w:rPr>
        <w:t>”</w:t>
      </w:r>
      <w:r>
        <w:rPr>
          <w:rFonts w:hint="eastAsia"/>
        </w:rPr>
        <w:t>指标</w:t>
      </w:r>
      <w:r>
        <w:t>体系，</w:t>
      </w:r>
      <w:r>
        <w:rPr>
          <w:rFonts w:hint="eastAsia"/>
        </w:rPr>
        <w:t>“</w:t>
      </w:r>
      <w:r>
        <w:rPr>
          <w:rFonts w:cs="Times New Roman"/>
        </w:rPr>
        <w:t>1</w:t>
      </w:r>
      <w:r>
        <w:t>”</w:t>
      </w:r>
      <w:r>
        <w:rPr>
          <w:rFonts w:hint="eastAsia"/>
        </w:rPr>
        <w:t>是</w:t>
      </w:r>
      <w:r>
        <w:rPr>
          <w:rFonts w:cs="Times New Roman"/>
        </w:rPr>
        <w:t>1</w:t>
      </w:r>
      <w:r>
        <w:rPr>
          <w:rFonts w:hint="eastAsia"/>
        </w:rPr>
        <w:t>个</w:t>
      </w:r>
      <w:r>
        <w:t>通</w:t>
      </w:r>
      <w:r>
        <w:rPr>
          <w:rFonts w:hint="eastAsia"/>
        </w:rPr>
        <w:t>用</w:t>
      </w:r>
      <w:r>
        <w:t>模型</w:t>
      </w:r>
      <w:r>
        <w:rPr>
          <w:rFonts w:hint="eastAsia"/>
        </w:rPr>
        <w:t>，</w:t>
      </w:r>
      <w:r>
        <w:t>针对全省特种设备使用单位进行风险画像，</w:t>
      </w:r>
      <w:r>
        <w:rPr>
          <w:rFonts w:hint="eastAsia"/>
        </w:rPr>
        <w:t>“</w:t>
      </w:r>
      <w:r>
        <w:rPr>
          <w:rFonts w:cs="Times New Roman"/>
        </w:rPr>
        <w:t>7</w:t>
      </w:r>
      <w:r>
        <w:t>”</w:t>
      </w:r>
      <w:r>
        <w:rPr>
          <w:rFonts w:hint="eastAsia"/>
        </w:rPr>
        <w:t>是</w:t>
      </w:r>
      <w:r>
        <w:rPr>
          <w:rFonts w:cs="Times New Roman"/>
        </w:rPr>
        <w:t>7</w:t>
      </w:r>
      <w:r>
        <w:rPr>
          <w:rFonts w:hint="eastAsia"/>
        </w:rPr>
        <w:t>个使用</w:t>
      </w:r>
      <w:r>
        <w:t>单位风险画像一级指标，</w:t>
      </w:r>
      <w:r>
        <w:rPr>
          <w:rFonts w:hint="eastAsia"/>
        </w:rPr>
        <w:t>即使用</w:t>
      </w:r>
      <w:r>
        <w:t>单位历史违法行为指数，使用单位经</w:t>
      </w:r>
      <w:r>
        <w:rPr>
          <w:rFonts w:hint="eastAsia"/>
        </w:rPr>
        <w:t>营</w:t>
      </w:r>
      <w:r>
        <w:t>状况指数，使用单位管理自我评价指数，</w:t>
      </w:r>
      <w:r>
        <w:rPr>
          <w:rFonts w:hint="eastAsia"/>
        </w:rPr>
        <w:t>行政</w:t>
      </w:r>
      <w:r>
        <w:t>监督检查信息指数，特种设备风险自</w:t>
      </w:r>
      <w:r>
        <w:rPr>
          <w:rFonts w:hint="eastAsia"/>
        </w:rPr>
        <w:t>查</w:t>
      </w:r>
      <w:r>
        <w:t>指数，检验检测信息指数，负责舆情信息指数。</w:t>
      </w:r>
      <w:r>
        <w:rPr>
          <w:rFonts w:hint="eastAsia"/>
        </w:rPr>
        <w:t>“</w:t>
      </w:r>
      <w:r>
        <w:rPr>
          <w:rFonts w:cs="Times New Roman"/>
        </w:rPr>
        <w:t>8</w:t>
      </w:r>
      <w:r>
        <w:t>”</w:t>
      </w:r>
      <w:r>
        <w:rPr>
          <w:rFonts w:hint="eastAsia"/>
        </w:rPr>
        <w:t>是</w:t>
      </w:r>
      <w:r>
        <w:rPr>
          <w:rFonts w:cs="Times New Roman"/>
        </w:rPr>
        <w:t>8</w:t>
      </w:r>
      <w:r>
        <w:rPr>
          <w:rFonts w:hint="eastAsia"/>
        </w:rPr>
        <w:t>个</w:t>
      </w:r>
      <w:r>
        <w:t>专项模型，即</w:t>
      </w:r>
      <w:r>
        <w:rPr>
          <w:rFonts w:hint="eastAsia"/>
        </w:rPr>
        <w:t>电梯、大型游乐设施、大型起重机械、锅炉、压力容器、压力管道、客运索道、</w:t>
      </w:r>
      <w:r>
        <w:t>场(厂)内专用机动车辆</w:t>
      </w:r>
      <w:r>
        <w:rPr>
          <w:rFonts w:hint="eastAsia"/>
        </w:rPr>
        <w:t>，并</w:t>
      </w:r>
      <w:r>
        <w:t>层层细化量化，形成</w:t>
      </w:r>
      <w:r>
        <w:rPr>
          <w:rFonts w:cs="Times New Roman"/>
        </w:rPr>
        <w:t>31</w:t>
      </w:r>
      <w:r>
        <w:rPr>
          <w:rFonts w:hint="eastAsia"/>
        </w:rPr>
        <w:t>个</w:t>
      </w:r>
      <w:r>
        <w:t>二级指标，</w:t>
      </w:r>
      <w:r>
        <w:rPr>
          <w:rFonts w:cs="Times New Roman"/>
        </w:rPr>
        <w:t>77</w:t>
      </w:r>
      <w:r>
        <w:rPr>
          <w:rFonts w:hint="eastAsia"/>
        </w:rPr>
        <w:t>个</w:t>
      </w:r>
      <w:r>
        <w:t>三级指标，最小颗粒度达</w:t>
      </w:r>
      <w:r>
        <w:rPr>
          <w:rFonts w:cs="Times New Roman"/>
        </w:rPr>
        <w:t>210</w:t>
      </w:r>
      <w:r>
        <w:rPr>
          <w:rFonts w:hint="eastAsia"/>
        </w:rPr>
        <w:t>项</w:t>
      </w:r>
      <w:r>
        <w:t>指标</w:t>
      </w:r>
      <w:r>
        <w:rPr>
          <w:rFonts w:hint="eastAsia"/>
        </w:rPr>
        <w:t>。</w:t>
      </w:r>
    </w:p>
    <w:p>
      <w:pPr>
        <w:pStyle w:val="6"/>
        <w:numPr>
          <w:ilvl w:val="0"/>
          <w:numId w:val="49"/>
        </w:numPr>
        <w:ind w:left="0" w:firstLine="643"/>
        <w:rPr>
          <w:rFonts w:ascii="仿宋_GB2312"/>
          <w:b/>
          <w:szCs w:val="32"/>
        </w:rPr>
      </w:pPr>
      <w:r>
        <w:rPr>
          <w:rFonts w:hint="eastAsia" w:ascii="仿宋_GB2312"/>
          <w:b/>
          <w:szCs w:val="32"/>
        </w:rPr>
        <w:t>一个通用模型</w:t>
      </w:r>
    </w:p>
    <w:p>
      <w:pPr>
        <w:numPr>
          <w:ilvl w:val="0"/>
          <w:numId w:val="50"/>
        </w:numPr>
        <w:ind w:left="0" w:firstLine="640"/>
      </w:pPr>
      <w:r>
        <w:rPr>
          <w:rFonts w:hint="eastAsia"/>
        </w:rPr>
        <w:t>使用单位历史违法行为指数：下设发生特种设备安全事故、发生安全生产事故、特种设备违法行为。</w:t>
      </w:r>
    </w:p>
    <w:p>
      <w:pPr>
        <w:numPr>
          <w:ilvl w:val="0"/>
          <w:numId w:val="50"/>
        </w:numPr>
        <w:ind w:left="0" w:firstLine="640"/>
      </w:pPr>
      <w:r>
        <w:rPr>
          <w:rFonts w:hint="eastAsia"/>
        </w:rPr>
        <w:t>使用单位经营状况指数：下设企业严重失信行为、属于异常企业名录构成。</w:t>
      </w:r>
    </w:p>
    <w:p>
      <w:pPr>
        <w:numPr>
          <w:ilvl w:val="0"/>
          <w:numId w:val="50"/>
        </w:numPr>
        <w:ind w:left="0" w:firstLine="640"/>
      </w:pPr>
      <w:r>
        <w:rPr>
          <w:rFonts w:hint="eastAsia"/>
        </w:rPr>
        <w:t>使用单位自我评价指数：下设管理机构、管理制度、人员配备、安全教育、技术档案、应急管理、分类评价、日志排查等构成。</w:t>
      </w:r>
    </w:p>
    <w:p>
      <w:pPr>
        <w:numPr>
          <w:ilvl w:val="0"/>
          <w:numId w:val="50"/>
        </w:numPr>
        <w:ind w:left="0" w:firstLine="640"/>
      </w:pPr>
      <w:r>
        <w:rPr>
          <w:rFonts w:hint="eastAsia"/>
        </w:rPr>
        <w:t>行政监督检查信息指数：下设监督检查情况等构成。</w:t>
      </w:r>
    </w:p>
    <w:p>
      <w:pPr>
        <w:numPr>
          <w:ilvl w:val="0"/>
          <w:numId w:val="50"/>
        </w:numPr>
        <w:ind w:left="0" w:firstLine="640"/>
      </w:pPr>
      <w:r>
        <w:rPr>
          <w:rFonts w:hint="eastAsia"/>
        </w:rPr>
        <w:t>检验检测信息指数：下设超期检验、使用年限、特种设备检验结果、检验缺陷情况等构成。</w:t>
      </w:r>
    </w:p>
    <w:p>
      <w:pPr>
        <w:numPr>
          <w:ilvl w:val="0"/>
          <w:numId w:val="50"/>
        </w:numPr>
        <w:ind w:left="0" w:firstLine="640"/>
      </w:pPr>
      <w:r>
        <w:rPr>
          <w:rFonts w:hint="eastAsia"/>
        </w:rPr>
        <w:t>特种设备风险自查指数：下设开展评价情况、评价结果、日志排查结果等构成。</w:t>
      </w:r>
    </w:p>
    <w:p>
      <w:pPr>
        <w:numPr>
          <w:ilvl w:val="0"/>
          <w:numId w:val="50"/>
        </w:numPr>
        <w:ind w:left="0" w:firstLine="640"/>
      </w:pPr>
      <w:r>
        <w:rPr>
          <w:rFonts w:hint="eastAsia"/>
        </w:rPr>
        <w:t>负面舆情信息指数：下设外部事故等构成。</w:t>
      </w:r>
    </w:p>
    <w:p>
      <w:pPr>
        <w:pStyle w:val="6"/>
        <w:numPr>
          <w:ilvl w:val="0"/>
          <w:numId w:val="49"/>
        </w:numPr>
        <w:ind w:left="0" w:firstLine="643"/>
        <w:rPr>
          <w:rFonts w:ascii="仿宋_GB2312"/>
          <w:b/>
          <w:szCs w:val="32"/>
        </w:rPr>
      </w:pPr>
      <w:r>
        <w:rPr>
          <w:rFonts w:hint="eastAsia" w:ascii="仿宋_GB2312"/>
          <w:b/>
          <w:szCs w:val="32"/>
        </w:rPr>
        <w:t>八个专项模型</w:t>
      </w:r>
    </w:p>
    <w:p>
      <w:pPr>
        <w:ind w:firstLine="640"/>
      </w:pPr>
      <w:r>
        <w:rPr>
          <w:rFonts w:hint="eastAsia"/>
        </w:rPr>
        <w:t>八个专项模型，即锅炉风险智控模型、压力容器风险智控模型、压力管道风险智控模型、电梯风险智控模型、起重机械风险智控模型、客运索道风险智控模型、大型游乐设施风险智控模型，场（厂）内专用机动车辆风险智控模型，详见以下后设备智控应用场景描述。</w:t>
      </w:r>
    </w:p>
    <w:p>
      <w:pPr>
        <w:pStyle w:val="6"/>
        <w:numPr>
          <w:ilvl w:val="0"/>
          <w:numId w:val="49"/>
        </w:numPr>
        <w:ind w:left="0" w:firstLine="643"/>
        <w:rPr>
          <w:rFonts w:ascii="仿宋_GB2312"/>
          <w:b/>
          <w:szCs w:val="32"/>
        </w:rPr>
      </w:pPr>
      <w:r>
        <w:rPr>
          <w:rFonts w:hint="eastAsia" w:ascii="仿宋_GB2312"/>
          <w:b/>
          <w:szCs w:val="32"/>
        </w:rPr>
        <w:t>设备风险评级</w:t>
      </w:r>
    </w:p>
    <w:p>
      <w:pPr>
        <w:ind w:firstLine="643"/>
      </w:pPr>
      <w:r>
        <w:rPr>
          <w:rFonts w:hint="eastAsia"/>
          <w:b/>
          <w:bCs/>
        </w:rPr>
        <w:t>设备高风险：</w:t>
      </w:r>
      <w:r>
        <w:rPr>
          <w:rFonts w:hint="eastAsia"/>
        </w:rPr>
        <w:t>根据模型指数监测发现超期未检、单位事故频发、电梯故障频发、设备检验不合格在用、危险化学品罐车非法站点充装、危险化学品罐车非法充装、电梯未登记在用、使用超过设计使用年限、使用单位应设置而未设置管理机构、使用单位未建立管理制度、使用单位未建立管理制度等，设备风险指数大于或等于</w:t>
      </w:r>
      <w:r>
        <w:rPr>
          <w:rFonts w:cs="Times New Roman"/>
        </w:rPr>
        <w:t>85</w:t>
      </w:r>
      <w:r>
        <w:rPr>
          <w:rFonts w:hint="eastAsia"/>
        </w:rPr>
        <w:t>分及以上。</w:t>
      </w:r>
    </w:p>
    <w:p>
      <w:pPr>
        <w:ind w:firstLine="643"/>
      </w:pPr>
      <w:r>
        <w:rPr>
          <w:rFonts w:hint="eastAsia"/>
          <w:b/>
          <w:bCs/>
        </w:rPr>
        <w:t>设备中风险：</w:t>
      </w:r>
      <w:r>
        <w:t>根据模型指数监测发现未实施分类评价、未实施日志排查、未按期维保、使用单位存在严重失信、使用单位属于异常企业，使用单位存在行政处罚、人均年维保电梯数量等，设备风险指数在</w:t>
      </w:r>
      <w:r>
        <w:rPr>
          <w:rFonts w:cs="Times New Roman"/>
        </w:rPr>
        <w:t>60</w:t>
      </w:r>
      <w:r>
        <w:t>分至</w:t>
      </w:r>
      <w:r>
        <w:rPr>
          <w:rFonts w:cs="Times New Roman"/>
        </w:rPr>
        <w:t>85</w:t>
      </w:r>
      <w:r>
        <w:t>分之间。</w:t>
      </w:r>
    </w:p>
    <w:p>
      <w:pPr>
        <w:ind w:firstLine="643"/>
        <w:rPr>
          <w:szCs w:val="32"/>
        </w:rPr>
      </w:pPr>
      <w:r>
        <w:rPr>
          <w:rFonts w:hint="eastAsia"/>
          <w:b/>
          <w:bCs/>
        </w:rPr>
        <w:t>设备低风险：</w:t>
      </w:r>
      <w:r>
        <w:rPr>
          <w:rFonts w:hint="eastAsia"/>
        </w:rPr>
        <w:t>无特殊问题或隐患发现，根据模型指数监测，设备风险指数在</w:t>
      </w:r>
      <w:r>
        <w:rPr>
          <w:rFonts w:cs="Times New Roman"/>
        </w:rPr>
        <w:t>60</w:t>
      </w:r>
      <w:r>
        <w:rPr>
          <w:rFonts w:hint="eastAsia"/>
        </w:rPr>
        <w:t>分以下。</w:t>
      </w:r>
    </w:p>
    <w:p>
      <w:pPr>
        <w:pStyle w:val="5"/>
        <w:numPr>
          <w:ilvl w:val="3"/>
          <w:numId w:val="48"/>
        </w:numPr>
        <w:ind w:left="0" w:firstLine="643"/>
        <w:rPr>
          <w:rFonts w:ascii="仿宋_GB2312"/>
          <w:szCs w:val="32"/>
        </w:rPr>
      </w:pPr>
      <w:r>
        <w:rPr>
          <w:rFonts w:hint="eastAsia" w:ascii="仿宋_GB2312"/>
          <w:szCs w:val="32"/>
        </w:rPr>
        <w:t>自动预警</w:t>
      </w:r>
    </w:p>
    <w:p>
      <w:pPr>
        <w:ind w:firstLine="640"/>
      </w:pPr>
      <w:r>
        <w:rPr>
          <w:rFonts w:hint="eastAsia"/>
        </w:rPr>
        <w:t>依照“指标科学、权重合理、数据多元、结果精准”的思路，</w:t>
      </w:r>
      <w:r>
        <w:t>运用大数据、</w:t>
      </w:r>
      <w:r>
        <w:rPr>
          <w:rFonts w:hint="eastAsia"/>
        </w:rPr>
        <w:t>云计算、机器学习</w:t>
      </w:r>
      <w:r>
        <w:t>等技术手段，</w:t>
      </w:r>
      <w:r>
        <w:rPr>
          <w:rFonts w:hint="eastAsia"/>
        </w:rPr>
        <w:t>注重各类特种设备风险监测预警模型建设，对全省特种设备使用单位管理层面、全省特种设备主体等全方位监测预警</w:t>
      </w:r>
      <w:bookmarkStart w:id="71" w:name="OLE_LINK2"/>
      <w:r>
        <w:rPr>
          <w:rFonts w:hint="eastAsia"/>
        </w:rPr>
        <w:t>，</w:t>
      </w:r>
      <w:bookmarkEnd w:id="71"/>
      <w:r>
        <w:rPr>
          <w:rFonts w:hint="eastAsia"/>
        </w:rPr>
        <w:t>做到风险“早发现、早预警、早研判、早处置”。</w:t>
      </w:r>
    </w:p>
    <w:p>
      <w:pPr>
        <w:pStyle w:val="6"/>
        <w:numPr>
          <w:ilvl w:val="0"/>
          <w:numId w:val="51"/>
        </w:numPr>
        <w:ind w:left="0" w:firstLine="643"/>
        <w:rPr>
          <w:rFonts w:ascii="仿宋_GB2312"/>
          <w:b/>
          <w:szCs w:val="32"/>
        </w:rPr>
      </w:pPr>
      <w:r>
        <w:rPr>
          <w:rFonts w:hint="eastAsia"/>
          <w:b/>
          <w:szCs w:val="32"/>
        </w:rPr>
        <w:t>AI</w:t>
      </w:r>
      <w:r>
        <w:rPr>
          <w:rFonts w:hint="eastAsia" w:ascii="仿宋_GB2312"/>
          <w:b/>
          <w:szCs w:val="32"/>
        </w:rPr>
        <w:t>模型</w:t>
      </w:r>
    </w:p>
    <w:p>
      <w:pPr>
        <w:numPr>
          <w:ilvl w:val="0"/>
          <w:numId w:val="52"/>
        </w:numPr>
        <w:ind w:left="0" w:firstLine="640"/>
      </w:pPr>
      <w:r>
        <w:rPr>
          <w:rFonts w:hint="eastAsia"/>
        </w:rPr>
        <w:t>模型设计</w:t>
      </w:r>
    </w:p>
    <w:p>
      <w:pPr>
        <w:ind w:firstLine="640"/>
      </w:pPr>
      <w:r>
        <w:rPr>
          <w:rFonts w:hint="eastAsia"/>
        </w:rPr>
        <w:t>依据指标体系与归集数源的特点，采用AI机器自学习等技术，构建模型整体技术框架；同时基于各特种设备实际监控情况，建立模型正负样本库。</w:t>
      </w:r>
    </w:p>
    <w:p>
      <w:pPr>
        <w:numPr>
          <w:ilvl w:val="0"/>
          <w:numId w:val="52"/>
        </w:numPr>
        <w:ind w:left="0" w:firstLine="640"/>
      </w:pPr>
      <w:r>
        <w:rPr>
          <w:rFonts w:hint="eastAsia"/>
        </w:rPr>
        <w:t>模型训练</w:t>
      </w:r>
    </w:p>
    <w:p>
      <w:pPr>
        <w:ind w:firstLine="640"/>
      </w:pPr>
      <w:r>
        <w:rPr>
          <w:rFonts w:hint="eastAsia"/>
        </w:rPr>
        <w:t>结合初始权重值，对</w:t>
      </w:r>
      <w:r>
        <w:t>省大数据局数据分析平台</w:t>
      </w:r>
      <w:r>
        <w:rPr>
          <w:rFonts w:hint="eastAsia"/>
        </w:rPr>
        <w:t>归集的数据，</w:t>
      </w:r>
      <w:r>
        <w:t>采用</w:t>
      </w:r>
      <w:r>
        <w:rPr>
          <w:rFonts w:hint="eastAsia"/>
        </w:rPr>
        <w:t>海量</w:t>
      </w:r>
      <w:r>
        <w:t>数据分布式计算技术，</w:t>
      </w:r>
      <w:r>
        <w:rPr>
          <w:rFonts w:hint="eastAsia"/>
        </w:rPr>
        <w:t>进行全省使用单位、特种设备主体</w:t>
      </w:r>
      <w:r>
        <w:t>监测预警模型训练</w:t>
      </w:r>
      <w:r>
        <w:rPr>
          <w:rFonts w:hint="eastAsia"/>
        </w:rPr>
        <w:t>。</w:t>
      </w:r>
      <w:r>
        <w:t>分析</w:t>
      </w:r>
      <w:r>
        <w:rPr>
          <w:rFonts w:hint="eastAsia"/>
        </w:rPr>
        <w:t>全省所有使用单位特种设备</w:t>
      </w:r>
      <w:r>
        <w:t>，计算</w:t>
      </w:r>
      <w:r>
        <w:rPr>
          <w:rFonts w:hint="eastAsia"/>
        </w:rPr>
        <w:t>使用单位风险画像、八大类特种设备主体</w:t>
      </w:r>
      <w:r>
        <w:t>风险指数</w:t>
      </w:r>
      <w:r>
        <w:rPr>
          <w:rFonts w:hint="eastAsia"/>
        </w:rPr>
        <w:t>。</w:t>
      </w:r>
      <w:r>
        <w:t>对高风险企业</w:t>
      </w:r>
      <w:r>
        <w:rPr>
          <w:rFonts w:hint="eastAsia"/>
        </w:rPr>
        <w:t>或高风险设备进行预警，通过“全省特种设备安全风险防范预警系统”下发属地开展风险核查与处置工作。</w:t>
      </w:r>
    </w:p>
    <w:p>
      <w:pPr>
        <w:numPr>
          <w:ilvl w:val="0"/>
          <w:numId w:val="52"/>
        </w:numPr>
        <w:ind w:left="0" w:firstLine="640"/>
      </w:pPr>
      <w:r>
        <w:rPr>
          <w:rFonts w:hint="eastAsia"/>
        </w:rPr>
        <w:t>模型优化</w:t>
      </w:r>
    </w:p>
    <w:p>
      <w:pPr>
        <w:ind w:firstLine="640"/>
      </w:pPr>
      <w:r>
        <w:t>系统依据</w:t>
      </w:r>
      <w:r>
        <w:rPr>
          <w:rFonts w:hint="eastAsia"/>
        </w:rPr>
        <w:t>基层核查</w:t>
      </w:r>
      <w:r>
        <w:t>反馈结果，</w:t>
      </w:r>
      <w:r>
        <w:rPr>
          <w:rFonts w:hint="eastAsia"/>
        </w:rPr>
        <w:t>丰富</w:t>
      </w:r>
      <w:r>
        <w:t>正负样本</w:t>
      </w:r>
      <w:r>
        <w:rPr>
          <w:rFonts w:hint="eastAsia"/>
        </w:rPr>
        <w:t>库</w:t>
      </w:r>
      <w:r>
        <w:t>，</w:t>
      </w:r>
      <w:r>
        <w:rPr>
          <w:rFonts w:hint="eastAsia"/>
        </w:rPr>
        <w:t>修正指标权重值，</w:t>
      </w:r>
      <w:r>
        <w:t>不断完善模型。</w:t>
      </w:r>
    </w:p>
    <w:p>
      <w:pPr>
        <w:pStyle w:val="6"/>
        <w:numPr>
          <w:ilvl w:val="0"/>
          <w:numId w:val="51"/>
        </w:numPr>
        <w:ind w:left="0" w:firstLine="643"/>
        <w:rPr>
          <w:rFonts w:ascii="仿宋_GB2312"/>
          <w:b/>
          <w:szCs w:val="32"/>
        </w:rPr>
      </w:pPr>
      <w:r>
        <w:rPr>
          <w:rFonts w:hint="eastAsia" w:ascii="仿宋_GB2312"/>
          <w:b/>
          <w:szCs w:val="32"/>
        </w:rPr>
        <w:t>使用单位风险画像</w:t>
      </w:r>
    </w:p>
    <w:p>
      <w:pPr>
        <w:ind w:firstLine="640"/>
        <w:rPr>
          <w:rFonts w:ascii="仿宋_GB2312"/>
          <w:color w:val="000000" w:themeColor="text1"/>
          <w:szCs w:val="32"/>
          <w14:textFill>
            <w14:solidFill>
              <w14:schemeClr w14:val="tx1"/>
            </w14:solidFill>
          </w14:textFill>
        </w:rPr>
      </w:pPr>
      <w:r>
        <w:rPr>
          <w:rFonts w:hint="eastAsia" w:ascii="仿宋_GB2312"/>
          <w:color w:val="000000" w:themeColor="text1"/>
          <w:szCs w:val="32"/>
          <w14:textFill>
            <w14:solidFill>
              <w14:schemeClr w14:val="tx1"/>
            </w14:solidFill>
          </w14:textFill>
        </w:rPr>
        <w:t>通过数据挖掘、</w:t>
      </w:r>
      <w:r>
        <w:rPr>
          <w:rFonts w:cs="Times New Roman"/>
          <w:color w:val="000000" w:themeColor="text1"/>
          <w:szCs w:val="32"/>
          <w14:textFill>
            <w14:solidFill>
              <w14:schemeClr w14:val="tx1"/>
            </w14:solidFill>
          </w14:textFill>
        </w:rPr>
        <w:t>AI</w:t>
      </w:r>
      <w:r>
        <w:rPr>
          <w:rFonts w:hint="eastAsia" w:ascii="仿宋_GB2312"/>
          <w:color w:val="000000" w:themeColor="text1"/>
          <w:szCs w:val="32"/>
          <w14:textFill>
            <w14:solidFill>
              <w14:schemeClr w14:val="tx1"/>
            </w14:solidFill>
          </w14:textFill>
        </w:rPr>
        <w:t>模型运算，实现全省所有使用单位的风险画像，风险画像主要呈现该使用单位的风险指数、风险详细描述、风险报告、单位的基本信息、单位设备的检验情况、知识图谱等。</w:t>
      </w:r>
    </w:p>
    <w:p>
      <w:pPr>
        <w:ind w:firstLine="640"/>
        <w:rPr>
          <w:rFonts w:ascii="仿宋_GB2312"/>
          <w:color w:val="000000" w:themeColor="text1"/>
          <w:szCs w:val="32"/>
          <w14:textFill>
            <w14:solidFill>
              <w14:schemeClr w14:val="tx1"/>
            </w14:solidFill>
          </w14:textFill>
        </w:rPr>
      </w:pPr>
      <w:r>
        <w:rPr>
          <w:rFonts w:hint="eastAsia" w:ascii="仿宋_GB2312"/>
          <w:color w:val="000000" w:themeColor="text1"/>
          <w:szCs w:val="32"/>
          <w14:textFill>
            <w14:solidFill>
              <w14:schemeClr w14:val="tx1"/>
            </w14:solidFill>
          </w14:textFill>
        </w:rPr>
        <w:t>风险指数的形成主要从四个方面获得：</w:t>
      </w:r>
      <w:r>
        <w:rPr>
          <w:rFonts w:hint="eastAsia" w:cs="Times New Roman"/>
          <w:color w:val="000000" w:themeColor="text1"/>
          <w:szCs w:val="32"/>
          <w14:textFill>
            <w14:solidFill>
              <w14:schemeClr w14:val="tx1"/>
            </w14:solidFill>
          </w14:textFill>
        </w:rPr>
        <w:t>一是</w:t>
      </w:r>
      <w:r>
        <w:rPr>
          <w:rFonts w:hint="eastAsia" w:ascii="仿宋_GB2312"/>
          <w:color w:val="000000" w:themeColor="text1"/>
          <w:szCs w:val="32"/>
          <w14:textFill>
            <w14:solidFill>
              <w14:schemeClr w14:val="tx1"/>
            </w14:solidFill>
          </w14:textFill>
        </w:rPr>
        <w:t>多维立体的风险评价体系。主要获取使用单位管理类、设备主体类的数据，如管理类指标主要为单位基本特征、单位信用情况、舆情分析、特种设备安全实施情况、单位关联关系等特征，设备主体主要由检验情况、监督情况、日志排查情况等构成；</w:t>
      </w:r>
      <w:r>
        <w:rPr>
          <w:rFonts w:hint="eastAsia" w:cs="Times New Roman"/>
          <w:color w:val="000000" w:themeColor="text1"/>
          <w:szCs w:val="32"/>
          <w14:textFill>
            <w14:solidFill>
              <w14:schemeClr w14:val="tx1"/>
            </w14:solidFill>
          </w14:textFill>
        </w:rPr>
        <w:t>二是</w:t>
      </w:r>
      <w:r>
        <w:rPr>
          <w:rFonts w:hint="eastAsia" w:ascii="仿宋_GB2312"/>
          <w:color w:val="000000" w:themeColor="text1"/>
          <w:szCs w:val="32"/>
          <w14:textFill>
            <w14:solidFill>
              <w14:schemeClr w14:val="tx1"/>
            </w14:solidFill>
          </w14:textFill>
        </w:rPr>
        <w:t>专业智能的物联监测模型。获取八大类特种设备的实时运行环境数据、运行数据实时监控各异常指标，对设备的健康状态进行科学地评估。</w:t>
      </w:r>
      <w:r>
        <w:rPr>
          <w:rFonts w:hint="eastAsia" w:cs="Times New Roman"/>
          <w:color w:val="000000" w:themeColor="text1"/>
          <w:szCs w:val="32"/>
          <w14:textFill>
            <w14:solidFill>
              <w14:schemeClr w14:val="tx1"/>
            </w14:solidFill>
          </w14:textFill>
        </w:rPr>
        <w:t>三是</w:t>
      </w:r>
      <w:r>
        <w:rPr>
          <w:rFonts w:ascii="仿宋_GB2312"/>
          <w:bCs/>
          <w:color w:val="000000" w:themeColor="text1"/>
          <w:szCs w:val="32"/>
          <w14:textFill>
            <w14:solidFill>
              <w14:schemeClr w14:val="tx1"/>
            </w14:solidFill>
          </w14:textFill>
        </w:rPr>
        <w:t>实时更新的动态风险监测体系</w:t>
      </w:r>
      <w:r>
        <w:rPr>
          <w:rFonts w:ascii="仿宋_GB2312"/>
          <w:color w:val="000000" w:themeColor="text1"/>
          <w:szCs w:val="32"/>
          <w14:textFill>
            <w14:solidFill>
              <w14:schemeClr w14:val="tx1"/>
            </w14:solidFill>
          </w14:textFill>
        </w:rPr>
        <w:t>。以动态</w:t>
      </w:r>
      <w:r>
        <w:rPr>
          <w:rFonts w:hint="eastAsia" w:ascii="仿宋_GB2312"/>
          <w:color w:val="000000" w:themeColor="text1"/>
          <w:szCs w:val="32"/>
          <w14:textFill>
            <w14:solidFill>
              <w14:schemeClr w14:val="tx1"/>
            </w14:solidFill>
          </w14:textFill>
        </w:rPr>
        <w:t>实时运行</w:t>
      </w:r>
      <w:r>
        <w:rPr>
          <w:rFonts w:ascii="仿宋_GB2312"/>
          <w:color w:val="000000" w:themeColor="text1"/>
          <w:szCs w:val="32"/>
          <w14:textFill>
            <w14:solidFill>
              <w14:schemeClr w14:val="tx1"/>
            </w14:solidFill>
          </w14:textFill>
        </w:rPr>
        <w:t>数据代替静态数据，结合后台的风险计量引擎，形成了对于</w:t>
      </w:r>
      <w:r>
        <w:rPr>
          <w:rFonts w:hint="eastAsia" w:ascii="仿宋_GB2312"/>
          <w:color w:val="000000" w:themeColor="text1"/>
          <w:szCs w:val="32"/>
          <w14:textFill>
            <w14:solidFill>
              <w14:schemeClr w14:val="tx1"/>
            </w14:solidFill>
          </w14:textFill>
        </w:rPr>
        <w:t>设备主体、使用单位的</w:t>
      </w:r>
      <w:r>
        <w:rPr>
          <w:rFonts w:ascii="仿宋_GB2312"/>
          <w:color w:val="000000" w:themeColor="text1"/>
          <w:szCs w:val="32"/>
          <w14:textFill>
            <w14:solidFill>
              <w14:schemeClr w14:val="tx1"/>
            </w14:solidFill>
          </w14:textFill>
        </w:rPr>
        <w:t>风险的实时、动态监测。</w:t>
      </w:r>
    </w:p>
    <w:p>
      <w:pPr>
        <w:pStyle w:val="4"/>
        <w:numPr>
          <w:ilvl w:val="2"/>
          <w:numId w:val="45"/>
        </w:numPr>
        <w:spacing w:before="0" w:after="0" w:line="580" w:lineRule="exact"/>
        <w:ind w:left="0" w:firstLine="643"/>
        <w:rPr>
          <w:rFonts w:ascii="楷体_GB2312" w:eastAsia="楷体_GB2312"/>
          <w:b/>
        </w:rPr>
      </w:pPr>
      <w:bookmarkStart w:id="72" w:name="_Toc31890"/>
      <w:r>
        <w:rPr>
          <w:rFonts w:hint="eastAsia" w:ascii="楷体_GB2312" w:eastAsia="楷体_GB2312"/>
          <w:b/>
        </w:rPr>
        <w:t>一清单</w:t>
      </w:r>
      <w:bookmarkEnd w:id="72"/>
    </w:p>
    <w:p>
      <w:pPr>
        <w:ind w:firstLine="640"/>
      </w:pPr>
      <w:r>
        <w:rPr>
          <w:rFonts w:hint="eastAsia"/>
        </w:rPr>
        <w:t>通过可视化大屏动态展示全省特种设备使用单位重点风险企业清单，并做预警，帮助监管人员提升监管效率。</w:t>
      </w:r>
    </w:p>
    <w:p>
      <w:pPr>
        <w:ind w:firstLine="640"/>
      </w:pPr>
      <w:r>
        <w:rPr>
          <w:rFonts w:hint="eastAsia"/>
        </w:rPr>
        <w:t>重点使用单位清单综合以下风险因素：</w:t>
      </w:r>
      <w:r>
        <w:rPr>
          <w:rFonts w:hint="eastAsia" w:cs="Times New Roman"/>
        </w:rPr>
        <w:t>一是</w:t>
      </w:r>
      <w:r>
        <w:rPr>
          <w:rFonts w:hint="eastAsia"/>
        </w:rPr>
        <w:t>设备检验情况数据；</w:t>
      </w:r>
      <w:r>
        <w:rPr>
          <w:rFonts w:hint="eastAsia" w:cs="Times New Roman"/>
        </w:rPr>
        <w:t>二是</w:t>
      </w:r>
      <w:r>
        <w:rPr>
          <w:rFonts w:hint="eastAsia"/>
        </w:rPr>
        <w:t>历史安全事故数据；</w:t>
      </w:r>
      <w:r>
        <w:rPr>
          <w:rFonts w:hint="eastAsia" w:cs="Times New Roman"/>
        </w:rPr>
        <w:t>三是</w:t>
      </w:r>
      <w:r>
        <w:rPr>
          <w:rFonts w:hint="eastAsia"/>
        </w:rPr>
        <w:t>执法检查相关数据；</w:t>
      </w:r>
      <w:r>
        <w:rPr>
          <w:rFonts w:hint="eastAsia" w:cs="Times New Roman"/>
        </w:rPr>
        <w:t>四是</w:t>
      </w:r>
      <w:r>
        <w:rPr>
          <w:rFonts w:hint="eastAsia"/>
        </w:rPr>
        <w:t>违法行为数据；地理位置数据；</w:t>
      </w:r>
      <w:r>
        <w:rPr>
          <w:rFonts w:hint="eastAsia" w:cs="Times New Roman"/>
        </w:rPr>
        <w:t>五是</w:t>
      </w:r>
      <w:r>
        <w:rPr>
          <w:rFonts w:hint="eastAsia"/>
        </w:rPr>
        <w:t>影响范围数据；</w:t>
      </w:r>
      <w:r>
        <w:rPr>
          <w:rFonts w:hint="eastAsia" w:cs="Times New Roman"/>
        </w:rPr>
        <w:t>六是</w:t>
      </w:r>
      <w:r>
        <w:rPr>
          <w:rFonts w:hint="eastAsia"/>
        </w:rPr>
        <w:t>事故发生危险指数；</w:t>
      </w:r>
      <w:r>
        <w:rPr>
          <w:rFonts w:hint="eastAsia" w:cs="Times New Roman"/>
        </w:rPr>
        <w:t>七是</w:t>
      </w:r>
      <w:r>
        <w:rPr>
          <w:rFonts w:hint="eastAsia"/>
        </w:rPr>
        <w:t>重大事项数据；</w:t>
      </w:r>
      <w:r>
        <w:rPr>
          <w:rFonts w:hint="eastAsia" w:cs="Times New Roman"/>
        </w:rPr>
        <w:t>八是</w:t>
      </w:r>
      <w:r>
        <w:rPr>
          <w:rFonts w:hint="eastAsia"/>
        </w:rPr>
        <w:t>重点设备数据等众多数据。通过综合建模确定风险等级，行政重点企业清单，并推送至“物联网+监管”平台，出发现场检车和增加企业双随机概率。</w:t>
      </w:r>
    </w:p>
    <w:bookmarkEnd w:id="69"/>
    <w:p>
      <w:pPr>
        <w:pStyle w:val="4"/>
        <w:numPr>
          <w:ilvl w:val="2"/>
          <w:numId w:val="45"/>
        </w:numPr>
        <w:spacing w:before="0" w:after="0" w:line="580" w:lineRule="exact"/>
        <w:ind w:left="0" w:firstLine="640"/>
        <w:rPr>
          <w:rFonts w:ascii="楷体_GB2312" w:eastAsia="楷体_GB2312"/>
        </w:rPr>
      </w:pPr>
      <w:bookmarkStart w:id="73" w:name="_Toc22982"/>
      <w:r>
        <w:rPr>
          <w:rFonts w:hint="eastAsia" w:ascii="楷体_GB2312" w:eastAsia="楷体_GB2312"/>
        </w:rPr>
        <w:t>协同智治</w:t>
      </w:r>
      <w:bookmarkEnd w:id="73"/>
    </w:p>
    <w:p>
      <w:pPr>
        <w:ind w:firstLine="640"/>
      </w:pPr>
      <w:r>
        <w:rPr>
          <w:rFonts w:hint="eastAsia"/>
        </w:rPr>
        <w:t>开展特种设备安全风险跨环节、跨部门、跨行业的协同共治，实现特种设备处置管理的信息化、智能化、现代化。完善特种设备安全问题闭环处置。</w:t>
      </w:r>
    </w:p>
    <w:p>
      <w:pPr>
        <w:pStyle w:val="5"/>
        <w:numPr>
          <w:ilvl w:val="3"/>
          <w:numId w:val="53"/>
        </w:numPr>
        <w:ind w:left="0" w:firstLine="643"/>
        <w:rPr>
          <w:rFonts w:ascii="仿宋_GB2312"/>
          <w:szCs w:val="32"/>
        </w:rPr>
      </w:pPr>
      <w:r>
        <w:rPr>
          <w:rFonts w:hint="eastAsia" w:ascii="仿宋_GB2312"/>
          <w:szCs w:val="32"/>
        </w:rPr>
        <w:t>风险处置流程</w:t>
      </w:r>
    </w:p>
    <w:p>
      <w:pPr>
        <w:ind w:firstLine="640"/>
      </w:pPr>
      <w:r>
        <w:rPr>
          <w:rFonts w:hint="eastAsia"/>
        </w:rPr>
        <w:t>预警系统发现风险之后，按照风险级别进行分类处置，将所有特种设备使用单位及其设备风险信息推送给“互联网+监管”风险预警监测平台（简称风控平台），风控平台再将风险信息发送给执法平台，默认由设区的市级市场监管部门接收相关信息。设区的市级市场监管部门可选择直接处置或继续下发给县级市场监管部门，各级市场监管部门可根据风险情况联合执法部门、发起部门协同处置流程，组织开展联合处置。执法平台将风险核查处置结果经风控平台返回预警系统，实现风险隐患闭环管理。预警系统可实时监控风险处置过程状态。</w:t>
      </w:r>
    </w:p>
    <w:p>
      <w:pPr>
        <w:pStyle w:val="5"/>
        <w:numPr>
          <w:ilvl w:val="3"/>
          <w:numId w:val="53"/>
        </w:numPr>
        <w:ind w:left="0" w:firstLine="643"/>
        <w:rPr>
          <w:rFonts w:ascii="仿宋_GB2312"/>
          <w:szCs w:val="32"/>
        </w:rPr>
      </w:pPr>
      <w:r>
        <w:rPr>
          <w:rFonts w:hint="eastAsia" w:ascii="仿宋_GB2312"/>
          <w:szCs w:val="32"/>
        </w:rPr>
        <w:drawing>
          <wp:anchor distT="0" distB="0" distL="114300" distR="114300" simplePos="0" relativeHeight="251633664" behindDoc="0" locked="0" layoutInCell="1" allowOverlap="1">
            <wp:simplePos x="0" y="0"/>
            <wp:positionH relativeFrom="column">
              <wp:posOffset>247015</wp:posOffset>
            </wp:positionH>
            <wp:positionV relativeFrom="paragraph">
              <wp:posOffset>153035</wp:posOffset>
            </wp:positionV>
            <wp:extent cx="5411470" cy="1266825"/>
            <wp:effectExtent l="0" t="0" r="0" b="9525"/>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411470" cy="1266825"/>
                    </a:xfrm>
                    <a:prstGeom prst="rect">
                      <a:avLst/>
                    </a:prstGeom>
                  </pic:spPr>
                </pic:pic>
              </a:graphicData>
            </a:graphic>
          </wp:anchor>
        </w:drawing>
      </w:r>
      <w:r>
        <w:rPr>
          <w:rFonts w:hint="eastAsia" w:ascii="仿宋_GB2312"/>
          <w:szCs w:val="32"/>
        </w:rPr>
        <w:t>风险处置规则</w:t>
      </w:r>
    </w:p>
    <w:p>
      <w:pPr>
        <w:pStyle w:val="6"/>
        <w:numPr>
          <w:ilvl w:val="0"/>
          <w:numId w:val="54"/>
        </w:numPr>
        <w:ind w:left="0" w:firstLine="640"/>
        <w:rPr>
          <w:rFonts w:ascii="仿宋_GB2312"/>
          <w:szCs w:val="32"/>
        </w:rPr>
      </w:pPr>
      <w:r>
        <w:rPr>
          <w:rFonts w:hint="eastAsia" w:ascii="仿宋_GB2312"/>
          <w:szCs w:val="32"/>
        </w:rPr>
        <w:t>高风险</w:t>
      </w:r>
    </w:p>
    <w:p>
      <w:pPr>
        <w:ind w:firstLine="640"/>
      </w:pPr>
      <w:r>
        <w:rPr>
          <w:rFonts w:hint="eastAsia"/>
        </w:rPr>
        <w:t>高风险特种设备使用单位属于重点监管对象，需要尽快予以核查处置。在执法平台中设置一种预警处置人员角色。预警处置人员具有接收和处置风险预警的权限，各级特种设备处、科和基层站所都必须配置两名预警处置人员，一名是部门主要负责人，另外一名由部门自行决定。处置过程状态和处置结果要包含处置人员信息。</w:t>
      </w:r>
    </w:p>
    <w:p>
      <w:pPr>
        <w:ind w:firstLine="640"/>
        <w:rPr>
          <w:rFonts w:ascii="仿宋_GB2312"/>
          <w:color w:val="000000" w:themeColor="text1"/>
          <w:szCs w:val="32"/>
          <w14:textFill>
            <w14:solidFill>
              <w14:schemeClr w14:val="tx1"/>
            </w14:solidFill>
          </w14:textFill>
        </w:rPr>
      </w:pPr>
      <w:r>
        <w:rPr>
          <w:rFonts w:hint="eastAsia"/>
        </w:rPr>
        <w:t>设区的市级市场监管部门在收到高风险信息后，</w:t>
      </w:r>
      <w:r>
        <w:rPr>
          <w:rFonts w:cs="Times New Roman"/>
        </w:rPr>
        <w:t>2</w:t>
      </w:r>
      <w:r>
        <w:rPr>
          <w:rFonts w:hint="eastAsia"/>
        </w:rPr>
        <w:t>个工作日内需要作出响应，具体处置方式如下：</w:t>
      </w:r>
    </w:p>
    <w:p>
      <w:pPr>
        <w:pStyle w:val="7"/>
        <w:numPr>
          <w:ilvl w:val="0"/>
          <w:numId w:val="15"/>
        </w:numPr>
        <w:ind w:firstLine="643"/>
      </w:pPr>
      <w:r>
        <w:rPr>
          <w:rFonts w:hint="eastAsia"/>
        </w:rPr>
        <w:t>新建核查任务</w:t>
      </w:r>
    </w:p>
    <w:p>
      <w:pPr>
        <w:pStyle w:val="49"/>
        <w:ind w:firstLine="640"/>
        <w:rPr>
          <w:rFonts w:ascii="仿宋_GB2312"/>
          <w:color w:val="000000" w:themeColor="text1"/>
          <w:szCs w:val="32"/>
          <w14:textFill>
            <w14:solidFill>
              <w14:schemeClr w14:val="tx1"/>
            </w14:solidFill>
          </w14:textFill>
        </w:rPr>
      </w:pPr>
      <w:r>
        <w:rPr>
          <w:rFonts w:hint="eastAsia" w:ascii="仿宋_GB2312"/>
          <w:color w:val="000000" w:themeColor="text1"/>
          <w:szCs w:val="32"/>
          <w14:textFill>
            <w14:solidFill>
              <w14:schemeClr w14:val="tx1"/>
            </w14:solidFill>
          </w14:textFill>
        </w:rPr>
        <w:t>对高风险特种设备使用单位开展现场监督检查，检查人员对两方面情况进行核实处置。</w:t>
      </w:r>
      <w:r>
        <w:rPr>
          <w:rFonts w:hint="eastAsia" w:ascii="仿宋_GB2312"/>
          <w:b/>
          <w:color w:val="000000" w:themeColor="text1"/>
          <w:szCs w:val="32"/>
          <w14:textFill>
            <w14:solidFill>
              <w14:schemeClr w14:val="tx1"/>
            </w14:solidFill>
          </w14:textFill>
        </w:rPr>
        <w:t>一是</w:t>
      </w:r>
      <w:r>
        <w:rPr>
          <w:rFonts w:hint="eastAsia" w:ascii="仿宋_GB2312"/>
          <w:color w:val="000000" w:themeColor="text1"/>
          <w:szCs w:val="32"/>
          <w14:textFill>
            <w14:solidFill>
              <w14:schemeClr w14:val="tx1"/>
            </w14:solidFill>
          </w14:textFill>
        </w:rPr>
        <w:t>按照“双随机”现场检查表对高风险使用单位开展监督检查，检查结果需返回预警系统。</w:t>
      </w:r>
      <w:r>
        <w:rPr>
          <w:rFonts w:hint="eastAsia" w:ascii="仿宋_GB2312"/>
          <w:b/>
          <w:color w:val="000000" w:themeColor="text1"/>
          <w:szCs w:val="32"/>
          <w14:textFill>
            <w14:solidFill>
              <w14:schemeClr w14:val="tx1"/>
            </w14:solidFill>
          </w14:textFill>
        </w:rPr>
        <w:t>二是</w:t>
      </w:r>
      <w:r>
        <w:rPr>
          <w:rFonts w:hint="eastAsia" w:ascii="仿宋_GB2312"/>
          <w:color w:val="000000" w:themeColor="text1"/>
          <w:szCs w:val="32"/>
          <w14:textFill>
            <w14:solidFill>
              <w14:schemeClr w14:val="tx1"/>
            </w14:solidFill>
          </w14:textFill>
        </w:rPr>
        <w:t>根据风险报告中的单位风险情况和设备风险情况进行逐条核查，反馈结果为已处置、部分处置、无须处置，其中部分处置和无须处置需要作出情况说明。</w:t>
      </w:r>
    </w:p>
    <w:p>
      <w:pPr>
        <w:ind w:firstLine="640"/>
        <w:rPr>
          <w:rFonts w:ascii="仿宋_GB2312"/>
          <w:color w:val="000000" w:themeColor="text1"/>
          <w:szCs w:val="32"/>
          <w14:textFill>
            <w14:solidFill>
              <w14:schemeClr w14:val="tx1"/>
            </w14:solidFill>
          </w14:textFill>
        </w:rPr>
      </w:pPr>
      <w:r>
        <w:rPr>
          <w:rFonts w:hint="eastAsia" w:ascii="仿宋_GB2312"/>
          <w:color w:val="000000" w:themeColor="text1"/>
          <w:szCs w:val="32"/>
          <w14:textFill>
            <w14:solidFill>
              <w14:schemeClr w14:val="tx1"/>
            </w14:solidFill>
          </w14:textFill>
        </w:rPr>
        <w:t>初步核查处置结果应当于核查任务新建之日起</w:t>
      </w:r>
      <w:r>
        <w:rPr>
          <w:rFonts w:hint="eastAsia"/>
          <w:color w:val="000000" w:themeColor="text1"/>
          <w:szCs w:val="32"/>
          <w14:textFill>
            <w14:solidFill>
              <w14:schemeClr w14:val="tx1"/>
            </w14:solidFill>
          </w14:textFill>
        </w:rPr>
        <w:t>5</w:t>
      </w:r>
      <w:r>
        <w:rPr>
          <w:rFonts w:hint="eastAsia" w:ascii="仿宋_GB2312"/>
          <w:color w:val="000000" w:themeColor="text1"/>
          <w:szCs w:val="32"/>
          <w14:textFill>
            <w14:solidFill>
              <w14:schemeClr w14:val="tx1"/>
            </w14:solidFill>
          </w14:textFill>
        </w:rPr>
        <w:t>个工作日内上报。风险隐患不能立即整改的，应当填写《特种设备安全监察指令书》确定的整改时限，并在时限内上报最终处置结果。</w:t>
      </w:r>
    </w:p>
    <w:p>
      <w:pPr>
        <w:pStyle w:val="49"/>
        <w:ind w:firstLine="640"/>
        <w:rPr>
          <w:rFonts w:ascii="仿宋_GB2312"/>
          <w:color w:val="000000" w:themeColor="text1"/>
          <w:szCs w:val="32"/>
          <w14:textFill>
            <w14:solidFill>
              <w14:schemeClr w14:val="tx1"/>
            </w14:solidFill>
          </w14:textFill>
        </w:rPr>
      </w:pPr>
      <w:r>
        <w:rPr>
          <w:rFonts w:hint="eastAsia" w:ascii="仿宋_GB2312"/>
          <w:color w:val="000000" w:themeColor="text1"/>
          <w:szCs w:val="32"/>
          <w14:textFill>
            <w14:solidFill>
              <w14:schemeClr w14:val="tx1"/>
            </w14:solidFill>
          </w14:textFill>
        </w:rPr>
        <w:t>风险预警涉及以下方面需要和其他行业部门开展联合核查。</w:t>
      </w:r>
    </w:p>
    <w:p>
      <w:pPr>
        <w:pStyle w:val="49"/>
        <w:ind w:firstLine="640"/>
        <w:rPr>
          <w:rFonts w:ascii="仿宋_GB2312"/>
          <w:color w:val="000000" w:themeColor="text1"/>
          <w:szCs w:val="32"/>
          <w14:textFill>
            <w14:solidFill>
              <w14:schemeClr w14:val="tx1"/>
            </w14:solidFill>
          </w14:textFill>
        </w:rPr>
      </w:pPr>
      <w:r>
        <w:rPr>
          <w:rFonts w:cs="Times New Roman"/>
          <w:color w:val="000000" w:themeColor="text1"/>
          <w:szCs w:val="32"/>
          <w14:textFill>
            <w14:solidFill>
              <w14:schemeClr w14:val="tx1"/>
            </w14:solidFill>
          </w14:textFill>
        </w:rPr>
        <w:t>1</w:t>
      </w:r>
      <w:r>
        <w:rPr>
          <w:rFonts w:hint="eastAsia" w:ascii="仿宋_GB2312"/>
          <w:color w:val="000000" w:themeColor="text1"/>
          <w:szCs w:val="32"/>
          <w14:textFill>
            <w14:solidFill>
              <w14:schemeClr w14:val="tx1"/>
            </w14:solidFill>
          </w14:textFill>
        </w:rPr>
        <w:t>）与交通运输部门协同核查</w:t>
      </w:r>
    </w:p>
    <w:p>
      <w:pPr>
        <w:ind w:firstLine="640"/>
        <w:rPr>
          <w:rFonts w:ascii="仿宋_GB2312"/>
          <w:color w:val="000000" w:themeColor="text1"/>
          <w:szCs w:val="32"/>
          <w14:textFill>
            <w14:solidFill>
              <w14:schemeClr w14:val="tx1"/>
            </w14:solidFill>
          </w14:textFill>
        </w:rPr>
      </w:pPr>
      <w:r>
        <w:rPr>
          <w:rFonts w:hint="eastAsia" w:ascii="仿宋_GB2312"/>
          <w:color w:val="000000" w:themeColor="text1"/>
          <w:szCs w:val="32"/>
          <w14:textFill>
            <w14:solidFill>
              <w14:schemeClr w14:val="tx1"/>
            </w14:solidFill>
          </w14:textFill>
        </w:rPr>
        <w:t>发现承压罐车超期未检；通过比对承压罐车电子派车单显示的装货信息、车辆卫星定位信息以及充装许可单位及位置信息发现存在无证充装风险。</w:t>
      </w:r>
    </w:p>
    <w:p>
      <w:pPr>
        <w:pStyle w:val="49"/>
        <w:ind w:firstLine="640"/>
        <w:rPr>
          <w:rFonts w:ascii="仿宋_GB2312"/>
          <w:color w:val="000000" w:themeColor="text1"/>
          <w:szCs w:val="32"/>
          <w14:textFill>
            <w14:solidFill>
              <w14:schemeClr w14:val="tx1"/>
            </w14:solidFill>
          </w14:textFill>
        </w:rPr>
      </w:pPr>
      <w:r>
        <w:rPr>
          <w:rFonts w:cs="Times New Roman"/>
          <w:color w:val="000000" w:themeColor="text1"/>
          <w:szCs w:val="32"/>
          <w14:textFill>
            <w14:solidFill>
              <w14:schemeClr w14:val="tx1"/>
            </w14:solidFill>
          </w14:textFill>
        </w:rPr>
        <w:t>2</w:t>
      </w:r>
      <w:r>
        <w:rPr>
          <w:rFonts w:hint="eastAsia" w:ascii="仿宋_GB2312"/>
          <w:color w:val="000000" w:themeColor="text1"/>
          <w:szCs w:val="32"/>
          <w14:textFill>
            <w14:solidFill>
              <w14:schemeClr w14:val="tx1"/>
            </w14:solidFill>
          </w14:textFill>
        </w:rPr>
        <w:t>）与建设部门协同核查</w:t>
      </w:r>
    </w:p>
    <w:p>
      <w:pPr>
        <w:ind w:firstLine="640"/>
        <w:rPr>
          <w:rFonts w:ascii="仿宋_GB2312"/>
          <w:color w:val="000000" w:themeColor="text1"/>
          <w:szCs w:val="32"/>
          <w14:textFill>
            <w14:solidFill>
              <w14:schemeClr w14:val="tx1"/>
            </w14:solidFill>
          </w14:textFill>
        </w:rPr>
      </w:pPr>
      <w:r>
        <w:rPr>
          <w:rFonts w:hint="eastAsia" w:ascii="仿宋_GB2312"/>
          <w:color w:val="000000" w:themeColor="text1"/>
          <w:szCs w:val="32"/>
          <w14:textFill>
            <w14:solidFill>
              <w14:schemeClr w14:val="tx1"/>
            </w14:solidFill>
          </w14:textFill>
        </w:rPr>
        <w:t>特种设备检验机构在电梯安装监督检验或定期检验中发现属于三无电梯（没有物业管理、维护保养和维修资金）、底坑渗水、入户式电梯、违章建筑等涉及建筑物问题；</w:t>
      </w:r>
    </w:p>
    <w:p>
      <w:pPr>
        <w:ind w:firstLine="640"/>
        <w:rPr>
          <w:rFonts w:ascii="仿宋_GB2312"/>
          <w:color w:val="000000" w:themeColor="text1"/>
          <w:szCs w:val="32"/>
          <w14:textFill>
            <w14:solidFill>
              <w14:schemeClr w14:val="tx1"/>
            </w14:solidFill>
          </w14:textFill>
        </w:rPr>
      </w:pPr>
      <w:r>
        <w:rPr>
          <w:rFonts w:hint="eastAsia" w:ascii="仿宋_GB2312"/>
          <w:color w:val="000000" w:themeColor="text1"/>
          <w:szCs w:val="32"/>
          <w14:textFill>
            <w14:solidFill>
              <w14:schemeClr w14:val="tx1"/>
            </w14:solidFill>
          </w14:textFill>
        </w:rPr>
        <w:t>在电梯日常监督检查中发现因物业企业导致电梯故障高发、业主经常投诉举报、骗取专项维修资金等问题。</w:t>
      </w:r>
    </w:p>
    <w:p>
      <w:pPr>
        <w:pStyle w:val="7"/>
        <w:numPr>
          <w:ilvl w:val="0"/>
          <w:numId w:val="15"/>
        </w:numPr>
        <w:ind w:firstLine="643"/>
      </w:pPr>
      <w:r>
        <w:rPr>
          <w:rFonts w:hint="eastAsia"/>
        </w:rPr>
        <w:t>风险监测预警提醒</w:t>
      </w:r>
    </w:p>
    <w:p>
      <w:pPr>
        <w:pStyle w:val="49"/>
        <w:ind w:firstLine="640"/>
        <w:rPr>
          <w:rFonts w:ascii="仿宋_GB2312"/>
          <w:color w:val="000000" w:themeColor="text1"/>
          <w:szCs w:val="32"/>
          <w14:textFill>
            <w14:solidFill>
              <w14:schemeClr w14:val="tx1"/>
            </w14:solidFill>
          </w14:textFill>
        </w:rPr>
      </w:pPr>
      <w:r>
        <w:rPr>
          <w:rFonts w:hint="eastAsia" w:ascii="仿宋_GB2312"/>
          <w:color w:val="000000" w:themeColor="text1"/>
          <w:szCs w:val="32"/>
          <w14:textFill>
            <w14:solidFill>
              <w14:schemeClr w14:val="tx1"/>
            </w14:solidFill>
          </w14:textFill>
        </w:rPr>
        <w:t>预警涉及其他行业部门但是未组织联合核查，则告知其他行业部门特种设备高风险信息，例如：</w:t>
      </w:r>
    </w:p>
    <w:p>
      <w:pPr>
        <w:ind w:firstLine="640"/>
        <w:rPr>
          <w:rFonts w:ascii="仿宋_GB2312"/>
          <w:color w:val="000000" w:themeColor="text1"/>
          <w:szCs w:val="32"/>
          <w14:textFill>
            <w14:solidFill>
              <w14:schemeClr w14:val="tx1"/>
            </w14:solidFill>
          </w14:textFill>
        </w:rPr>
      </w:pPr>
      <w:r>
        <w:rPr>
          <w:rFonts w:hint="eastAsia" w:ascii="仿宋_GB2312"/>
          <w:color w:val="000000" w:themeColor="text1"/>
          <w:szCs w:val="32"/>
          <w14:textFill>
            <w14:solidFill>
              <w14:schemeClr w14:val="tx1"/>
            </w14:solidFill>
          </w14:textFill>
        </w:rPr>
        <w:t>涉及危险化学品的压力容器、压力管道等使用单位以及充装单位存在高风险,推送给应急管理部门；涉及旅游景区的高风险大型游乐设施、客运索道、非公路用旅游观光车等特种设备的，推送给文化和旅游部门；涉及学校等单位内设备的，推送给教育部门；涉及医院等单位内设备的，推送给卫生部门；涉及商场、超市等单位内设备的，推送给商务部门。</w:t>
      </w:r>
    </w:p>
    <w:p>
      <w:pPr>
        <w:ind w:firstLine="640"/>
        <w:rPr>
          <w:rFonts w:ascii="仿宋_GB2312"/>
          <w:color w:val="000000" w:themeColor="text1"/>
          <w:szCs w:val="32"/>
          <w14:textFill>
            <w14:solidFill>
              <w14:schemeClr w14:val="tx1"/>
            </w14:solidFill>
          </w14:textFill>
        </w:rPr>
      </w:pPr>
      <w:r>
        <w:rPr>
          <w:rFonts w:hint="eastAsia" w:ascii="仿宋_GB2312"/>
          <w:color w:val="000000" w:themeColor="text1"/>
          <w:szCs w:val="32"/>
          <w14:textFill>
            <w14:solidFill>
              <w14:schemeClr w14:val="tx1"/>
            </w14:solidFill>
          </w14:textFill>
        </w:rPr>
        <w:t>选择风险监测预警提醒的同时也可以选择其他三种处置方式的一种。</w:t>
      </w:r>
    </w:p>
    <w:p>
      <w:pPr>
        <w:pStyle w:val="7"/>
        <w:numPr>
          <w:ilvl w:val="0"/>
          <w:numId w:val="15"/>
        </w:numPr>
        <w:ind w:firstLine="643"/>
      </w:pPr>
      <w:r>
        <w:rPr>
          <w:rFonts w:hint="eastAsia"/>
        </w:rPr>
        <w:t>无需处置</w:t>
      </w:r>
    </w:p>
    <w:p>
      <w:pPr>
        <w:pStyle w:val="49"/>
        <w:ind w:firstLine="640"/>
        <w:rPr>
          <w:rFonts w:ascii="仿宋_GB2312"/>
          <w:color w:val="000000" w:themeColor="text1"/>
          <w:szCs w:val="32"/>
          <w14:textFill>
            <w14:solidFill>
              <w14:schemeClr w14:val="tx1"/>
            </w14:solidFill>
          </w14:textFill>
        </w:rPr>
      </w:pPr>
      <w:r>
        <w:rPr>
          <w:rFonts w:hint="eastAsia" w:ascii="仿宋_GB2312"/>
          <w:color w:val="000000" w:themeColor="text1"/>
          <w:szCs w:val="32"/>
          <w14:textFill>
            <w14:solidFill>
              <w14:schemeClr w14:val="tx1"/>
            </w14:solidFill>
          </w14:textFill>
        </w:rPr>
        <w:t>选择无需处置需要说明理由，比如核查发现因数据传输等问题导致的高风险。</w:t>
      </w:r>
    </w:p>
    <w:p>
      <w:pPr>
        <w:pStyle w:val="7"/>
        <w:numPr>
          <w:ilvl w:val="0"/>
          <w:numId w:val="15"/>
        </w:numPr>
        <w:ind w:firstLine="643"/>
      </w:pPr>
      <w:r>
        <w:rPr>
          <w:rFonts w:hint="eastAsia"/>
        </w:rPr>
        <w:t>风险下发</w:t>
      </w:r>
    </w:p>
    <w:p>
      <w:pPr>
        <w:pStyle w:val="49"/>
        <w:ind w:firstLine="640"/>
        <w:rPr>
          <w:rFonts w:ascii="仿宋_GB2312"/>
          <w:color w:val="000000" w:themeColor="text1"/>
          <w:szCs w:val="32"/>
          <w14:textFill>
            <w14:solidFill>
              <w14:schemeClr w14:val="tx1"/>
            </w14:solidFill>
          </w14:textFill>
        </w:rPr>
      </w:pPr>
      <w:r>
        <w:rPr>
          <w:rFonts w:hint="eastAsia" w:ascii="仿宋_GB2312"/>
          <w:color w:val="000000" w:themeColor="text1"/>
          <w:szCs w:val="32"/>
          <w14:textFill>
            <w14:solidFill>
              <w14:schemeClr w14:val="tx1"/>
            </w14:solidFill>
          </w14:textFill>
        </w:rPr>
        <w:t>交由县级市场监管部门处置，县级市场监管部门在收到高风险信息后，两个工作日内需要作出响应，风险处置方法同上述</w:t>
      </w:r>
      <w:r>
        <w:rPr>
          <w:rFonts w:cs="Times New Roman"/>
          <w:color w:val="000000" w:themeColor="text1"/>
          <w:szCs w:val="32"/>
          <w14:textFill>
            <w14:solidFill>
              <w14:schemeClr w14:val="tx1"/>
            </w14:solidFill>
          </w14:textFill>
        </w:rPr>
        <w:t>1、2、3</w:t>
      </w:r>
      <w:r>
        <w:rPr>
          <w:rFonts w:hint="eastAsia" w:ascii="仿宋_GB2312"/>
          <w:color w:val="000000" w:themeColor="text1"/>
          <w:szCs w:val="32"/>
          <w14:textFill>
            <w14:solidFill>
              <w14:schemeClr w14:val="tx1"/>
            </w14:solidFill>
          </w14:textFill>
        </w:rPr>
        <w:t>项。</w:t>
      </w:r>
    </w:p>
    <w:p>
      <w:pPr>
        <w:pStyle w:val="6"/>
        <w:numPr>
          <w:ilvl w:val="0"/>
          <w:numId w:val="54"/>
        </w:numPr>
        <w:ind w:left="0" w:firstLine="643"/>
        <w:rPr>
          <w:rFonts w:ascii="仿宋_GB2312"/>
          <w:b/>
          <w:szCs w:val="32"/>
        </w:rPr>
      </w:pPr>
      <w:r>
        <w:rPr>
          <w:rFonts w:hint="eastAsia" w:ascii="仿宋_GB2312"/>
          <w:b/>
          <w:szCs w:val="32"/>
        </w:rPr>
        <w:t>中风险和企业信用高风险</w:t>
      </w:r>
    </w:p>
    <w:p>
      <w:pPr>
        <w:ind w:firstLine="640"/>
      </w:pPr>
      <w:r>
        <w:rPr>
          <w:rFonts w:hint="eastAsia"/>
        </w:rPr>
        <w:t>中风险和企业信用高风险特种设备使用单位列入“双随机、一公开”监督检查的重点对象。以县（市、区）为单位，在制定双随机检查计划时，计划数</w:t>
      </w:r>
      <w:r>
        <w:rPr>
          <w:rFonts w:cs="Times New Roman"/>
        </w:rPr>
        <w:t>80</w:t>
      </w:r>
      <w:r>
        <w:rPr>
          <w:rFonts w:hint="eastAsia"/>
        </w:rPr>
        <w:t>%的特种设备使用单位，应当从中风险和常高风险单位中抽取；如数量不足计划数</w:t>
      </w:r>
      <w:r>
        <w:rPr>
          <w:rFonts w:cs="Times New Roman"/>
        </w:rPr>
        <w:t>80</w:t>
      </w:r>
      <w:r>
        <w:rPr>
          <w:rFonts w:hint="eastAsia"/>
        </w:rPr>
        <w:t>%的，则所有单位均列入检查计划，其余单位按照双随机规则抽取。</w:t>
      </w:r>
    </w:p>
    <w:p>
      <w:pPr>
        <w:pStyle w:val="6"/>
        <w:numPr>
          <w:ilvl w:val="0"/>
          <w:numId w:val="54"/>
        </w:numPr>
        <w:ind w:left="0" w:firstLine="643"/>
        <w:rPr>
          <w:rFonts w:ascii="仿宋_GB2312"/>
          <w:b/>
          <w:szCs w:val="32"/>
        </w:rPr>
      </w:pPr>
      <w:r>
        <w:rPr>
          <w:rFonts w:hint="eastAsia" w:ascii="仿宋_GB2312"/>
          <w:b/>
          <w:szCs w:val="32"/>
        </w:rPr>
        <w:t>低风险</w:t>
      </w:r>
    </w:p>
    <w:p>
      <w:pPr>
        <w:pStyle w:val="49"/>
        <w:ind w:firstLine="640"/>
      </w:pPr>
      <w:r>
        <w:rPr>
          <w:rFonts w:hint="eastAsia" w:ascii="仿宋_GB2312"/>
          <w:color w:val="000000" w:themeColor="text1"/>
          <w:szCs w:val="32"/>
          <w14:textFill>
            <w14:solidFill>
              <w14:schemeClr w14:val="tx1"/>
            </w14:solidFill>
          </w14:textFill>
        </w:rPr>
        <w:t>暂不处置。</w:t>
      </w:r>
    </w:p>
    <w:p>
      <w:pPr>
        <w:pStyle w:val="5"/>
        <w:numPr>
          <w:ilvl w:val="3"/>
          <w:numId w:val="53"/>
        </w:numPr>
        <w:ind w:left="0" w:firstLine="643"/>
        <w:rPr>
          <w:rFonts w:ascii="仿宋_GB2312"/>
          <w:szCs w:val="32"/>
        </w:rPr>
      </w:pPr>
      <w:r>
        <w:rPr>
          <w:rFonts w:hint="eastAsia" w:ascii="仿宋_GB2312"/>
          <w:szCs w:val="32"/>
        </w:rPr>
        <w:t>与基层“四个平台”协同场景</w:t>
      </w:r>
    </w:p>
    <w:p>
      <w:pPr>
        <w:pStyle w:val="49"/>
        <w:ind w:firstLine="640"/>
        <w:rPr>
          <w:rFonts w:ascii="仿宋_GB2312"/>
          <w:szCs w:val="32"/>
        </w:rPr>
      </w:pPr>
      <w:r>
        <w:rPr>
          <w:rFonts w:hint="eastAsia" w:ascii="仿宋_GB2312"/>
          <w:szCs w:val="32"/>
        </w:rPr>
        <w:t>乡镇（街道）在组织日常巡查检查、投诉举报处置等过程中发现涉及特种设备问题时，通过行政执法平台发起协同处置工单，由县级市场监管部门进行现场处置，结果反馈至特种设备风险系统。</w:t>
      </w:r>
    </w:p>
    <w:p>
      <w:pPr>
        <w:pStyle w:val="15"/>
        <w:spacing w:before="0" w:beforeLines="0" w:after="0" w:afterLines="0" w:line="580" w:lineRule="exact"/>
        <w:ind w:firstLine="640"/>
        <w:rPr>
          <w:rFonts w:ascii="仿宋_GB2312"/>
          <w:sz w:val="32"/>
          <w:szCs w:val="32"/>
        </w:rPr>
      </w:pPr>
      <w:r>
        <w:rPr>
          <w:rFonts w:hint="eastAsia" w:ascii="仿宋_GB2312"/>
          <w:sz w:val="32"/>
          <w:szCs w:val="32"/>
        </w:rPr>
        <w:t>特种设备风险系统发现高风险特种设备或违法违规行为，但行政部门难以处置的，比如“三无电梯”（无物业单位、无维保单位、无专项维修资金）出现超期未检等违法行为，通过行政执法平台发起协同处置工单，由乡镇（街道）组织协调、处置。</w:t>
      </w:r>
    </w:p>
    <w:p>
      <w:pPr>
        <w:pStyle w:val="4"/>
        <w:numPr>
          <w:ilvl w:val="2"/>
          <w:numId w:val="45"/>
        </w:numPr>
        <w:spacing w:before="0" w:after="0" w:line="580" w:lineRule="exact"/>
        <w:ind w:left="0" w:firstLine="640"/>
        <w:rPr>
          <w:rFonts w:ascii="楷体_GB2312" w:eastAsia="楷体_GB2312"/>
        </w:rPr>
      </w:pPr>
      <w:bookmarkStart w:id="74" w:name="_Toc15524"/>
      <w:r>
        <w:rPr>
          <w:rFonts w:hint="eastAsia" w:ascii="楷体_GB2312" w:eastAsia="楷体_GB2312"/>
        </w:rPr>
        <w:t>一码通用</w:t>
      </w:r>
      <w:bookmarkEnd w:id="74"/>
    </w:p>
    <w:p>
      <w:pPr>
        <w:pStyle w:val="5"/>
        <w:numPr>
          <w:ilvl w:val="3"/>
          <w:numId w:val="55"/>
        </w:numPr>
        <w:ind w:left="0" w:firstLine="643"/>
        <w:rPr>
          <w:rFonts w:ascii="仿宋_GB2312"/>
          <w:szCs w:val="32"/>
        </w:rPr>
      </w:pPr>
      <w:r>
        <w:rPr>
          <w:rFonts w:hint="eastAsia" w:ascii="仿宋_GB2312"/>
          <w:szCs w:val="32"/>
        </w:rPr>
        <w:t>单位安全码</w:t>
      </w:r>
    </w:p>
    <w:p>
      <w:pPr>
        <w:ind w:firstLine="640"/>
      </w:pPr>
      <w:r>
        <w:rPr>
          <w:rFonts w:hint="eastAsia"/>
        </w:rPr>
        <w:t>依托“全省特种设备安全风险防范预警系统”研判出的使用单位风险等级赋予相应的安全码</w:t>
      </w:r>
      <w:r>
        <w:t>。</w:t>
      </w:r>
      <w:r>
        <w:rPr>
          <w:rFonts w:hint="eastAsia"/>
        </w:rPr>
        <w:t>安全码主要呈现在公共服务子系统里，即使用单位登陆公共服务子系统，可以查看该单位下的安全码等级。</w:t>
      </w:r>
    </w:p>
    <w:p>
      <w:pPr>
        <w:pStyle w:val="6"/>
        <w:numPr>
          <w:ilvl w:val="0"/>
          <w:numId w:val="56"/>
        </w:numPr>
        <w:ind w:left="0" w:firstLine="643"/>
        <w:rPr>
          <w:rFonts w:ascii="仿宋_GB2312"/>
          <w:b/>
          <w:szCs w:val="32"/>
        </w:rPr>
      </w:pPr>
      <w:r>
        <w:rPr>
          <w:rFonts w:hint="eastAsia" w:ascii="仿宋_GB2312"/>
          <w:b/>
          <w:szCs w:val="32"/>
        </w:rPr>
        <w:t>使用单位安全码红、黄、绿三色分级管理</w:t>
      </w:r>
    </w:p>
    <w:p>
      <w:pPr>
        <w:ind w:firstLine="640"/>
      </w:pPr>
      <w:r>
        <w:rPr>
          <w:rFonts w:hint="eastAsia"/>
        </w:rPr>
        <w:t>预警</w:t>
      </w:r>
      <w:r>
        <w:t>系统通过对特种设备使用单位经营状况、历史违法违规行为、监督检查信息、检验检测信息、分类评价信息、风险自查信息、负面舆情信息</w:t>
      </w:r>
      <w:r>
        <w:rPr>
          <w:rFonts w:hint="eastAsia"/>
        </w:rPr>
        <w:t>、企业设备情况、企业设备安全码分布、从业人员配比</w:t>
      </w:r>
      <w:r>
        <w:t>等数据的监测、分析、研判，</w:t>
      </w:r>
      <w:r>
        <w:rPr>
          <w:rFonts w:hint="eastAsia"/>
        </w:rPr>
        <w:t>实时动态识别使用单位风险等级。根据风险等级，定义使用单位安全码。</w:t>
      </w:r>
      <w:r>
        <w:t>高、中、</w:t>
      </w:r>
      <w:r>
        <w:rPr>
          <w:rFonts w:hint="eastAsia"/>
        </w:rPr>
        <w:t>低风险分别对应红、黄、绿三色安全码。</w:t>
      </w:r>
    </w:p>
    <w:p>
      <w:pPr>
        <w:pStyle w:val="6"/>
        <w:numPr>
          <w:ilvl w:val="0"/>
          <w:numId w:val="56"/>
        </w:numPr>
        <w:ind w:left="0" w:firstLine="643"/>
        <w:rPr>
          <w:rFonts w:ascii="仿宋_GB2312"/>
          <w:b/>
          <w:szCs w:val="32"/>
        </w:rPr>
      </w:pPr>
      <w:r>
        <w:rPr>
          <w:rFonts w:hint="eastAsia" w:ascii="仿宋_GB2312"/>
          <w:b/>
          <w:szCs w:val="32"/>
        </w:rPr>
        <w:t>安全码三色转换规则</w:t>
      </w:r>
    </w:p>
    <w:p>
      <w:pPr>
        <w:ind w:firstLine="643"/>
        <w:rPr>
          <w:rFonts w:ascii="仿宋_GB2312" w:hAnsi="仿宋_GB2312" w:cs="仿宋_GB2312"/>
          <w:szCs w:val="32"/>
        </w:rPr>
      </w:pPr>
      <w:r>
        <w:rPr>
          <w:rFonts w:hint="eastAsia" w:ascii="仿宋_GB2312" w:hAnsi="仿宋_GB2312" w:cs="仿宋_GB2312"/>
          <w:b/>
          <w:bCs/>
          <w:szCs w:val="32"/>
        </w:rPr>
        <w:t>红码转换为黄码或绿码，</w:t>
      </w:r>
      <w:r>
        <w:rPr>
          <w:rFonts w:hint="eastAsia" w:ascii="仿宋_GB2312" w:hAnsi="仿宋_GB2312" w:cs="仿宋_GB2312"/>
          <w:szCs w:val="32"/>
        </w:rPr>
        <w:t>单位被判定为红码后将会由相关单位进行执法处置，隐患解除后根据实际情况通过模型算法转为黄码或绿码。</w:t>
      </w:r>
    </w:p>
    <w:p>
      <w:pPr>
        <w:ind w:firstLine="643"/>
      </w:pPr>
      <w:r>
        <w:rPr>
          <w:rFonts w:hint="eastAsia" w:ascii="仿宋_GB2312" w:hAnsi="仿宋_GB2312" w:cs="仿宋_GB2312"/>
          <w:b/>
          <w:bCs/>
          <w:szCs w:val="32"/>
        </w:rPr>
        <w:t>黄码转换为绿码</w:t>
      </w:r>
      <w:r>
        <w:rPr>
          <w:rFonts w:hint="eastAsia" w:ascii="仿宋_GB2312" w:hAnsi="仿宋_GB2312" w:cs="仿宋_GB2312"/>
          <w:szCs w:val="32"/>
        </w:rPr>
        <w:t>，隐患解除后根据实际情况通过模型算法转为绿码。</w:t>
      </w:r>
    </w:p>
    <w:p>
      <w:pPr>
        <w:pStyle w:val="6"/>
        <w:numPr>
          <w:ilvl w:val="0"/>
          <w:numId w:val="56"/>
        </w:numPr>
        <w:ind w:left="0" w:firstLine="643"/>
        <w:rPr>
          <w:rFonts w:ascii="仿宋_GB2312"/>
          <w:b/>
          <w:szCs w:val="32"/>
        </w:rPr>
      </w:pPr>
      <w:r>
        <w:rPr>
          <w:rFonts w:hint="eastAsia" w:ascii="仿宋_GB2312"/>
          <w:b/>
          <w:szCs w:val="32"/>
        </w:rPr>
        <w:t>单位安全码使用场景</w:t>
      </w:r>
    </w:p>
    <w:p>
      <w:pPr>
        <w:ind w:firstLine="640"/>
        <w:jc w:val="left"/>
        <w:rPr>
          <w:rFonts w:hint="default" w:ascii="仿宋_GB2312" w:hAnsi="仿宋_GB2312" w:eastAsia="仿宋_GB2312" w:cs="仿宋_GB2312"/>
          <w:szCs w:val="32"/>
          <w:lang w:val="en-US" w:eastAsia="zh-CN"/>
        </w:rPr>
      </w:pPr>
      <w:r>
        <w:rPr>
          <w:rFonts w:hint="eastAsia" w:ascii="仿宋_GB2312" w:hAnsi="仿宋_GB2312" w:cs="仿宋_GB2312"/>
          <w:szCs w:val="32"/>
          <w:lang w:val="en-US" w:eastAsia="zh-CN"/>
        </w:rPr>
        <w:t>单位安全码主要可应用于监察人员与企业自身对自身安全风险情况的快速识别。可通过安全码快速查询该单位相关基础信息及安全风险信息，并针对当前安全情况进行相应处置管理。如：监察人员检查过程中进行扫码查看该单位相关信息，包括单位基本信息、单位风险情况、单位风险画像、单位内各风险等级设备数、分类评价、设备检验情况等信息，对单位进行详细了解。</w:t>
      </w:r>
    </w:p>
    <w:p>
      <w:pPr>
        <w:pStyle w:val="5"/>
        <w:numPr>
          <w:ilvl w:val="3"/>
          <w:numId w:val="55"/>
        </w:numPr>
        <w:ind w:left="0" w:firstLine="643"/>
        <w:rPr>
          <w:rFonts w:ascii="仿宋_GB2312"/>
          <w:szCs w:val="32"/>
        </w:rPr>
      </w:pPr>
      <w:r>
        <w:rPr>
          <w:rFonts w:hint="eastAsia" w:ascii="仿宋_GB2312"/>
          <w:szCs w:val="32"/>
        </w:rPr>
        <w:t>设备安全码</w:t>
      </w:r>
    </w:p>
    <w:p>
      <w:pPr>
        <w:ind w:firstLine="640"/>
        <w:rPr>
          <w:rFonts w:ascii="仿宋_GB2312" w:hAnsi="仿宋_GB2312" w:cs="仿宋_GB2312"/>
          <w:szCs w:val="32"/>
        </w:rPr>
      </w:pPr>
      <w:r>
        <w:rPr>
          <w:rFonts w:hint="eastAsia" w:ascii="仿宋_GB2312" w:hAnsi="仿宋_GB2312" w:cs="仿宋_GB2312"/>
          <w:szCs w:val="32"/>
        </w:rPr>
        <w:t>依托“全省特种设备安全风险防范预警系统</w:t>
      </w:r>
      <w:r>
        <w:rPr>
          <w:rFonts w:ascii="仿宋_GB2312" w:hAnsi="仿宋_GB2312" w:cs="仿宋_GB2312"/>
          <w:szCs w:val="32"/>
        </w:rPr>
        <w:t>”</w:t>
      </w:r>
      <w:r>
        <w:rPr>
          <w:rFonts w:hint="eastAsia" w:ascii="仿宋_GB2312" w:hAnsi="仿宋_GB2312" w:cs="仿宋_GB2312"/>
          <w:szCs w:val="32"/>
        </w:rPr>
        <w:t>研判出的风险等级赋予相应的安全码</w:t>
      </w:r>
      <w:r>
        <w:rPr>
          <w:rFonts w:ascii="仿宋_GB2312" w:hAnsi="仿宋_GB2312" w:cs="仿宋_GB2312"/>
          <w:szCs w:val="32"/>
        </w:rPr>
        <w:t>。</w:t>
      </w:r>
    </w:p>
    <w:p>
      <w:pPr>
        <w:pStyle w:val="6"/>
        <w:numPr>
          <w:ilvl w:val="0"/>
          <w:numId w:val="57"/>
        </w:numPr>
        <w:ind w:left="0" w:firstLine="643"/>
        <w:rPr>
          <w:rFonts w:ascii="仿宋_GB2312"/>
          <w:b/>
          <w:szCs w:val="32"/>
        </w:rPr>
      </w:pPr>
      <w:r>
        <w:rPr>
          <w:rFonts w:hint="eastAsia" w:ascii="仿宋_GB2312"/>
          <w:b/>
          <w:szCs w:val="32"/>
        </w:rPr>
        <w:t>使用设备安全码红、黄、绿三色分级管理</w:t>
      </w:r>
    </w:p>
    <w:p>
      <w:pPr>
        <w:ind w:firstLine="640"/>
        <w:rPr>
          <w:rStyle w:val="31"/>
        </w:rPr>
      </w:pPr>
      <w:r>
        <w:rPr>
          <w:rFonts w:hint="eastAsia" w:ascii="仿宋_GB2312" w:hAnsi="仿宋_GB2312" w:cs="仿宋_GB2312"/>
          <w:szCs w:val="32"/>
        </w:rPr>
        <w:t>根据设备监察、检验以及物联网数据等信息，结合计算模型分析研判设备风险情况，按照风险指数得分将设备风险分为高中低风险，对应</w:t>
      </w:r>
      <w:r>
        <w:rPr>
          <w:rFonts w:ascii="仿宋_GB2312" w:hAnsi="仿宋_GB2312" w:cs="仿宋_GB2312"/>
          <w:szCs w:val="32"/>
        </w:rPr>
        <w:t>红黄绿</w:t>
      </w:r>
      <w:r>
        <w:rPr>
          <w:rFonts w:hint="eastAsia" w:ascii="仿宋_GB2312" w:hAnsi="仿宋_GB2312" w:cs="仿宋_GB2312"/>
          <w:szCs w:val="32"/>
        </w:rPr>
        <w:t>三色码。</w:t>
      </w:r>
    </w:p>
    <w:p>
      <w:pPr>
        <w:ind w:firstLine="643"/>
        <w:jc w:val="left"/>
        <w:rPr>
          <w:rFonts w:ascii="仿宋_GB2312" w:hAnsi="仿宋_GB2312" w:cs="仿宋_GB2312"/>
          <w:szCs w:val="32"/>
        </w:rPr>
      </w:pPr>
      <w:r>
        <w:rPr>
          <w:rFonts w:hint="eastAsia" w:ascii="仿宋_GB2312" w:hAnsi="仿宋_GB2312" w:cs="仿宋_GB2312"/>
          <w:b/>
          <w:szCs w:val="32"/>
        </w:rPr>
        <w:t>红码：</w:t>
      </w:r>
      <w:r>
        <w:rPr>
          <w:rFonts w:hint="eastAsia" w:ascii="仿宋_GB2312" w:hAnsi="仿宋_GB2312" w:cs="仿宋_GB2312"/>
          <w:szCs w:val="32"/>
        </w:rPr>
        <w:t>当设备风险指数大于或等于</w:t>
      </w:r>
      <w:r>
        <w:rPr>
          <w:rFonts w:cs="Times New Roman"/>
          <w:szCs w:val="32"/>
        </w:rPr>
        <w:t>85</w:t>
      </w:r>
      <w:r>
        <w:rPr>
          <w:rFonts w:hint="eastAsia" w:ascii="仿宋_GB2312" w:hAnsi="仿宋_GB2312" w:cs="仿宋_GB2312"/>
          <w:szCs w:val="32"/>
        </w:rPr>
        <w:t>分及以上，设备将被判定为高风险设备，此时安全码将显示为红色，</w:t>
      </w:r>
      <w:r>
        <w:rPr>
          <w:rFonts w:ascii="仿宋_GB2312" w:hAnsi="仿宋_GB2312" w:cs="仿宋_GB2312"/>
          <w:szCs w:val="32"/>
        </w:rPr>
        <w:t>表明设备存在风险隐患的概率较高</w:t>
      </w:r>
      <w:r>
        <w:rPr>
          <w:rFonts w:hint="eastAsia" w:ascii="仿宋_GB2312" w:hAnsi="仿宋_GB2312" w:cs="仿宋_GB2312"/>
          <w:szCs w:val="32"/>
        </w:rPr>
        <w:t>。</w:t>
      </w:r>
    </w:p>
    <w:p>
      <w:pPr>
        <w:pStyle w:val="49"/>
        <w:ind w:firstLine="643"/>
        <w:jc w:val="left"/>
        <w:rPr>
          <w:rFonts w:ascii="仿宋_GB2312" w:hAnsi="仿宋_GB2312" w:cs="仿宋_GB2312"/>
          <w:szCs w:val="32"/>
        </w:rPr>
      </w:pPr>
      <w:r>
        <w:rPr>
          <w:rFonts w:hint="eastAsia" w:ascii="仿宋_GB2312" w:hAnsi="仿宋_GB2312" w:cs="仿宋_GB2312"/>
          <w:b/>
          <w:szCs w:val="32"/>
        </w:rPr>
        <w:t>黄码：</w:t>
      </w:r>
      <w:r>
        <w:rPr>
          <w:rFonts w:hint="eastAsia" w:ascii="仿宋_GB2312" w:hAnsi="仿宋_GB2312" w:cs="仿宋_GB2312"/>
          <w:szCs w:val="32"/>
        </w:rPr>
        <w:t>当设备风险指数在</w:t>
      </w:r>
      <w:r>
        <w:rPr>
          <w:rFonts w:cs="Times New Roman"/>
          <w:szCs w:val="32"/>
        </w:rPr>
        <w:t>60</w:t>
      </w:r>
      <w:r>
        <w:rPr>
          <w:rFonts w:hint="eastAsia" w:ascii="仿宋_GB2312" w:hAnsi="仿宋_GB2312" w:cs="仿宋_GB2312"/>
          <w:szCs w:val="32"/>
        </w:rPr>
        <w:t>分至</w:t>
      </w:r>
      <w:r>
        <w:rPr>
          <w:rFonts w:cs="Times New Roman"/>
          <w:szCs w:val="32"/>
        </w:rPr>
        <w:t>85</w:t>
      </w:r>
      <w:r>
        <w:rPr>
          <w:rFonts w:hint="eastAsia" w:ascii="仿宋_GB2312" w:hAnsi="仿宋_GB2312" w:cs="仿宋_GB2312"/>
          <w:szCs w:val="32"/>
        </w:rPr>
        <w:t>分之间，设备将被判定为中风险设备，安全码将显示为黄色，表明设备存在风险隐患的概率中等。</w:t>
      </w:r>
    </w:p>
    <w:p>
      <w:pPr>
        <w:ind w:firstLine="643"/>
      </w:pPr>
      <w:r>
        <w:rPr>
          <w:rFonts w:hint="eastAsia" w:ascii="仿宋_GB2312" w:hAnsi="仿宋_GB2312" w:cs="仿宋_GB2312"/>
          <w:b/>
          <w:szCs w:val="32"/>
        </w:rPr>
        <w:t>绿码：</w:t>
      </w:r>
      <w:r>
        <w:rPr>
          <w:rFonts w:ascii="仿宋_GB2312" w:hAnsi="仿宋_GB2312" w:cs="仿宋_GB2312"/>
          <w:szCs w:val="32"/>
        </w:rPr>
        <w:t>设备风险指数在</w:t>
      </w:r>
      <w:r>
        <w:rPr>
          <w:rFonts w:eastAsia="宋体" w:cs="Times New Roman"/>
          <w:szCs w:val="32"/>
        </w:rPr>
        <w:t>60</w:t>
      </w:r>
      <w:r>
        <w:rPr>
          <w:rFonts w:ascii="仿宋_GB2312" w:hAnsi="仿宋_GB2312" w:cs="仿宋_GB2312"/>
          <w:szCs w:val="32"/>
        </w:rPr>
        <w:t>分以下</w:t>
      </w:r>
      <w:r>
        <w:rPr>
          <w:rFonts w:hint="eastAsia" w:ascii="仿宋_GB2312" w:hAnsi="仿宋_GB2312" w:cs="仿宋_GB2312"/>
          <w:szCs w:val="32"/>
        </w:rPr>
        <w:t>，设备将被判定为低风险设备，安全码将显示为绿色，表明设备存在风险隐患的概率较低。</w:t>
      </w:r>
    </w:p>
    <w:p>
      <w:pPr>
        <w:pStyle w:val="6"/>
        <w:numPr>
          <w:ilvl w:val="0"/>
          <w:numId w:val="57"/>
        </w:numPr>
        <w:ind w:left="0" w:firstLine="643"/>
        <w:rPr>
          <w:rFonts w:ascii="仿宋_GB2312"/>
          <w:b/>
          <w:szCs w:val="32"/>
        </w:rPr>
      </w:pPr>
      <w:r>
        <w:rPr>
          <w:rFonts w:hint="eastAsia" w:ascii="仿宋_GB2312"/>
          <w:b/>
          <w:szCs w:val="32"/>
        </w:rPr>
        <w:t>设备安全码使用规则</w:t>
      </w:r>
    </w:p>
    <w:p>
      <w:pPr>
        <w:jc w:val="left"/>
        <w:rPr>
          <w:rFonts w:hint="eastAsia" w:ascii="仿宋_GB2312" w:hAnsi="仿宋_GB2312" w:cs="仿宋_GB2312"/>
          <w:szCs w:val="32"/>
          <w:lang w:val="en-US" w:eastAsia="zh-CN"/>
        </w:rPr>
      </w:pPr>
      <w:r>
        <w:rPr>
          <w:rFonts w:hint="eastAsia" w:ascii="仿宋_GB2312" w:hAnsi="仿宋_GB2312" w:cs="仿宋_GB2312"/>
          <w:szCs w:val="32"/>
          <w:lang w:val="en-US" w:eastAsia="zh-CN"/>
        </w:rPr>
        <w:t>设备二维码将在系统内设备信息页面进行呈现，并打印于设备使用标志上，进行呈现。</w:t>
      </w:r>
    </w:p>
    <w:p>
      <w:pPr>
        <w:jc w:val="left"/>
        <w:rPr>
          <w:rFonts w:hint="default" w:ascii="仿宋_GB2312" w:hAnsi="仿宋_GB2312" w:cs="仿宋_GB2312"/>
          <w:szCs w:val="32"/>
          <w:lang w:val="en-US" w:eastAsia="zh-CN"/>
        </w:rPr>
      </w:pPr>
      <w:r>
        <w:rPr>
          <w:rFonts w:hint="eastAsia" w:ascii="仿宋_GB2312" w:hAnsi="仿宋_GB2312" w:cs="仿宋_GB2312"/>
          <w:szCs w:val="32"/>
          <w:lang w:val="en-US" w:eastAsia="zh-CN"/>
        </w:rPr>
        <w:t>在监管或企业查看设备信息时快速识别设备当前风险状态并了解设备风险信息，并可扫码获取更多设备相关信息。</w:t>
      </w:r>
    </w:p>
    <w:p>
      <w:pPr>
        <w:ind w:firstLine="640"/>
        <w:jc w:val="left"/>
        <w:rPr>
          <w:rFonts w:ascii="仿宋_GB2312" w:hAnsi="仿宋_GB2312" w:cs="仿宋_GB2312"/>
          <w:szCs w:val="32"/>
        </w:rPr>
      </w:pPr>
      <w:r>
        <w:rPr>
          <w:rFonts w:hint="eastAsia" w:ascii="仿宋_GB2312" w:hAnsi="仿宋_GB2312" w:cs="仿宋_GB2312"/>
          <w:szCs w:val="32"/>
          <w:lang w:val="en-US" w:eastAsia="zh-CN"/>
        </w:rPr>
        <w:t>同时设备安全码还将</w:t>
      </w:r>
      <w:r>
        <w:rPr>
          <w:rFonts w:ascii="仿宋_GB2312" w:hAnsi="仿宋_GB2312" w:cs="仿宋_GB2312"/>
          <w:szCs w:val="32"/>
        </w:rPr>
        <w:t>应用在特种设备使用标志上的二维码区域特种设备相关人员、公众等只需手机扫扫使用标志上的二维码，即可看到设备当前健康码的颜色（绿、黄、红），以及设备的基础信息，检验情况等信息。如以下为特种设备使用标志图，标志图上已明确二维码的打印区域：</w:t>
      </w:r>
    </w:p>
    <w:p>
      <w:pPr>
        <w:ind w:firstLine="640"/>
        <w:jc w:val="left"/>
        <w:rPr>
          <w:rFonts w:ascii="仿宋_GB2312" w:hAnsi="仿宋_GB2312" w:cs="仿宋_GB2312"/>
          <w:szCs w:val="32"/>
        </w:rPr>
      </w:pPr>
      <w:r>
        <w:rPr>
          <w:szCs w:val="32"/>
        </w:rPr>
        <w:drawing>
          <wp:anchor distT="0" distB="0" distL="0" distR="0" simplePos="0" relativeHeight="251634688" behindDoc="0" locked="0" layoutInCell="1" allowOverlap="1">
            <wp:simplePos x="0" y="0"/>
            <wp:positionH relativeFrom="column">
              <wp:posOffset>431800</wp:posOffset>
            </wp:positionH>
            <wp:positionV relativeFrom="paragraph">
              <wp:posOffset>93345</wp:posOffset>
            </wp:positionV>
            <wp:extent cx="3514090" cy="3056255"/>
            <wp:effectExtent l="0" t="0" r="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0"/>
                    <a:stretch>
                      <a:fillRect/>
                    </a:stretch>
                  </pic:blipFill>
                  <pic:spPr>
                    <a:xfrm>
                      <a:off x="0" y="0"/>
                      <a:ext cx="3541140" cy="3079487"/>
                    </a:xfrm>
                    <a:prstGeom prst="rect">
                      <a:avLst/>
                    </a:prstGeom>
                  </pic:spPr>
                </pic:pic>
              </a:graphicData>
            </a:graphic>
          </wp:anchor>
        </w:drawing>
      </w:r>
    </w:p>
    <w:p>
      <w:pPr>
        <w:pStyle w:val="6"/>
        <w:numPr>
          <w:ilvl w:val="0"/>
          <w:numId w:val="57"/>
        </w:numPr>
        <w:ind w:left="0" w:firstLine="643"/>
        <w:rPr>
          <w:rFonts w:ascii="仿宋_GB2312"/>
          <w:b/>
          <w:szCs w:val="32"/>
        </w:rPr>
      </w:pPr>
      <w:r>
        <w:rPr>
          <w:rFonts w:hint="eastAsia" w:ascii="仿宋_GB2312"/>
          <w:b/>
          <w:szCs w:val="32"/>
        </w:rPr>
        <w:t>设备安全码使用场景</w:t>
      </w:r>
    </w:p>
    <w:p>
      <w:pPr>
        <w:pStyle w:val="49"/>
        <w:ind w:firstLine="643"/>
        <w:rPr>
          <w:rFonts w:ascii="仿宋_GB2312" w:hAnsi="仿宋_GB2312" w:cs="仿宋_GB2312"/>
          <w:szCs w:val="32"/>
        </w:rPr>
      </w:pPr>
      <w:r>
        <w:rPr>
          <w:rFonts w:hint="eastAsia" w:ascii="仿宋_GB2312" w:hAnsi="仿宋_GB2312" w:cs="仿宋_GB2312"/>
          <w:b/>
          <w:szCs w:val="32"/>
        </w:rPr>
        <w:t>公众应用场景：</w:t>
      </w:r>
      <w:r>
        <w:rPr>
          <w:rFonts w:hint="eastAsia" w:ascii="仿宋_GB2312" w:hAnsi="仿宋_GB2312" w:cs="仿宋_GB2312"/>
          <w:szCs w:val="32"/>
        </w:rPr>
        <w:t>扫扫设备上的二维码，可以浏览该台设备的、风险等级、基本信息、检验信息、通知公告、使用反馈等。</w:t>
      </w:r>
    </w:p>
    <w:p>
      <w:pPr>
        <w:ind w:firstLine="643"/>
        <w:rPr>
          <w:rFonts w:ascii="仿宋_GB2312" w:hAnsi="仿宋_GB2312" w:cs="仿宋_GB2312"/>
          <w:szCs w:val="32"/>
        </w:rPr>
      </w:pPr>
      <w:r>
        <w:rPr>
          <w:rFonts w:hint="eastAsia" w:ascii="仿宋_GB2312" w:hAnsi="仿宋_GB2312" w:cs="仿宋_GB2312"/>
          <w:b/>
          <w:szCs w:val="32"/>
        </w:rPr>
        <w:t>监察人员应用：</w:t>
      </w:r>
      <w:r>
        <w:rPr>
          <w:rFonts w:hint="eastAsia" w:ascii="仿宋_GB2312" w:hAnsi="仿宋_GB2312" w:cs="仿宋_GB2312"/>
          <w:szCs w:val="32"/>
        </w:rPr>
        <w:t>扫扫设备上的二维码，可以浏览该台设备的基本信息、风险等级、风险报告、设备的全生命追溯信息、检验信息（历史检验信息）、设备的分类评价信息、日志排查信息等。</w:t>
      </w:r>
    </w:p>
    <w:p>
      <w:pPr>
        <w:ind w:firstLine="643"/>
        <w:rPr>
          <w:rFonts w:ascii="仿宋_GB2312" w:hAnsi="仿宋_GB2312" w:cs="仿宋_GB2312"/>
          <w:szCs w:val="32"/>
        </w:rPr>
      </w:pPr>
      <w:r>
        <w:rPr>
          <w:rFonts w:hint="eastAsia" w:ascii="仿宋_GB2312" w:hAnsi="仿宋_GB2312" w:cs="仿宋_GB2312"/>
          <w:b/>
          <w:szCs w:val="32"/>
        </w:rPr>
        <w:t>检验人员应用：</w:t>
      </w:r>
      <w:r>
        <w:rPr>
          <w:rFonts w:hint="eastAsia" w:ascii="仿宋_GB2312" w:hAnsi="仿宋_GB2312" w:cs="仿宋_GB2312"/>
          <w:szCs w:val="32"/>
        </w:rPr>
        <w:t>扫描设备上的二维码，可以浏览该台设备的基本信息、风险等级、风险报告、设备的全生命追溯信息、检验信息（历史检验信息）等利于检验的更详细的信息。</w:t>
      </w:r>
    </w:p>
    <w:p>
      <w:pPr>
        <w:pStyle w:val="5"/>
        <w:numPr>
          <w:ilvl w:val="3"/>
          <w:numId w:val="55"/>
        </w:numPr>
        <w:ind w:left="0" w:firstLine="643"/>
        <w:rPr>
          <w:rFonts w:ascii="仿宋_GB2312"/>
          <w:szCs w:val="32"/>
        </w:rPr>
      </w:pPr>
      <w:r>
        <w:rPr>
          <w:rFonts w:hint="eastAsia" w:ascii="仿宋_GB2312"/>
          <w:szCs w:val="32"/>
        </w:rPr>
        <w:t>人员安全码</w:t>
      </w:r>
    </w:p>
    <w:p>
      <w:pPr>
        <w:ind w:firstLine="640"/>
        <w:rPr>
          <w:rFonts w:ascii="仿宋_GB2312" w:hAnsi="仿宋_GB2312" w:cs="仿宋_GB2312"/>
          <w:szCs w:val="32"/>
        </w:rPr>
      </w:pPr>
      <w:r>
        <w:rPr>
          <w:rFonts w:hint="eastAsia" w:ascii="仿宋_GB2312" w:hAnsi="仿宋_GB2312" w:cs="仿宋_GB2312"/>
          <w:szCs w:val="32"/>
        </w:rPr>
        <w:t>人员安全码依托于作业人员持证情况与单位关联情况。通过人员持证情况及单位关联等进行设备作业权限的区分管理。</w:t>
      </w:r>
    </w:p>
    <w:p>
      <w:pPr>
        <w:pStyle w:val="6"/>
        <w:numPr>
          <w:ilvl w:val="0"/>
          <w:numId w:val="58"/>
        </w:numPr>
        <w:ind w:left="0" w:firstLine="643"/>
        <w:rPr>
          <w:rFonts w:ascii="仿宋_GB2312"/>
          <w:b/>
          <w:szCs w:val="32"/>
        </w:rPr>
      </w:pPr>
      <w:r>
        <w:rPr>
          <w:rFonts w:hint="eastAsia" w:ascii="仿宋_GB2312"/>
          <w:b/>
          <w:szCs w:val="32"/>
        </w:rPr>
        <w:t>作业人员安全码红、黄、绿三色分级管理</w:t>
      </w:r>
    </w:p>
    <w:p>
      <w:pPr>
        <w:ind w:firstLine="643"/>
        <w:rPr>
          <w:b/>
        </w:rPr>
      </w:pPr>
      <w:r>
        <w:rPr>
          <w:rFonts w:hint="eastAsia"/>
          <w:b/>
        </w:rPr>
        <w:t>红码：</w:t>
      </w:r>
      <w:r>
        <w:rPr>
          <w:rFonts w:hint="eastAsia"/>
        </w:rPr>
        <w:t>持证异常人员，如无证人员、持证过期、证书吊销等非有效作业人员。</w:t>
      </w:r>
    </w:p>
    <w:p>
      <w:pPr>
        <w:ind w:firstLine="643"/>
      </w:pPr>
      <w:r>
        <w:rPr>
          <w:rFonts w:hint="eastAsia"/>
          <w:b/>
        </w:rPr>
        <w:t>黄码：</w:t>
      </w:r>
      <w:r>
        <w:rPr>
          <w:rFonts w:hint="eastAsia"/>
        </w:rPr>
        <w:t>无权对该设备进行操作权限。人员持证，但非本单位关联作业人员，对设备操作需经加强管理。</w:t>
      </w:r>
    </w:p>
    <w:p>
      <w:pPr>
        <w:ind w:firstLine="643"/>
      </w:pPr>
      <w:r>
        <w:rPr>
          <w:rFonts w:hint="eastAsia"/>
          <w:b/>
        </w:rPr>
        <w:t>绿码：</w:t>
      </w:r>
      <w:r>
        <w:rPr>
          <w:rFonts w:hint="eastAsia"/>
        </w:rPr>
        <w:t>正常，表示当前作业人员证书有效、未违反《作业人员监督管理办法》中相关的条例等，可以对该设备进行作业。</w:t>
      </w:r>
    </w:p>
    <w:p>
      <w:pPr>
        <w:pStyle w:val="6"/>
        <w:numPr>
          <w:ilvl w:val="0"/>
          <w:numId w:val="58"/>
        </w:numPr>
        <w:ind w:left="0" w:firstLine="643"/>
        <w:rPr>
          <w:rFonts w:ascii="仿宋_GB2312"/>
          <w:b/>
          <w:szCs w:val="32"/>
        </w:rPr>
      </w:pPr>
      <w:r>
        <w:rPr>
          <w:rFonts w:hint="eastAsia" w:ascii="仿宋_GB2312"/>
          <w:b/>
          <w:szCs w:val="32"/>
        </w:rPr>
        <w:t>作业人员安全码使用场景</w:t>
      </w:r>
    </w:p>
    <w:p>
      <w:pPr>
        <w:ind w:firstLine="643"/>
        <w:rPr>
          <w:b/>
        </w:rPr>
      </w:pPr>
      <w:r>
        <w:rPr>
          <w:rFonts w:hint="eastAsia"/>
          <w:b/>
        </w:rPr>
        <w:t>扫码上岗：首先</w:t>
      </w:r>
      <w:r>
        <w:rPr>
          <w:rFonts w:hint="eastAsia"/>
        </w:rPr>
        <w:t>对每家使用单位的每台特种设备进行赋码，形成特种设备安全码贴于设备上；</w:t>
      </w:r>
      <w:r>
        <w:rPr>
          <w:rFonts w:hint="eastAsia"/>
          <w:b/>
        </w:rPr>
        <w:t>然后</w:t>
      </w:r>
      <w:r>
        <w:rPr>
          <w:rFonts w:hint="eastAsia"/>
        </w:rPr>
        <w:t>作业人员通过浙里办或支付宝等实名认证后（人员信息与单位和持证情况进行关联），打通与作业人员考试发证系统进行验证，并与使用单位及作业项目匹配的特种设备关联；</w:t>
      </w:r>
      <w:r>
        <w:rPr>
          <w:rFonts w:hint="eastAsia"/>
          <w:b/>
        </w:rPr>
        <w:t>最后</w:t>
      </w:r>
      <w:r>
        <w:rPr>
          <w:rFonts w:hint="eastAsia"/>
        </w:rPr>
        <w:t>持证作业人员通过扫设备二维码开展上岗作业、日常排查，故障记录、维修上报等工作。</w:t>
      </w:r>
    </w:p>
    <w:p>
      <w:pPr>
        <w:ind w:firstLine="643"/>
      </w:pPr>
      <w:r>
        <w:rPr>
          <w:rFonts w:hint="eastAsia"/>
          <w:b/>
        </w:rPr>
        <w:t>上码上岗使用的特种设备类型有：</w:t>
      </w:r>
      <w:r>
        <w:rPr>
          <w:rFonts w:hint="eastAsia"/>
        </w:rPr>
        <w:t>大型游乐设施、索道、场（厂）内专用机动车辆、锅炉、移动式压力容器、大型起重机械。</w:t>
      </w:r>
    </w:p>
    <w:p>
      <w:pPr>
        <w:pStyle w:val="3"/>
        <w:numPr>
          <w:ilvl w:val="1"/>
          <w:numId w:val="6"/>
        </w:numPr>
        <w:ind w:firstLine="640"/>
      </w:pPr>
      <w:bookmarkStart w:id="75" w:name="_Toc30290"/>
      <w:bookmarkStart w:id="76" w:name="_Toc4077"/>
      <w:bookmarkStart w:id="77" w:name="_Toc10572"/>
      <w:r>
        <w:rPr>
          <w:rFonts w:hint="eastAsia" w:ascii="黑体" w:hAnsi="黑体"/>
          <w:b w:val="0"/>
        </w:rPr>
        <w:t>八个智控应用场景</w:t>
      </w:r>
      <w:bookmarkEnd w:id="75"/>
      <w:bookmarkEnd w:id="76"/>
      <w:bookmarkEnd w:id="77"/>
    </w:p>
    <w:p>
      <w:pPr>
        <w:pStyle w:val="4"/>
        <w:numPr>
          <w:ilvl w:val="2"/>
          <w:numId w:val="59"/>
        </w:numPr>
        <w:spacing w:before="0" w:after="0" w:line="580" w:lineRule="exact"/>
        <w:ind w:left="0" w:firstLine="640"/>
        <w:rPr>
          <w:rFonts w:ascii="楷体_GB2312" w:eastAsia="楷体_GB2312"/>
        </w:rPr>
      </w:pPr>
      <w:bookmarkStart w:id="78" w:name="_Toc48060210"/>
      <w:bookmarkStart w:id="79" w:name="_Toc6343"/>
      <w:bookmarkStart w:id="80" w:name="_Toc21881"/>
      <w:r>
        <w:rPr>
          <w:rFonts w:hint="eastAsia" w:ascii="楷体_GB2312" w:eastAsia="楷体_GB2312"/>
        </w:rPr>
        <w:t>锅炉风险智控应用场景</w:t>
      </w:r>
      <w:bookmarkEnd w:id="78"/>
      <w:bookmarkEnd w:id="79"/>
      <w:bookmarkEnd w:id="80"/>
    </w:p>
    <w:p>
      <w:pPr>
        <w:pStyle w:val="5"/>
        <w:numPr>
          <w:ilvl w:val="3"/>
          <w:numId w:val="60"/>
        </w:numPr>
        <w:ind w:left="0" w:firstLine="643"/>
        <w:rPr>
          <w:rFonts w:ascii="仿宋_GB2312"/>
          <w:szCs w:val="32"/>
        </w:rPr>
      </w:pPr>
      <w:bookmarkStart w:id="81" w:name="_Toc21779"/>
      <w:bookmarkStart w:id="82" w:name="_Toc20999"/>
      <w:r>
        <w:rPr>
          <w:rFonts w:hint="eastAsia" w:ascii="仿宋_GB2312"/>
          <w:szCs w:val="32"/>
        </w:rPr>
        <w:t>功能描述</w:t>
      </w:r>
      <w:bookmarkEnd w:id="81"/>
      <w:bookmarkEnd w:id="82"/>
    </w:p>
    <w:p>
      <w:pPr>
        <w:ind w:firstLine="640"/>
      </w:pPr>
      <w:r>
        <w:rPr>
          <w:rFonts w:hint="eastAsia"/>
        </w:rPr>
        <w:t>运用物联网、人工智能、大数据等现代信息技术，及时掌握锅炉的安全状况，推进锅炉超压运行隐患处置、蒸汽锅炉缺水运行隐患处置、有机热载体锅炉（热水锅炉）超温运行隐患处置，增加使用单位隐患处置及时率，增加锅炉安全监管工作效率。</w:t>
      </w:r>
    </w:p>
    <w:p>
      <w:pPr>
        <w:pStyle w:val="5"/>
        <w:numPr>
          <w:ilvl w:val="3"/>
          <w:numId w:val="60"/>
        </w:numPr>
        <w:ind w:left="0" w:firstLine="643"/>
        <w:rPr>
          <w:rFonts w:ascii="仿宋_GB2312"/>
          <w:szCs w:val="32"/>
        </w:rPr>
      </w:pPr>
      <w:bookmarkStart w:id="83" w:name="_Toc14607"/>
      <w:bookmarkStart w:id="84" w:name="_Toc1349"/>
      <w:r>
        <w:rPr>
          <w:rFonts w:hint="eastAsia" w:ascii="仿宋_GB2312"/>
          <w:szCs w:val="32"/>
        </w:rPr>
        <w:t>业务内容</w:t>
      </w:r>
      <w:bookmarkEnd w:id="83"/>
      <w:bookmarkEnd w:id="84"/>
    </w:p>
    <w:p>
      <w:pPr>
        <w:ind w:firstLine="640"/>
        <w:rPr>
          <w:rFonts w:ascii="仿宋_GB2312" w:hAnsi="仿宋"/>
          <w:szCs w:val="32"/>
        </w:rPr>
      </w:pPr>
      <w:r>
        <w:rPr>
          <w:rFonts w:hint="eastAsia" w:ascii="仿宋_GB2312" w:hAnsi="仿宋"/>
          <w:szCs w:val="32"/>
        </w:rPr>
        <w:t>在锅炉现场安装物联网网关装置。该装置负责采集锅炉运行数据和锅炉报警、故障信号。</w:t>
      </w:r>
    </w:p>
    <w:p>
      <w:pPr>
        <w:pStyle w:val="6"/>
        <w:numPr>
          <w:ilvl w:val="0"/>
          <w:numId w:val="61"/>
        </w:numPr>
        <w:ind w:left="0" w:firstLine="640"/>
        <w:rPr>
          <w:rFonts w:ascii="仿宋_GB2312"/>
          <w:szCs w:val="32"/>
        </w:rPr>
      </w:pPr>
      <w:r>
        <w:rPr>
          <w:rFonts w:hint="eastAsia" w:ascii="仿宋_GB2312"/>
          <w:szCs w:val="32"/>
        </w:rPr>
        <w:t>超压运行隐患处置</w:t>
      </w:r>
    </w:p>
    <w:p>
      <w:pPr>
        <w:ind w:firstLine="640"/>
        <w:rPr>
          <w:rFonts w:ascii="仿宋_GB2312" w:hAnsi="仿宋"/>
          <w:szCs w:val="32"/>
        </w:rPr>
      </w:pPr>
      <w:r>
        <w:rPr>
          <w:rFonts w:hint="eastAsia" w:ascii="仿宋_GB2312" w:hAnsi="仿宋"/>
          <w:szCs w:val="32"/>
        </w:rPr>
        <w:t>物联网网关装置实时采集锅炉主工质运行压力，并将运行压力数据发送至锅炉风险智控前置服务器（物联网服务器）。锅炉风险智控前置服务器将主工质运行压力根据要求的间隔上传至锅炉风险智控服务器。</w:t>
      </w:r>
    </w:p>
    <w:p>
      <w:pPr>
        <w:ind w:firstLine="640"/>
        <w:rPr>
          <w:rFonts w:ascii="仿宋_GB2312" w:hAnsi="仿宋"/>
          <w:szCs w:val="32"/>
        </w:rPr>
      </w:pPr>
      <w:r>
        <w:rPr>
          <w:rFonts w:hint="eastAsia" w:ascii="仿宋_GB2312" w:hAnsi="仿宋"/>
          <w:szCs w:val="32"/>
        </w:rPr>
        <w:t>当锅炉发生超压报警信号，物联网网关装置接收相应超压报警信号，发送至锅炉风险智控前置服务器（物联网服务器）。锅炉风险智控前置服务器将超压报警信号实时上传至至锅炉风险智控服务器。</w:t>
      </w:r>
    </w:p>
    <w:p>
      <w:pPr>
        <w:ind w:firstLine="640"/>
        <w:rPr>
          <w:rFonts w:ascii="仿宋_GB2312" w:hAnsi="仿宋"/>
          <w:szCs w:val="32"/>
        </w:rPr>
      </w:pPr>
      <w:r>
        <w:rPr>
          <w:rFonts w:hint="eastAsia" w:ascii="仿宋_GB2312" w:hAnsi="仿宋"/>
          <w:szCs w:val="32"/>
        </w:rPr>
        <w:t>锅炉风险智控服务器收到锅炉超压报警信号或者接收到运行压力数值超过预先设定运行压力风险阈值情况时，锅炉风险智控服务器根据风险等级通过短信，电话网络通知使用单位不同级别人员进行超压运行隐患处置。</w:t>
      </w:r>
    </w:p>
    <w:p>
      <w:pPr>
        <w:pStyle w:val="6"/>
        <w:numPr>
          <w:ilvl w:val="0"/>
          <w:numId w:val="61"/>
        </w:numPr>
        <w:ind w:left="0" w:firstLine="640"/>
        <w:rPr>
          <w:rFonts w:ascii="仿宋_GB2312"/>
          <w:szCs w:val="32"/>
        </w:rPr>
      </w:pPr>
      <w:r>
        <w:rPr>
          <w:rFonts w:hint="eastAsia" w:ascii="仿宋_GB2312"/>
          <w:szCs w:val="32"/>
        </w:rPr>
        <w:t>蒸汽锅炉缺水运行隐患处置</w:t>
      </w:r>
    </w:p>
    <w:p>
      <w:pPr>
        <w:ind w:firstLine="640"/>
        <w:rPr>
          <w:rFonts w:ascii="仿宋_GB2312" w:hAnsi="仿宋"/>
          <w:szCs w:val="32"/>
        </w:rPr>
      </w:pPr>
      <w:r>
        <w:rPr>
          <w:rFonts w:hint="eastAsia" w:ascii="仿宋_GB2312" w:hAnsi="仿宋"/>
          <w:szCs w:val="32"/>
        </w:rPr>
        <w:t>当锅炉发生高、低水位报警信号，物联网网关装置接收相应水位报警信号，发送至锅炉风险智控前置服务器（物联网服务器）。锅炉风险智控前置服务器将水位报警信号实时上传至至锅炉风险智控服务器。</w:t>
      </w:r>
    </w:p>
    <w:p>
      <w:pPr>
        <w:ind w:firstLine="640"/>
        <w:rPr>
          <w:rFonts w:ascii="仿宋_GB2312" w:hAnsi="仿宋"/>
          <w:szCs w:val="32"/>
        </w:rPr>
      </w:pPr>
      <w:r>
        <w:rPr>
          <w:rFonts w:hint="eastAsia" w:ascii="仿宋_GB2312" w:hAnsi="仿宋"/>
          <w:szCs w:val="32"/>
        </w:rPr>
        <w:t>锅炉风险智控服务器收到锅炉水位报警信号时，锅炉风险智控服务器根据风险等级通过短信，电话网络通知使用单位不同级别人员进行锅炉缺水运行隐患处置。</w:t>
      </w:r>
    </w:p>
    <w:p>
      <w:pPr>
        <w:pStyle w:val="6"/>
        <w:numPr>
          <w:ilvl w:val="0"/>
          <w:numId w:val="61"/>
        </w:numPr>
        <w:ind w:left="0" w:firstLine="640"/>
        <w:rPr>
          <w:rFonts w:ascii="仿宋_GB2312"/>
          <w:szCs w:val="32"/>
        </w:rPr>
      </w:pPr>
      <w:r>
        <w:rPr>
          <w:rFonts w:hint="eastAsia" w:ascii="仿宋_GB2312"/>
          <w:szCs w:val="32"/>
        </w:rPr>
        <w:t>有机热载体锅炉（热水锅炉）超温运行隐患处置</w:t>
      </w:r>
    </w:p>
    <w:p>
      <w:pPr>
        <w:ind w:firstLine="640"/>
        <w:rPr>
          <w:rFonts w:ascii="仿宋_GB2312" w:hAnsi="仿宋"/>
          <w:szCs w:val="32"/>
        </w:rPr>
      </w:pPr>
      <w:r>
        <w:rPr>
          <w:rFonts w:hint="eastAsia" w:ascii="仿宋_GB2312" w:hAnsi="仿宋"/>
          <w:szCs w:val="32"/>
        </w:rPr>
        <w:t>物联网网关装置实时采集锅炉主工质运行温度，并将运行温度数据发送至锅炉风险智控前置服务器（物联网服务器）。锅炉风险智控前置服务器将主工质运行温度根据要求的间隔上传至锅炉风险智控服务器。</w:t>
      </w:r>
    </w:p>
    <w:p>
      <w:pPr>
        <w:ind w:firstLine="640"/>
        <w:rPr>
          <w:rFonts w:ascii="仿宋_GB2312" w:hAnsi="仿宋"/>
          <w:szCs w:val="32"/>
        </w:rPr>
      </w:pPr>
      <w:r>
        <w:rPr>
          <w:rFonts w:hint="eastAsia" w:ascii="仿宋_GB2312" w:hAnsi="仿宋"/>
          <w:szCs w:val="32"/>
        </w:rPr>
        <w:t>当锅炉发生超温报警信号，物联网网关装置接收相应超温报警信号，发送至锅炉风险智控前置服务器（物联网服务器）。锅炉风险智控前置服务器将超温报警信号实时上传至至锅炉风险智控服务器。</w:t>
      </w:r>
    </w:p>
    <w:p>
      <w:pPr>
        <w:ind w:firstLine="640"/>
        <w:rPr>
          <w:rFonts w:ascii="仿宋_GB2312" w:hAnsi="仿宋"/>
          <w:szCs w:val="32"/>
        </w:rPr>
      </w:pPr>
      <w:r>
        <w:rPr>
          <w:rFonts w:hint="eastAsia" w:ascii="仿宋_GB2312" w:hAnsi="仿宋"/>
          <w:szCs w:val="32"/>
        </w:rPr>
        <w:t>锅炉风险智控服务器收到锅炉超温报警信号或者接受到运行温度数值超过预先设定运行温度风险阈值情况时，锅炉风险智控服务器根据风险等级通过短信，电话网络通知使用单位不同级别人员进行超压运行隐患处置。</w:t>
      </w:r>
    </w:p>
    <w:p>
      <w:pPr>
        <w:pStyle w:val="6"/>
        <w:numPr>
          <w:ilvl w:val="0"/>
          <w:numId w:val="61"/>
        </w:numPr>
        <w:ind w:left="0" w:firstLine="640"/>
        <w:rPr>
          <w:rFonts w:ascii="仿宋_GB2312"/>
          <w:szCs w:val="32"/>
        </w:rPr>
      </w:pPr>
      <w:r>
        <w:rPr>
          <w:rFonts w:hint="eastAsia" w:ascii="仿宋_GB2312"/>
          <w:szCs w:val="32"/>
        </w:rPr>
        <w:t>锅炉信息公示查询</w:t>
      </w:r>
    </w:p>
    <w:p>
      <w:pPr>
        <w:ind w:firstLine="640"/>
        <w:rPr>
          <w:rFonts w:ascii="仿宋_GB2312" w:hAnsi="仿宋"/>
          <w:szCs w:val="32"/>
        </w:rPr>
      </w:pPr>
      <w:r>
        <w:rPr>
          <w:rFonts w:hint="eastAsia" w:ascii="仿宋_GB2312" w:hAnsi="仿宋"/>
          <w:szCs w:val="32"/>
        </w:rPr>
        <w:t>通过微信平台向公众提供锅炉信息查询功能，便于公众掌握了解锅炉的安全状态，提高公众参与锅炉安全管理的意愿和积极性。供查询的内容包括锅炉的使用证编号、型号、主要参数、使用单位、制造单位、风险状态、压力故障和水位故障信息、检验检测报告、处罚情况等信息。</w:t>
      </w:r>
    </w:p>
    <w:p>
      <w:pPr>
        <w:pStyle w:val="5"/>
        <w:numPr>
          <w:ilvl w:val="3"/>
          <w:numId w:val="60"/>
        </w:numPr>
        <w:ind w:left="0" w:firstLine="643"/>
        <w:rPr>
          <w:rFonts w:ascii="仿宋_GB2312"/>
          <w:szCs w:val="32"/>
        </w:rPr>
      </w:pPr>
      <w:bookmarkStart w:id="85" w:name="_Toc4964"/>
      <w:bookmarkStart w:id="86" w:name="_Toc24850"/>
      <w:r>
        <w:rPr>
          <w:rFonts w:hint="eastAsia" w:ascii="仿宋_GB2312"/>
          <w:szCs w:val="32"/>
        </w:rPr>
        <w:t>统一标准规范</w:t>
      </w:r>
      <w:bookmarkEnd w:id="85"/>
      <w:bookmarkEnd w:id="86"/>
    </w:p>
    <w:p>
      <w:pPr>
        <w:ind w:firstLine="640"/>
        <w:rPr>
          <w:rFonts w:ascii="仿宋_GB2312" w:hAnsi="仿宋"/>
          <w:szCs w:val="32"/>
        </w:rPr>
      </w:pPr>
      <w:r>
        <w:rPr>
          <w:rFonts w:hint="eastAsia" w:ascii="仿宋_GB2312" w:hAnsi="仿宋"/>
          <w:szCs w:val="32"/>
        </w:rPr>
        <w:t>锅炉风险智控应用场景设计依托特种设备风险防范预警系统（以下简称预警系统）实现。</w:t>
      </w:r>
    </w:p>
    <w:p>
      <w:pPr>
        <w:pStyle w:val="6"/>
        <w:numPr>
          <w:ilvl w:val="0"/>
          <w:numId w:val="62"/>
        </w:numPr>
        <w:ind w:left="0" w:firstLine="640"/>
        <w:rPr>
          <w:rFonts w:ascii="仿宋_GB2312"/>
          <w:szCs w:val="32"/>
        </w:rPr>
      </w:pPr>
      <w:r>
        <w:rPr>
          <w:rFonts w:hint="eastAsia" w:ascii="仿宋_GB2312"/>
          <w:szCs w:val="32"/>
        </w:rPr>
        <w:t>业务对象</w:t>
      </w:r>
    </w:p>
    <w:p>
      <w:pPr>
        <w:ind w:firstLine="640"/>
        <w:rPr>
          <w:rFonts w:ascii="仿宋_GB2312" w:hAnsi="仿宋"/>
          <w:szCs w:val="32"/>
        </w:rPr>
      </w:pPr>
      <w:r>
        <w:rPr>
          <w:rFonts w:hint="eastAsia" w:ascii="仿宋_GB2312" w:hAnsi="仿宋"/>
          <w:szCs w:val="32"/>
        </w:rPr>
        <w:t>浙江省所有各级锅炉监管部门、使用单位、检验单位、公众。</w:t>
      </w:r>
    </w:p>
    <w:p>
      <w:pPr>
        <w:pStyle w:val="6"/>
        <w:numPr>
          <w:ilvl w:val="0"/>
          <w:numId w:val="62"/>
        </w:numPr>
        <w:ind w:left="0" w:firstLine="640"/>
        <w:rPr>
          <w:rFonts w:ascii="仿宋_GB2312"/>
          <w:szCs w:val="32"/>
        </w:rPr>
      </w:pPr>
      <w:r>
        <w:rPr>
          <w:rFonts w:hint="eastAsia" w:ascii="仿宋_GB2312"/>
          <w:szCs w:val="32"/>
        </w:rPr>
        <w:t>技术手段</w:t>
      </w:r>
    </w:p>
    <w:p>
      <w:pPr>
        <w:ind w:firstLine="640"/>
        <w:rPr>
          <w:rFonts w:ascii="仿宋_GB2312" w:hAnsi="仿宋"/>
          <w:szCs w:val="32"/>
        </w:rPr>
      </w:pPr>
      <w:r>
        <w:rPr>
          <w:rFonts w:hint="eastAsia" w:ascii="仿宋_GB2312" w:hAnsi="仿宋"/>
          <w:szCs w:val="32"/>
        </w:rPr>
        <w:t>运用物联网技术实时获取锅炉运行压力、水位信息、运行温度、报警信息和故障信息。利用大数据存储分析技术保存物联网数据，并结合数据库中其他信息分析判断锅炉的风险。锅炉风险智控服务器根据风险等级通过短信，电话网络通知使用单位不同级别人员进行超压、缺水和超温运行隐患处置。</w:t>
      </w:r>
    </w:p>
    <w:p>
      <w:pPr>
        <w:pStyle w:val="6"/>
        <w:numPr>
          <w:ilvl w:val="0"/>
          <w:numId w:val="62"/>
        </w:numPr>
        <w:ind w:left="0" w:firstLine="640"/>
        <w:rPr>
          <w:rFonts w:ascii="仿宋_GB2312"/>
          <w:szCs w:val="32"/>
        </w:rPr>
      </w:pPr>
      <w:r>
        <w:rPr>
          <w:rFonts w:hint="eastAsia" w:ascii="仿宋_GB2312"/>
          <w:szCs w:val="32"/>
        </w:rPr>
        <w:t>具体要求</w:t>
      </w:r>
    </w:p>
    <w:p>
      <w:pPr>
        <w:pStyle w:val="7"/>
        <w:numPr>
          <w:ilvl w:val="0"/>
          <w:numId w:val="63"/>
        </w:numPr>
        <w:ind w:firstLine="643"/>
      </w:pPr>
      <w:r>
        <w:rPr>
          <w:rFonts w:hint="eastAsia"/>
        </w:rPr>
        <w:t>锅炉超压物联智控装置功能要求</w:t>
      </w:r>
    </w:p>
    <w:p>
      <w:pPr>
        <w:ind w:firstLine="640"/>
        <w:rPr>
          <w:rFonts w:ascii="仿宋_GB2312" w:hAnsi="仿宋"/>
          <w:szCs w:val="32"/>
        </w:rPr>
      </w:pPr>
      <w:r>
        <w:rPr>
          <w:rFonts w:hint="eastAsia" w:ascii="仿宋_GB2312" w:hAnsi="仿宋"/>
          <w:szCs w:val="32"/>
        </w:rPr>
        <w:t>锅炉现场物联网网关能实时采集锅炉运行压力，侦听接收压力故障信号和超压报警信号，并能将采集的锅炉运行压力、超压报警信号和压力故障信号实时上传相应的服务器。</w:t>
      </w:r>
    </w:p>
    <w:p>
      <w:pPr>
        <w:pStyle w:val="7"/>
        <w:numPr>
          <w:ilvl w:val="0"/>
          <w:numId w:val="63"/>
        </w:numPr>
        <w:ind w:firstLine="643"/>
      </w:pPr>
      <w:r>
        <w:rPr>
          <w:rFonts w:hint="eastAsia"/>
        </w:rPr>
        <w:t>锅炉缺水物联智控装置功能要求</w:t>
      </w:r>
    </w:p>
    <w:p>
      <w:pPr>
        <w:ind w:firstLine="640"/>
        <w:rPr>
          <w:rFonts w:ascii="仿宋_GB2312" w:hAnsi="仿宋"/>
          <w:szCs w:val="32"/>
        </w:rPr>
      </w:pPr>
      <w:r>
        <w:rPr>
          <w:rFonts w:hint="eastAsia" w:ascii="仿宋_GB2312" w:hAnsi="仿宋"/>
          <w:szCs w:val="32"/>
        </w:rPr>
        <w:t>锅炉现场物联网网关能实时采集锅炉运行水位状态，侦听接收水位故障信号和水位报警信号，并能将侦听接收水位报警信号和压力故障信号实时上传相应的服务器。</w:t>
      </w:r>
    </w:p>
    <w:p>
      <w:pPr>
        <w:pStyle w:val="7"/>
        <w:numPr>
          <w:ilvl w:val="0"/>
          <w:numId w:val="63"/>
        </w:numPr>
        <w:ind w:firstLine="643"/>
      </w:pPr>
      <w:r>
        <w:rPr>
          <w:rFonts w:hint="eastAsia"/>
        </w:rPr>
        <w:t>锅炉超温物联智控装置功能要求</w:t>
      </w:r>
    </w:p>
    <w:p>
      <w:pPr>
        <w:ind w:firstLine="640"/>
        <w:rPr>
          <w:rFonts w:ascii="仿宋_GB2312" w:hAnsi="仿宋"/>
          <w:szCs w:val="32"/>
        </w:rPr>
      </w:pPr>
      <w:r>
        <w:rPr>
          <w:rFonts w:hint="eastAsia" w:ascii="仿宋_GB2312" w:hAnsi="仿宋"/>
          <w:szCs w:val="32"/>
        </w:rPr>
        <w:t>锅炉现场物联网网关能实时采集锅炉运行温度，侦听接收温度故障信号和超温报警信号，并能将采集的锅炉运行温度、超温报警信号和温度故障信号实时上传相应的服务器。</w:t>
      </w:r>
    </w:p>
    <w:p>
      <w:pPr>
        <w:pStyle w:val="7"/>
        <w:numPr>
          <w:ilvl w:val="0"/>
          <w:numId w:val="63"/>
        </w:numPr>
        <w:ind w:firstLine="643"/>
      </w:pPr>
      <w:r>
        <w:rPr>
          <w:rFonts w:hint="eastAsia"/>
        </w:rPr>
        <w:t>锅炉风险智控前置服务器（锅炉物联网）功能要求</w:t>
      </w:r>
    </w:p>
    <w:p>
      <w:pPr>
        <w:ind w:firstLine="640"/>
        <w:rPr>
          <w:rFonts w:ascii="仿宋_GB2312" w:hAnsi="仿宋"/>
          <w:szCs w:val="32"/>
        </w:rPr>
      </w:pPr>
      <w:r>
        <w:rPr>
          <w:rFonts w:hint="eastAsia" w:ascii="仿宋_GB2312" w:hAnsi="仿宋"/>
          <w:szCs w:val="32"/>
        </w:rPr>
        <w:t>锅炉风险智控前置服务器应具有接收</w:t>
      </w:r>
      <w:r>
        <w:rPr>
          <w:rFonts w:cs="Times New Roman"/>
          <w:szCs w:val="32"/>
        </w:rPr>
        <w:t>3</w:t>
      </w:r>
      <w:r>
        <w:rPr>
          <w:rFonts w:hint="eastAsia" w:ascii="仿宋_GB2312" w:hAnsi="仿宋"/>
          <w:szCs w:val="32"/>
        </w:rPr>
        <w:t>万台锅炉同时每间隔</w:t>
      </w:r>
      <w:r>
        <w:rPr>
          <w:rFonts w:cs="Times New Roman"/>
          <w:szCs w:val="32"/>
        </w:rPr>
        <w:t>5</w:t>
      </w:r>
      <w:r>
        <w:rPr>
          <w:rFonts w:hint="eastAsia" w:ascii="仿宋_GB2312" w:hAnsi="仿宋"/>
          <w:szCs w:val="32"/>
        </w:rPr>
        <w:t>秒发送</w:t>
      </w:r>
      <w:r>
        <w:rPr>
          <w:rFonts w:cs="Times New Roman"/>
          <w:szCs w:val="32"/>
        </w:rPr>
        <w:t>20</w:t>
      </w:r>
      <w:r>
        <w:rPr>
          <w:rFonts w:hint="eastAsia" w:ascii="仿宋_GB2312" w:hAnsi="仿宋"/>
          <w:szCs w:val="32"/>
        </w:rPr>
        <w:t>个数据的能力，并能将相应的数据转发至锅炉风险智控服务器。</w:t>
      </w:r>
    </w:p>
    <w:p>
      <w:pPr>
        <w:pStyle w:val="7"/>
        <w:numPr>
          <w:ilvl w:val="0"/>
          <w:numId w:val="63"/>
        </w:numPr>
        <w:ind w:firstLine="643"/>
      </w:pPr>
      <w:r>
        <w:rPr>
          <w:rFonts w:hint="eastAsia"/>
        </w:rPr>
        <w:t>锅炉风险智控服务器功能要求</w:t>
      </w:r>
    </w:p>
    <w:p>
      <w:pPr>
        <w:ind w:firstLine="640"/>
        <w:rPr>
          <w:rFonts w:ascii="仿宋_GB2312" w:hAnsi="仿宋"/>
          <w:szCs w:val="32"/>
        </w:rPr>
      </w:pPr>
      <w:r>
        <w:rPr>
          <w:rFonts w:hint="eastAsia" w:ascii="仿宋_GB2312" w:hAnsi="仿宋"/>
          <w:szCs w:val="32"/>
        </w:rPr>
        <w:t>在首次建立锅炉物联网，锅炉检验单位根据锅炉设计数据和使用单位的数据，将超压、缺水、超温的风险阈值进行输入，对应不同的风险等级，将隐患处置责任人的电话等联系信息录入，以供接收锅炉风险智控服务器发出隐患处置通知。</w:t>
      </w:r>
    </w:p>
    <w:p>
      <w:pPr>
        <w:ind w:firstLine="640"/>
        <w:rPr>
          <w:rFonts w:ascii="仿宋_GB2312" w:hAnsi="仿宋"/>
          <w:szCs w:val="32"/>
        </w:rPr>
      </w:pPr>
      <w:r>
        <w:rPr>
          <w:rFonts w:hint="eastAsia" w:ascii="仿宋_GB2312" w:hAnsi="仿宋"/>
          <w:szCs w:val="32"/>
        </w:rPr>
        <w:t>锅炉风险智控服务器应具有接收</w:t>
      </w:r>
      <w:r>
        <w:rPr>
          <w:rFonts w:cs="Times New Roman"/>
          <w:szCs w:val="32"/>
        </w:rPr>
        <w:t>3</w:t>
      </w:r>
      <w:r>
        <w:rPr>
          <w:rFonts w:hint="eastAsia" w:ascii="仿宋_GB2312" w:hAnsi="仿宋"/>
          <w:szCs w:val="32"/>
        </w:rPr>
        <w:t>万台锅炉同时每间隔</w:t>
      </w:r>
      <w:r>
        <w:rPr>
          <w:rFonts w:cs="Times New Roman"/>
          <w:szCs w:val="32"/>
        </w:rPr>
        <w:t>5</w:t>
      </w:r>
      <w:r>
        <w:rPr>
          <w:rFonts w:hint="eastAsia" w:ascii="仿宋_GB2312" w:hAnsi="仿宋"/>
          <w:szCs w:val="32"/>
        </w:rPr>
        <w:t>秒发送</w:t>
      </w:r>
      <w:r>
        <w:rPr>
          <w:rFonts w:cs="Times New Roman"/>
          <w:szCs w:val="32"/>
        </w:rPr>
        <w:t>20</w:t>
      </w:r>
      <w:r>
        <w:rPr>
          <w:rFonts w:hint="eastAsia" w:ascii="仿宋_GB2312" w:hAnsi="仿宋"/>
          <w:szCs w:val="32"/>
        </w:rPr>
        <w:t>个数据的能力，并且根据接收的数据进行智能运算出相应的风险等级，预留</w:t>
      </w:r>
      <w:r>
        <w:rPr>
          <w:rFonts w:cs="Times New Roman"/>
          <w:szCs w:val="32"/>
        </w:rPr>
        <w:t>10</w:t>
      </w:r>
      <w:r>
        <w:rPr>
          <w:rFonts w:hint="eastAsia" w:ascii="仿宋_GB2312" w:hAnsi="仿宋"/>
          <w:szCs w:val="32"/>
        </w:rPr>
        <w:t>个参数各</w:t>
      </w:r>
      <w:r>
        <w:rPr>
          <w:rFonts w:cs="Times New Roman"/>
          <w:szCs w:val="32"/>
        </w:rPr>
        <w:t>3</w:t>
      </w:r>
      <w:r>
        <w:rPr>
          <w:rFonts w:hint="eastAsia" w:ascii="仿宋_GB2312" w:hAnsi="仿宋"/>
          <w:szCs w:val="32"/>
        </w:rPr>
        <w:t>个风险等级。并且具备同时向</w:t>
      </w:r>
      <w:r>
        <w:rPr>
          <w:rFonts w:cs="Times New Roman"/>
          <w:szCs w:val="32"/>
        </w:rPr>
        <w:t>1000</w:t>
      </w:r>
      <w:r>
        <w:rPr>
          <w:rFonts w:hint="eastAsia" w:ascii="仿宋_GB2312" w:hAnsi="仿宋"/>
          <w:szCs w:val="32"/>
        </w:rPr>
        <w:t>家使用单位</w:t>
      </w:r>
      <w:r>
        <w:rPr>
          <w:rFonts w:cs="Times New Roman"/>
          <w:szCs w:val="32"/>
        </w:rPr>
        <w:t>3</w:t>
      </w:r>
      <w:r>
        <w:rPr>
          <w:rFonts w:hint="eastAsia" w:ascii="仿宋_GB2312" w:hAnsi="仿宋"/>
          <w:szCs w:val="32"/>
        </w:rPr>
        <w:t>个风险等级短信发送的水平。</w:t>
      </w:r>
    </w:p>
    <w:p>
      <w:pPr>
        <w:ind w:firstLine="640"/>
        <w:rPr>
          <w:rFonts w:ascii="仿宋_GB2312" w:hAnsi="仿宋"/>
          <w:szCs w:val="32"/>
        </w:rPr>
      </w:pPr>
      <w:r>
        <w:rPr>
          <w:rFonts w:hint="eastAsia" w:ascii="仿宋_GB2312" w:hAnsi="仿宋"/>
          <w:szCs w:val="32"/>
        </w:rPr>
        <w:t>锅炉风险智控服务器应具</w:t>
      </w:r>
      <w:r>
        <w:rPr>
          <w:rFonts w:cs="Times New Roman"/>
          <w:szCs w:val="32"/>
        </w:rPr>
        <w:t>2000</w:t>
      </w:r>
      <w:r>
        <w:rPr>
          <w:rFonts w:hint="eastAsia" w:ascii="仿宋_GB2312" w:hAnsi="仿宋"/>
          <w:szCs w:val="32"/>
        </w:rPr>
        <w:t>名公众同时登录，进行信息查询的能力。</w:t>
      </w:r>
    </w:p>
    <w:p>
      <w:pPr>
        <w:ind w:firstLine="640"/>
        <w:rPr>
          <w:rFonts w:ascii="仿宋_GB2312" w:hAnsi="仿宋"/>
          <w:szCs w:val="32"/>
        </w:rPr>
      </w:pPr>
      <w:r>
        <w:rPr>
          <w:rFonts w:hint="eastAsia" w:ascii="仿宋_GB2312" w:hAnsi="仿宋"/>
          <w:szCs w:val="32"/>
        </w:rPr>
        <w:t>锅炉风险智控服务器应能突发风险时，较多的公众参与情况下，在处置决策过程中，获取信息流畅，响应时间短。</w:t>
      </w:r>
    </w:p>
    <w:p>
      <w:pPr>
        <w:ind w:firstLine="640"/>
        <w:rPr>
          <w:rFonts w:ascii="仿宋_GB2312" w:hAnsi="仿宋"/>
          <w:szCs w:val="32"/>
        </w:rPr>
      </w:pPr>
      <w:r>
        <w:rPr>
          <w:rFonts w:hint="eastAsia" w:ascii="仿宋_GB2312" w:hAnsi="仿宋"/>
          <w:szCs w:val="32"/>
        </w:rPr>
        <w:t>锅炉风险智控服务器应界面友好，数据流畅能在突发事件中向决策者提供与锅炉实物外观吻合，数据清晰的决策体验。</w:t>
      </w:r>
    </w:p>
    <w:p>
      <w:pPr>
        <w:pStyle w:val="6"/>
        <w:numPr>
          <w:ilvl w:val="0"/>
          <w:numId w:val="62"/>
        </w:numPr>
        <w:ind w:left="0" w:firstLine="640"/>
        <w:rPr>
          <w:rFonts w:ascii="仿宋_GB2312"/>
          <w:szCs w:val="32"/>
        </w:rPr>
      </w:pPr>
      <w:r>
        <w:rPr>
          <w:rFonts w:hint="eastAsia" w:ascii="仿宋_GB2312"/>
          <w:szCs w:val="32"/>
        </w:rPr>
        <w:t>管理模式</w:t>
      </w:r>
    </w:p>
    <w:p>
      <w:pPr>
        <w:ind w:firstLine="640"/>
        <w:rPr>
          <w:rFonts w:ascii="仿宋_GB2312" w:hAnsi="仿宋"/>
          <w:szCs w:val="32"/>
        </w:rPr>
      </w:pPr>
      <w:r>
        <w:rPr>
          <w:rFonts w:hint="eastAsia" w:ascii="仿宋_GB2312" w:hAnsi="仿宋"/>
          <w:szCs w:val="32"/>
        </w:rPr>
        <w:t>锅炉风险智控的信息流转全部在线上完成。线下主要风险核查、隐患处置等事宜。信息流转结构如图</w:t>
      </w:r>
      <w:r>
        <w:rPr>
          <w:rFonts w:hint="eastAsia"/>
          <w:szCs w:val="32"/>
        </w:rPr>
        <w:t>1</w:t>
      </w:r>
      <w:r>
        <w:rPr>
          <w:rFonts w:hint="eastAsia" w:ascii="仿宋_GB2312" w:hAnsi="仿宋"/>
          <w:szCs w:val="32"/>
        </w:rPr>
        <w:t>所示。实现锅炉风险智控应用场景需要多个信息系统协同合作。锅炉风险智控服务器采集特种设备安全监管基础数据、特种设备检验基础数据、锅炉物联网数据等数据。通过分析计算，将处理后的信息向其他各个软件系统推送。</w:t>
      </w:r>
    </w:p>
    <w:p>
      <w:pPr>
        <w:ind w:firstLine="640"/>
        <w:rPr>
          <w:rFonts w:ascii="仿宋_GB2312" w:hAnsi="仿宋"/>
          <w:szCs w:val="32"/>
        </w:rPr>
      </w:pPr>
      <w:r>
        <w:rPr>
          <w:rFonts w:hint="eastAsia" w:ascii="仿宋_GB2312" w:hAnsi="仿宋"/>
          <w:szCs w:val="32"/>
        </w:rPr>
        <w:drawing>
          <wp:anchor distT="0" distB="0" distL="114300" distR="114300" simplePos="0" relativeHeight="251665408" behindDoc="0" locked="0" layoutInCell="1" allowOverlap="1">
            <wp:simplePos x="0" y="0"/>
            <wp:positionH relativeFrom="column">
              <wp:posOffset>751205</wp:posOffset>
            </wp:positionH>
            <wp:positionV relativeFrom="paragraph">
              <wp:posOffset>1797685</wp:posOffset>
            </wp:positionV>
            <wp:extent cx="3994150" cy="4438650"/>
            <wp:effectExtent l="0" t="0" r="13970" b="11430"/>
            <wp:wrapTopAndBottom/>
            <wp:docPr id="101" name="图片 101" descr="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descr="流程图"/>
                    <pic:cNvPicPr>
                      <a:picLocks noChangeAspect="1"/>
                    </pic:cNvPicPr>
                  </pic:nvPicPr>
                  <pic:blipFill>
                    <a:blip r:embed="rId31"/>
                    <a:stretch>
                      <a:fillRect/>
                    </a:stretch>
                  </pic:blipFill>
                  <pic:spPr>
                    <a:xfrm>
                      <a:off x="0" y="0"/>
                      <a:ext cx="3994150" cy="4438650"/>
                    </a:xfrm>
                    <a:prstGeom prst="rect">
                      <a:avLst/>
                    </a:prstGeom>
                  </pic:spPr>
                </pic:pic>
              </a:graphicData>
            </a:graphic>
          </wp:anchor>
        </w:drawing>
      </w:r>
      <w:r>
        <w:rPr>
          <w:rFonts w:hint="eastAsia" w:ascii="仿宋_GB2312" w:hAnsi="仿宋"/>
          <w:szCs w:val="32"/>
        </w:rPr>
        <w:t>锅炉风险智控服务器将锅炉风险核查、隐患处置信息通过短信或网络电话通知使用单位相关人员；将锅炉超期未检信息通过相关平台通知属地监察人员；将锅炉监察数据库和检验数据库同步到锅炉风险智控前置服务器。</w:t>
      </w:r>
    </w:p>
    <w:p>
      <w:pPr>
        <w:pStyle w:val="6"/>
        <w:numPr>
          <w:ilvl w:val="0"/>
          <w:numId w:val="62"/>
        </w:numPr>
        <w:ind w:left="0" w:firstLine="640"/>
        <w:rPr>
          <w:rFonts w:ascii="仿宋_GB2312"/>
          <w:szCs w:val="32"/>
        </w:rPr>
      </w:pPr>
      <w:r>
        <w:rPr>
          <w:rFonts w:hint="eastAsia" w:ascii="仿宋_GB2312"/>
          <w:szCs w:val="32"/>
        </w:rPr>
        <w:t>管理流程</w:t>
      </w:r>
    </w:p>
    <w:p>
      <w:pPr>
        <w:pStyle w:val="7"/>
        <w:numPr>
          <w:ilvl w:val="0"/>
          <w:numId w:val="64"/>
        </w:numPr>
        <w:ind w:firstLine="643"/>
      </w:pPr>
      <w:r>
        <w:rPr>
          <w:rFonts w:hint="eastAsia"/>
        </w:rPr>
        <w:t>风险等级判定</w:t>
      </w:r>
    </w:p>
    <w:p>
      <w:pPr>
        <w:ind w:firstLine="640"/>
        <w:rPr>
          <w:rFonts w:ascii="仿宋_GB2312" w:hAnsi="仿宋"/>
          <w:szCs w:val="32"/>
        </w:rPr>
      </w:pPr>
      <w:r>
        <w:rPr>
          <w:rFonts w:hint="eastAsia" w:ascii="仿宋_GB2312" w:hAnsi="仿宋"/>
          <w:szCs w:val="32"/>
        </w:rPr>
        <w:t>预警系统实时监听物联网数据。根据压力数值、温度数值、水位数值、报警信息、故障信息和阈值进行判断锅炉处于的风险等级。风险阈值：</w:t>
      </w:r>
    </w:p>
    <w:tbl>
      <w:tblPr>
        <w:tblStyle w:val="2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4"/>
        <w:gridCol w:w="5387"/>
        <w:gridCol w:w="17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shd w:val="clear" w:color="auto" w:fill="auto"/>
          </w:tcPr>
          <w:p>
            <w:pPr>
              <w:ind w:firstLine="0" w:firstLineChars="0"/>
              <w:jc w:val="center"/>
              <w:rPr>
                <w:rFonts w:ascii="仿宋_GB2312" w:hAnsi="仿宋"/>
                <w:sz w:val="30"/>
                <w:szCs w:val="30"/>
              </w:rPr>
            </w:pPr>
            <w:r>
              <w:rPr>
                <w:rFonts w:hint="eastAsia" w:ascii="仿宋_GB2312" w:hAnsi="仿宋"/>
                <w:sz w:val="30"/>
                <w:szCs w:val="30"/>
              </w:rPr>
              <w:t>项目</w:t>
            </w:r>
          </w:p>
        </w:tc>
        <w:tc>
          <w:tcPr>
            <w:tcW w:w="5387" w:type="dxa"/>
            <w:shd w:val="clear" w:color="auto" w:fill="auto"/>
          </w:tcPr>
          <w:p>
            <w:pPr>
              <w:ind w:firstLine="600"/>
              <w:jc w:val="center"/>
              <w:rPr>
                <w:rFonts w:ascii="仿宋_GB2312" w:hAnsi="仿宋"/>
                <w:sz w:val="30"/>
                <w:szCs w:val="30"/>
              </w:rPr>
            </w:pPr>
            <w:r>
              <w:rPr>
                <w:rFonts w:hint="eastAsia" w:ascii="仿宋_GB2312" w:hAnsi="仿宋"/>
                <w:sz w:val="30"/>
                <w:szCs w:val="30"/>
              </w:rPr>
              <w:t>阈值</w:t>
            </w:r>
          </w:p>
        </w:tc>
        <w:tc>
          <w:tcPr>
            <w:tcW w:w="1751" w:type="dxa"/>
            <w:shd w:val="clear" w:color="auto" w:fill="auto"/>
          </w:tcPr>
          <w:p>
            <w:pPr>
              <w:ind w:firstLine="0" w:firstLineChars="0"/>
              <w:jc w:val="center"/>
              <w:rPr>
                <w:rFonts w:ascii="仿宋_GB2312" w:hAnsi="仿宋"/>
                <w:sz w:val="30"/>
                <w:szCs w:val="30"/>
              </w:rPr>
            </w:pPr>
            <w:r>
              <w:rPr>
                <w:rFonts w:hint="eastAsia" w:ascii="仿宋_GB2312" w:hAnsi="仿宋"/>
                <w:sz w:val="30"/>
                <w:szCs w:val="30"/>
              </w:rPr>
              <w:t>风险等级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shd w:val="clear" w:color="auto" w:fill="auto"/>
            <w:vAlign w:val="center"/>
          </w:tcPr>
          <w:p>
            <w:pPr>
              <w:ind w:firstLine="0" w:firstLineChars="0"/>
              <w:jc w:val="center"/>
              <w:rPr>
                <w:rFonts w:ascii="仿宋_GB2312" w:hAnsi="仿宋"/>
                <w:sz w:val="30"/>
                <w:szCs w:val="30"/>
              </w:rPr>
            </w:pPr>
            <w:r>
              <w:rPr>
                <w:rFonts w:hint="eastAsia" w:ascii="仿宋_GB2312" w:hAnsi="仿宋"/>
                <w:sz w:val="30"/>
                <w:szCs w:val="30"/>
              </w:rPr>
              <w:t>超压</w:t>
            </w:r>
          </w:p>
        </w:tc>
        <w:tc>
          <w:tcPr>
            <w:tcW w:w="5387" w:type="dxa"/>
            <w:shd w:val="clear" w:color="auto" w:fill="auto"/>
          </w:tcPr>
          <w:p>
            <w:pPr>
              <w:ind w:firstLine="0" w:firstLineChars="0"/>
              <w:jc w:val="left"/>
              <w:rPr>
                <w:rFonts w:ascii="仿宋_GB2312" w:hAnsi="仿宋"/>
                <w:sz w:val="30"/>
                <w:szCs w:val="30"/>
              </w:rPr>
            </w:pPr>
            <w:r>
              <w:rPr>
                <w:rFonts w:hint="eastAsia" w:ascii="仿宋_GB2312" w:hAnsi="仿宋"/>
                <w:sz w:val="30"/>
                <w:szCs w:val="30"/>
              </w:rPr>
              <w:t>运行压力数值超过正常停炉设定值并且小于或等于锅炉安全阀较低起跳值；接收到超压报警信号</w:t>
            </w:r>
          </w:p>
        </w:tc>
        <w:tc>
          <w:tcPr>
            <w:tcW w:w="1751" w:type="dxa"/>
            <w:shd w:val="clear" w:color="auto" w:fill="auto"/>
            <w:vAlign w:val="center"/>
          </w:tcPr>
          <w:p>
            <w:pPr>
              <w:ind w:firstLine="0" w:firstLineChars="0"/>
              <w:jc w:val="center"/>
              <w:rPr>
                <w:rFonts w:cs="Times New Roman"/>
                <w:sz w:val="30"/>
                <w:szCs w:val="30"/>
              </w:rPr>
            </w:pPr>
            <w:r>
              <w:rPr>
                <w:rFonts w:cs="Times New Roman"/>
                <w:szCs w:val="30"/>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shd w:val="clear" w:color="auto" w:fill="auto"/>
            <w:vAlign w:val="center"/>
          </w:tcPr>
          <w:p>
            <w:pPr>
              <w:ind w:firstLine="0" w:firstLineChars="0"/>
              <w:jc w:val="center"/>
              <w:rPr>
                <w:rFonts w:ascii="仿宋_GB2312" w:hAnsi="仿宋"/>
                <w:sz w:val="30"/>
                <w:szCs w:val="30"/>
              </w:rPr>
            </w:pPr>
            <w:r>
              <w:rPr>
                <w:rFonts w:hint="eastAsia" w:ascii="仿宋_GB2312" w:hAnsi="仿宋"/>
                <w:sz w:val="30"/>
                <w:szCs w:val="30"/>
              </w:rPr>
              <w:t>超压</w:t>
            </w:r>
          </w:p>
        </w:tc>
        <w:tc>
          <w:tcPr>
            <w:tcW w:w="5387" w:type="dxa"/>
            <w:shd w:val="clear" w:color="auto" w:fill="auto"/>
          </w:tcPr>
          <w:p>
            <w:pPr>
              <w:ind w:firstLine="0" w:firstLineChars="0"/>
              <w:jc w:val="left"/>
              <w:rPr>
                <w:rFonts w:ascii="仿宋_GB2312" w:hAnsi="仿宋"/>
                <w:sz w:val="30"/>
                <w:szCs w:val="30"/>
              </w:rPr>
            </w:pPr>
            <w:r>
              <w:rPr>
                <w:rFonts w:hint="eastAsia" w:ascii="仿宋_GB2312" w:hAnsi="仿宋"/>
                <w:sz w:val="30"/>
                <w:szCs w:val="30"/>
              </w:rPr>
              <w:t>运行压力数值超过锅炉安全阀较低起跳值并且小于或等于锅炉安全阀较高起跳值</w:t>
            </w:r>
          </w:p>
        </w:tc>
        <w:tc>
          <w:tcPr>
            <w:tcW w:w="1751" w:type="dxa"/>
            <w:shd w:val="clear" w:color="auto" w:fill="auto"/>
            <w:vAlign w:val="center"/>
          </w:tcPr>
          <w:p>
            <w:pPr>
              <w:ind w:firstLine="0" w:firstLineChars="0"/>
              <w:jc w:val="center"/>
              <w:rPr>
                <w:rFonts w:cs="Times New Roman"/>
                <w:sz w:val="30"/>
                <w:szCs w:val="30"/>
              </w:rPr>
            </w:pPr>
            <w:r>
              <w:rPr>
                <w:rFonts w:cs="Times New Roman"/>
                <w:szCs w:val="30"/>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shd w:val="clear" w:color="auto" w:fill="auto"/>
            <w:vAlign w:val="center"/>
          </w:tcPr>
          <w:p>
            <w:pPr>
              <w:ind w:firstLine="0" w:firstLineChars="0"/>
              <w:jc w:val="center"/>
              <w:rPr>
                <w:rFonts w:ascii="仿宋_GB2312" w:hAnsi="仿宋"/>
                <w:sz w:val="30"/>
                <w:szCs w:val="30"/>
              </w:rPr>
            </w:pPr>
            <w:r>
              <w:rPr>
                <w:rFonts w:hint="eastAsia" w:ascii="仿宋_GB2312" w:hAnsi="仿宋"/>
                <w:sz w:val="30"/>
                <w:szCs w:val="30"/>
              </w:rPr>
              <w:t>超压</w:t>
            </w:r>
          </w:p>
        </w:tc>
        <w:tc>
          <w:tcPr>
            <w:tcW w:w="5387" w:type="dxa"/>
            <w:shd w:val="clear" w:color="auto" w:fill="auto"/>
          </w:tcPr>
          <w:p>
            <w:pPr>
              <w:ind w:firstLine="0" w:firstLineChars="0"/>
              <w:jc w:val="left"/>
              <w:rPr>
                <w:rFonts w:ascii="仿宋_GB2312" w:hAnsi="仿宋"/>
                <w:sz w:val="30"/>
                <w:szCs w:val="30"/>
              </w:rPr>
            </w:pPr>
            <w:r>
              <w:rPr>
                <w:rFonts w:hint="eastAsia" w:ascii="仿宋_GB2312" w:hAnsi="仿宋"/>
                <w:sz w:val="30"/>
                <w:szCs w:val="30"/>
              </w:rPr>
              <w:t>超运行压力数值过锅炉安全阀较高起跳值</w:t>
            </w:r>
          </w:p>
        </w:tc>
        <w:tc>
          <w:tcPr>
            <w:tcW w:w="1751" w:type="dxa"/>
            <w:shd w:val="clear" w:color="auto" w:fill="auto"/>
            <w:vAlign w:val="center"/>
          </w:tcPr>
          <w:p>
            <w:pPr>
              <w:ind w:firstLine="0" w:firstLineChars="0"/>
              <w:jc w:val="center"/>
              <w:rPr>
                <w:rFonts w:cs="Times New Roman"/>
                <w:sz w:val="30"/>
                <w:szCs w:val="30"/>
              </w:rPr>
            </w:pPr>
            <w:r>
              <w:rPr>
                <w:rFonts w:cs="Times New Roman"/>
                <w:szCs w:val="30"/>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shd w:val="clear" w:color="auto" w:fill="auto"/>
            <w:vAlign w:val="center"/>
          </w:tcPr>
          <w:p>
            <w:pPr>
              <w:ind w:firstLine="0" w:firstLineChars="0"/>
              <w:jc w:val="center"/>
              <w:rPr>
                <w:rFonts w:ascii="仿宋_GB2312" w:hAnsi="仿宋"/>
                <w:sz w:val="30"/>
                <w:szCs w:val="30"/>
              </w:rPr>
            </w:pPr>
            <w:r>
              <w:rPr>
                <w:rFonts w:hint="eastAsia" w:ascii="仿宋_GB2312" w:hAnsi="仿宋"/>
                <w:sz w:val="30"/>
                <w:szCs w:val="30"/>
              </w:rPr>
              <w:t>缺水</w:t>
            </w:r>
          </w:p>
        </w:tc>
        <w:tc>
          <w:tcPr>
            <w:tcW w:w="5387" w:type="dxa"/>
            <w:shd w:val="clear" w:color="auto" w:fill="auto"/>
          </w:tcPr>
          <w:p>
            <w:pPr>
              <w:ind w:firstLine="0" w:firstLineChars="0"/>
              <w:jc w:val="left"/>
              <w:rPr>
                <w:rFonts w:ascii="仿宋_GB2312" w:hAnsi="仿宋"/>
                <w:sz w:val="30"/>
                <w:szCs w:val="30"/>
              </w:rPr>
            </w:pPr>
            <w:r>
              <w:rPr>
                <w:rFonts w:hint="eastAsia" w:ascii="仿宋_GB2312" w:hAnsi="仿宋"/>
                <w:sz w:val="30"/>
                <w:szCs w:val="30"/>
              </w:rPr>
              <w:t>水位低于锅炉低水位报警值但高于低水位停炉连锁值；接收到水位报警信号</w:t>
            </w:r>
          </w:p>
        </w:tc>
        <w:tc>
          <w:tcPr>
            <w:tcW w:w="1751" w:type="dxa"/>
            <w:shd w:val="clear" w:color="auto" w:fill="auto"/>
            <w:vAlign w:val="center"/>
          </w:tcPr>
          <w:p>
            <w:pPr>
              <w:ind w:firstLine="0" w:firstLineChars="0"/>
              <w:jc w:val="center"/>
              <w:rPr>
                <w:rFonts w:cs="Times New Roman"/>
                <w:sz w:val="30"/>
                <w:szCs w:val="30"/>
              </w:rPr>
            </w:pPr>
            <w:r>
              <w:rPr>
                <w:rFonts w:cs="Times New Roman"/>
                <w:szCs w:val="30"/>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shd w:val="clear" w:color="auto" w:fill="auto"/>
            <w:vAlign w:val="center"/>
          </w:tcPr>
          <w:p>
            <w:pPr>
              <w:ind w:firstLine="0" w:firstLineChars="0"/>
              <w:jc w:val="center"/>
              <w:rPr>
                <w:rFonts w:ascii="仿宋_GB2312" w:hAnsi="仿宋"/>
                <w:sz w:val="30"/>
                <w:szCs w:val="30"/>
              </w:rPr>
            </w:pPr>
            <w:r>
              <w:rPr>
                <w:rFonts w:hint="eastAsia" w:ascii="仿宋_GB2312" w:hAnsi="仿宋"/>
                <w:sz w:val="30"/>
                <w:szCs w:val="30"/>
              </w:rPr>
              <w:t>缺水</w:t>
            </w:r>
          </w:p>
        </w:tc>
        <w:tc>
          <w:tcPr>
            <w:tcW w:w="5387" w:type="dxa"/>
            <w:shd w:val="clear" w:color="auto" w:fill="auto"/>
          </w:tcPr>
          <w:p>
            <w:pPr>
              <w:ind w:firstLine="0" w:firstLineChars="0"/>
              <w:jc w:val="left"/>
              <w:rPr>
                <w:rFonts w:ascii="仿宋_GB2312" w:hAnsi="仿宋"/>
                <w:sz w:val="30"/>
                <w:szCs w:val="30"/>
              </w:rPr>
            </w:pPr>
            <w:r>
              <w:rPr>
                <w:rFonts w:hint="eastAsia" w:ascii="仿宋_GB2312" w:hAnsi="仿宋"/>
                <w:sz w:val="30"/>
                <w:szCs w:val="30"/>
              </w:rPr>
              <w:t>水位低于低水位停炉连锁值；接收到低水位停炉连锁信号</w:t>
            </w:r>
          </w:p>
        </w:tc>
        <w:tc>
          <w:tcPr>
            <w:tcW w:w="1751" w:type="dxa"/>
            <w:shd w:val="clear" w:color="auto" w:fill="auto"/>
            <w:vAlign w:val="center"/>
          </w:tcPr>
          <w:p>
            <w:pPr>
              <w:ind w:firstLine="0" w:firstLineChars="0"/>
              <w:jc w:val="center"/>
              <w:rPr>
                <w:rFonts w:cs="Times New Roman"/>
                <w:sz w:val="30"/>
                <w:szCs w:val="30"/>
              </w:rPr>
            </w:pPr>
            <w:r>
              <w:rPr>
                <w:rFonts w:cs="Times New Roman"/>
                <w:szCs w:val="30"/>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shd w:val="clear" w:color="auto" w:fill="auto"/>
            <w:vAlign w:val="center"/>
          </w:tcPr>
          <w:p>
            <w:pPr>
              <w:ind w:firstLine="0" w:firstLineChars="0"/>
              <w:jc w:val="center"/>
              <w:rPr>
                <w:rFonts w:ascii="仿宋_GB2312" w:hAnsi="仿宋"/>
                <w:sz w:val="30"/>
                <w:szCs w:val="30"/>
              </w:rPr>
            </w:pPr>
            <w:r>
              <w:rPr>
                <w:rFonts w:hint="eastAsia" w:ascii="仿宋_GB2312" w:hAnsi="仿宋"/>
                <w:sz w:val="30"/>
                <w:szCs w:val="30"/>
              </w:rPr>
              <w:t>缺水</w:t>
            </w:r>
          </w:p>
        </w:tc>
        <w:tc>
          <w:tcPr>
            <w:tcW w:w="5387" w:type="dxa"/>
            <w:shd w:val="clear" w:color="auto" w:fill="auto"/>
          </w:tcPr>
          <w:p>
            <w:pPr>
              <w:ind w:firstLine="0" w:firstLineChars="0"/>
              <w:jc w:val="left"/>
              <w:rPr>
                <w:rFonts w:ascii="仿宋_GB2312" w:hAnsi="仿宋"/>
                <w:sz w:val="30"/>
                <w:szCs w:val="30"/>
              </w:rPr>
            </w:pPr>
            <w:r>
              <w:rPr>
                <w:rFonts w:hint="eastAsia" w:ascii="仿宋_GB2312" w:hAnsi="仿宋"/>
                <w:sz w:val="30"/>
                <w:szCs w:val="30"/>
              </w:rPr>
              <w:t>水位低于低水位停炉连锁值；锅炉仍继续运行</w:t>
            </w:r>
          </w:p>
        </w:tc>
        <w:tc>
          <w:tcPr>
            <w:tcW w:w="1751" w:type="dxa"/>
            <w:shd w:val="clear" w:color="auto" w:fill="auto"/>
            <w:vAlign w:val="center"/>
          </w:tcPr>
          <w:p>
            <w:pPr>
              <w:ind w:firstLine="0" w:firstLineChars="0"/>
              <w:jc w:val="center"/>
              <w:rPr>
                <w:rFonts w:cs="Times New Roman"/>
                <w:sz w:val="30"/>
                <w:szCs w:val="30"/>
              </w:rPr>
            </w:pPr>
            <w:r>
              <w:rPr>
                <w:rFonts w:cs="Times New Roman"/>
                <w:szCs w:val="30"/>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shd w:val="clear" w:color="auto" w:fill="auto"/>
            <w:vAlign w:val="center"/>
          </w:tcPr>
          <w:p>
            <w:pPr>
              <w:ind w:firstLine="0" w:firstLineChars="0"/>
              <w:jc w:val="center"/>
              <w:rPr>
                <w:rFonts w:ascii="仿宋_GB2312" w:hAnsi="仿宋"/>
                <w:sz w:val="30"/>
                <w:szCs w:val="30"/>
              </w:rPr>
            </w:pPr>
            <w:r>
              <w:rPr>
                <w:rFonts w:hint="eastAsia" w:ascii="仿宋_GB2312" w:hAnsi="仿宋"/>
                <w:sz w:val="30"/>
                <w:szCs w:val="30"/>
              </w:rPr>
              <w:t>超温</w:t>
            </w:r>
          </w:p>
        </w:tc>
        <w:tc>
          <w:tcPr>
            <w:tcW w:w="5387" w:type="dxa"/>
            <w:shd w:val="clear" w:color="auto" w:fill="auto"/>
          </w:tcPr>
          <w:p>
            <w:pPr>
              <w:ind w:firstLine="0" w:firstLineChars="0"/>
              <w:jc w:val="left"/>
              <w:rPr>
                <w:rFonts w:ascii="仿宋_GB2312" w:hAnsi="仿宋"/>
                <w:sz w:val="30"/>
                <w:szCs w:val="30"/>
              </w:rPr>
            </w:pPr>
            <w:r>
              <w:rPr>
                <w:rFonts w:hint="eastAsia" w:ascii="仿宋_GB2312" w:hAnsi="仿宋"/>
                <w:sz w:val="30"/>
                <w:szCs w:val="30"/>
              </w:rPr>
              <w:t>运行温度数值超过正常停炉设定值并且小于或等于停炉连锁值；接收到超温报警信号</w:t>
            </w:r>
          </w:p>
        </w:tc>
        <w:tc>
          <w:tcPr>
            <w:tcW w:w="1751" w:type="dxa"/>
            <w:shd w:val="clear" w:color="auto" w:fill="auto"/>
            <w:vAlign w:val="center"/>
          </w:tcPr>
          <w:p>
            <w:pPr>
              <w:ind w:firstLine="0" w:firstLineChars="0"/>
              <w:jc w:val="center"/>
              <w:rPr>
                <w:rFonts w:cs="Times New Roman"/>
                <w:sz w:val="30"/>
                <w:szCs w:val="30"/>
              </w:rPr>
            </w:pPr>
            <w:r>
              <w:rPr>
                <w:rFonts w:cs="Times New Roman"/>
                <w:szCs w:val="30"/>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shd w:val="clear" w:color="auto" w:fill="auto"/>
            <w:vAlign w:val="center"/>
          </w:tcPr>
          <w:p>
            <w:pPr>
              <w:ind w:firstLine="0" w:firstLineChars="0"/>
              <w:jc w:val="center"/>
              <w:rPr>
                <w:rFonts w:ascii="仿宋_GB2312" w:hAnsi="仿宋"/>
                <w:sz w:val="30"/>
                <w:szCs w:val="30"/>
              </w:rPr>
            </w:pPr>
            <w:r>
              <w:rPr>
                <w:rFonts w:hint="eastAsia" w:ascii="仿宋_GB2312" w:hAnsi="仿宋"/>
                <w:sz w:val="30"/>
                <w:szCs w:val="30"/>
              </w:rPr>
              <w:t>超温</w:t>
            </w:r>
          </w:p>
        </w:tc>
        <w:tc>
          <w:tcPr>
            <w:tcW w:w="5387" w:type="dxa"/>
            <w:shd w:val="clear" w:color="auto" w:fill="auto"/>
          </w:tcPr>
          <w:p>
            <w:pPr>
              <w:ind w:firstLine="0" w:firstLineChars="0"/>
              <w:jc w:val="left"/>
              <w:rPr>
                <w:rFonts w:ascii="仿宋_GB2312" w:hAnsi="仿宋"/>
                <w:sz w:val="30"/>
                <w:szCs w:val="30"/>
              </w:rPr>
            </w:pPr>
            <w:r>
              <w:rPr>
                <w:rFonts w:hint="eastAsia" w:ascii="仿宋_GB2312" w:hAnsi="仿宋"/>
                <w:sz w:val="30"/>
                <w:szCs w:val="30"/>
              </w:rPr>
              <w:t>运行温度数值超过停炉连锁值</w:t>
            </w:r>
          </w:p>
        </w:tc>
        <w:tc>
          <w:tcPr>
            <w:tcW w:w="1751" w:type="dxa"/>
            <w:shd w:val="clear" w:color="auto" w:fill="auto"/>
            <w:vAlign w:val="center"/>
          </w:tcPr>
          <w:p>
            <w:pPr>
              <w:ind w:firstLine="0" w:firstLineChars="0"/>
              <w:jc w:val="center"/>
              <w:rPr>
                <w:rFonts w:cs="Times New Roman"/>
                <w:sz w:val="30"/>
                <w:szCs w:val="30"/>
              </w:rPr>
            </w:pPr>
            <w:r>
              <w:rPr>
                <w:rFonts w:cs="Times New Roman"/>
                <w:szCs w:val="30"/>
              </w:rPr>
              <w:t>2</w:t>
            </w:r>
          </w:p>
        </w:tc>
      </w:tr>
    </w:tbl>
    <w:p>
      <w:pPr>
        <w:pStyle w:val="7"/>
        <w:numPr>
          <w:ilvl w:val="0"/>
          <w:numId w:val="64"/>
        </w:numPr>
        <w:ind w:firstLine="643"/>
      </w:pPr>
      <w:r>
        <w:rPr>
          <w:rFonts w:hint="eastAsia"/>
        </w:rPr>
        <w:t>信息推送</w:t>
      </w:r>
    </w:p>
    <w:p>
      <w:pPr>
        <w:ind w:firstLine="640"/>
        <w:rPr>
          <w:rFonts w:hint="eastAsia" w:ascii="仿宋_GB2312" w:hAnsi="仿宋"/>
          <w:szCs w:val="32"/>
        </w:rPr>
      </w:pPr>
      <w:r>
        <w:rPr>
          <w:rFonts w:hint="eastAsia" w:ascii="仿宋_GB2312" w:hAnsi="仿宋"/>
          <w:szCs w:val="32"/>
        </w:rPr>
        <w:t>根据风险等级和隐患类型，锅炉风险智控服务器将短信和网络电话通过相应的处置流程发送到使用单位相应的人员的手机。</w:t>
      </w:r>
    </w:p>
    <w:p>
      <w:pPr>
        <w:ind w:firstLine="640"/>
        <w:rPr>
          <w:rFonts w:hint="eastAsia" w:ascii="仿宋_GB2312" w:hAnsi="仿宋"/>
          <w:szCs w:val="32"/>
        </w:rPr>
      </w:pPr>
      <w:r>
        <w:rPr>
          <w:rFonts w:hint="eastAsia" w:ascii="仿宋_GB2312" w:hAnsi="仿宋"/>
          <w:szCs w:val="32"/>
        </w:rPr>
        <w:t>一级：使用单位操作人员短信推送。</w:t>
      </w:r>
    </w:p>
    <w:p>
      <w:pPr>
        <w:ind w:firstLine="640"/>
        <w:rPr>
          <w:rFonts w:hint="eastAsia" w:ascii="仿宋_GB2312" w:hAnsi="仿宋"/>
          <w:szCs w:val="32"/>
        </w:rPr>
      </w:pPr>
      <w:r>
        <w:rPr>
          <w:rFonts w:hint="eastAsia" w:ascii="仿宋_GB2312" w:hAnsi="仿宋"/>
          <w:szCs w:val="32"/>
        </w:rPr>
        <w:t>二级：使用单位操作人员，安全管理人员短信推送。</w:t>
      </w:r>
    </w:p>
    <w:p>
      <w:pPr>
        <w:ind w:firstLine="640"/>
        <w:rPr>
          <w:rFonts w:ascii="仿宋_GB2312" w:hAnsi="仿宋"/>
          <w:szCs w:val="32"/>
        </w:rPr>
      </w:pPr>
      <w:r>
        <w:rPr>
          <w:rFonts w:hint="eastAsia" w:ascii="仿宋_GB2312" w:hAnsi="仿宋"/>
          <w:szCs w:val="32"/>
        </w:rPr>
        <w:t>三级：使用单位操作人员、安全管理人员和县、所一级的监察机构人员；</w:t>
      </w:r>
    </w:p>
    <w:p>
      <w:pPr>
        <w:ind w:firstLine="640"/>
        <w:rPr>
          <w:rFonts w:hint="eastAsia" w:ascii="仿宋_GB2312" w:hAnsi="仿宋"/>
          <w:szCs w:val="32"/>
        </w:rPr>
      </w:pPr>
      <w:r>
        <w:rPr>
          <w:rFonts w:hint="eastAsia" w:ascii="仿宋_GB2312" w:hAnsi="仿宋"/>
          <w:szCs w:val="32"/>
        </w:rPr>
        <w:t>短信推送的内容中需要明确存在具体的风险和风险相应的应急处置措施，其中应急处置措施是在公共服务平台使用单位模块中增加使用单位上传设备的应急处置措施的功能。</w:t>
      </w:r>
    </w:p>
    <w:p>
      <w:pPr>
        <w:pStyle w:val="7"/>
        <w:numPr>
          <w:ilvl w:val="0"/>
          <w:numId w:val="64"/>
        </w:numPr>
        <w:ind w:firstLine="643"/>
      </w:pPr>
      <w:r>
        <w:rPr>
          <w:rFonts w:hint="eastAsia"/>
        </w:rPr>
        <w:t>现场处置</w:t>
      </w:r>
    </w:p>
    <w:p>
      <w:pPr>
        <w:ind w:firstLine="640"/>
        <w:rPr>
          <w:rFonts w:ascii="仿宋_GB2312" w:hAnsi="仿宋"/>
          <w:szCs w:val="32"/>
        </w:rPr>
      </w:pPr>
      <w:r>
        <w:rPr>
          <w:rFonts w:hint="eastAsia" w:ascii="仿宋_GB2312" w:hAnsi="仿宋"/>
          <w:szCs w:val="32"/>
        </w:rPr>
        <w:t>使用单位接收到相应的信息后，处置相应隐患，将锅炉风险降低。对于一级、二级和三级的风险，风险短信推送的同时，实时推送到公共服务平台，使用单位排除风险并在平台上反馈；对于三级风险，监察机构需要对风险督促、跟踪，隐患闭环确认。</w:t>
      </w:r>
    </w:p>
    <w:p>
      <w:pPr>
        <w:pStyle w:val="5"/>
        <w:numPr>
          <w:ilvl w:val="3"/>
          <w:numId w:val="60"/>
        </w:numPr>
        <w:ind w:left="0" w:firstLine="643"/>
        <w:rPr>
          <w:rFonts w:ascii="仿宋_GB2312"/>
          <w:szCs w:val="32"/>
        </w:rPr>
      </w:pPr>
      <w:bookmarkStart w:id="87" w:name="_Toc20836"/>
      <w:bookmarkStart w:id="88" w:name="_Toc12438"/>
      <w:r>
        <w:rPr>
          <w:rFonts w:hint="eastAsia" w:ascii="仿宋_GB2312"/>
          <w:szCs w:val="32"/>
        </w:rPr>
        <w:t>整合数据资源</w:t>
      </w:r>
      <w:bookmarkEnd w:id="87"/>
      <w:bookmarkEnd w:id="88"/>
    </w:p>
    <w:p>
      <w:pPr>
        <w:pStyle w:val="6"/>
        <w:numPr>
          <w:ilvl w:val="0"/>
          <w:numId w:val="65"/>
        </w:numPr>
        <w:ind w:left="0" w:firstLine="640"/>
        <w:rPr>
          <w:rFonts w:ascii="仿宋_GB2312"/>
          <w:szCs w:val="32"/>
        </w:rPr>
      </w:pPr>
      <w:r>
        <w:rPr>
          <w:rFonts w:hint="eastAsia" w:ascii="仿宋_GB2312"/>
          <w:szCs w:val="32"/>
        </w:rPr>
        <w:t>对接局内系统情况</w:t>
      </w:r>
    </w:p>
    <w:p>
      <w:pPr>
        <w:ind w:firstLine="640"/>
        <w:rPr>
          <w:rFonts w:ascii="仿宋_GB2312" w:hAnsi="仿宋"/>
          <w:szCs w:val="32"/>
        </w:rPr>
      </w:pPr>
      <w:r>
        <w:rPr>
          <w:rFonts w:hint="eastAsia" w:ascii="仿宋_GB2312" w:hAnsi="仿宋"/>
          <w:szCs w:val="32"/>
        </w:rPr>
        <w:t>各地市监察数据库、检验数据库。</w:t>
      </w:r>
    </w:p>
    <w:p>
      <w:pPr>
        <w:ind w:firstLine="640"/>
        <w:rPr>
          <w:rFonts w:ascii="仿宋_GB2312" w:hAnsi="仿宋"/>
          <w:szCs w:val="32"/>
        </w:rPr>
      </w:pPr>
      <w:r>
        <w:rPr>
          <w:rFonts w:hint="eastAsia" w:ascii="仿宋_GB2312" w:hAnsi="仿宋"/>
          <w:szCs w:val="32"/>
        </w:rPr>
        <w:t>锅炉风险智控服务器和省特科院锅炉风险智控前置服务器（锅炉物联网）对接。</w:t>
      </w:r>
    </w:p>
    <w:p>
      <w:pPr>
        <w:pStyle w:val="6"/>
        <w:numPr>
          <w:ilvl w:val="0"/>
          <w:numId w:val="65"/>
        </w:numPr>
        <w:ind w:left="0" w:firstLine="640"/>
        <w:rPr>
          <w:rFonts w:ascii="仿宋_GB2312"/>
          <w:szCs w:val="32"/>
        </w:rPr>
      </w:pPr>
      <w:r>
        <w:rPr>
          <w:rFonts w:hint="eastAsia" w:ascii="仿宋_GB2312"/>
          <w:szCs w:val="32"/>
        </w:rPr>
        <w:t>其他部门系统情况</w:t>
      </w:r>
    </w:p>
    <w:p>
      <w:pPr>
        <w:ind w:firstLine="640"/>
        <w:rPr>
          <w:rFonts w:ascii="仿宋_GB2312" w:hAnsi="仿宋"/>
          <w:szCs w:val="32"/>
        </w:rPr>
      </w:pPr>
      <w:r>
        <w:rPr>
          <w:rFonts w:hint="eastAsia" w:ascii="仿宋_GB2312" w:hAnsi="仿宋"/>
          <w:szCs w:val="32"/>
        </w:rPr>
        <w:t>省特科院锅炉风险智控前置服务器（锅炉物联网）与各个企业锅炉物联子网对接。</w:t>
      </w:r>
    </w:p>
    <w:p>
      <w:pPr>
        <w:ind w:firstLine="640"/>
        <w:rPr>
          <w:rFonts w:ascii="仿宋_GB2312" w:hAnsi="仿宋"/>
          <w:szCs w:val="32"/>
        </w:rPr>
      </w:pPr>
      <w:r>
        <w:rPr>
          <w:rFonts w:hint="eastAsia" w:ascii="仿宋_GB2312" w:hAnsi="仿宋"/>
          <w:szCs w:val="32"/>
        </w:rPr>
        <w:t>省特科院锅炉风险智控前置服务器（锅炉物联网）与各现场锅炉对接。</w:t>
      </w:r>
    </w:p>
    <w:p>
      <w:pPr>
        <w:ind w:firstLine="640"/>
        <w:rPr>
          <w:rFonts w:ascii="仿宋_GB2312" w:hAnsi="仿宋"/>
          <w:szCs w:val="32"/>
        </w:rPr>
      </w:pPr>
      <w:r>
        <w:rPr>
          <w:rFonts w:hint="eastAsia" w:ascii="仿宋_GB2312" w:hAnsi="仿宋"/>
          <w:szCs w:val="32"/>
        </w:rPr>
        <w:t>锅炉风险智控服务器必要时和政府其他部门数据对接。</w:t>
      </w:r>
    </w:p>
    <w:p>
      <w:pPr>
        <w:ind w:firstLine="640"/>
        <w:rPr>
          <w:rFonts w:ascii="仿宋_GB2312" w:hAnsi="仿宋"/>
          <w:szCs w:val="32"/>
        </w:rPr>
      </w:pPr>
      <w:r>
        <w:rPr>
          <w:rFonts w:hint="eastAsia" w:ascii="仿宋_GB2312" w:hAnsi="仿宋"/>
          <w:szCs w:val="32"/>
        </w:rPr>
        <w:t>省特科院锅炉风险智控前置服务器（锅炉物联网）与各现场锅炉对接。</w:t>
      </w:r>
    </w:p>
    <w:p>
      <w:pPr>
        <w:ind w:firstLine="640"/>
        <w:rPr>
          <w:rFonts w:ascii="仿宋_GB2312" w:hAnsi="仿宋"/>
          <w:szCs w:val="32"/>
        </w:rPr>
      </w:pPr>
      <w:r>
        <w:rPr>
          <w:rFonts w:hint="eastAsia" w:ascii="仿宋_GB2312" w:hAnsi="仿宋"/>
          <w:szCs w:val="32"/>
        </w:rPr>
        <w:t>锅炉风险智控服务器必要时和政府其他部门数据对接。</w:t>
      </w:r>
    </w:p>
    <w:p>
      <w:pPr>
        <w:pStyle w:val="4"/>
        <w:numPr>
          <w:ilvl w:val="2"/>
          <w:numId w:val="59"/>
        </w:numPr>
        <w:spacing w:before="0" w:after="0" w:line="580" w:lineRule="exact"/>
        <w:ind w:left="0" w:firstLine="640"/>
        <w:rPr>
          <w:rFonts w:ascii="楷体_GB2312" w:eastAsia="楷体_GB2312"/>
        </w:rPr>
      </w:pPr>
      <w:bookmarkStart w:id="89" w:name="_Toc18735"/>
      <w:bookmarkStart w:id="90" w:name="_Toc9395"/>
      <w:r>
        <w:rPr>
          <w:rFonts w:hint="eastAsia" w:ascii="楷体_GB2312" w:eastAsia="楷体_GB2312"/>
        </w:rPr>
        <w:t>压力容器智控系统应用场景</w:t>
      </w:r>
      <w:bookmarkEnd w:id="89"/>
      <w:bookmarkEnd w:id="90"/>
    </w:p>
    <w:p>
      <w:pPr>
        <w:ind w:firstLine="640"/>
        <w:jc w:val="left"/>
        <w:rPr>
          <w:rFonts w:ascii="仿宋_GB2312" w:hAnsi="仿宋"/>
          <w:szCs w:val="32"/>
        </w:rPr>
      </w:pPr>
      <w:r>
        <w:rPr>
          <w:rFonts w:hint="eastAsia" w:ascii="仿宋_GB2312" w:hAnsi="仿宋"/>
          <w:szCs w:val="32"/>
        </w:rPr>
        <w:t>压力容器智控系统分为移动式压力容器风险智控应用场景和固定式压力容器智控系统应用场景，移动式压力容器风险智控应用场景业务内容包括充装智库、风险分级管控、实况分级预警、定点卸液在线监督等模块；固定式压力容器智控系统包括风险分级、风险展示、监督预警等模块。</w:t>
      </w:r>
    </w:p>
    <w:p>
      <w:pPr>
        <w:pStyle w:val="5"/>
        <w:numPr>
          <w:ilvl w:val="3"/>
          <w:numId w:val="66"/>
        </w:numPr>
        <w:ind w:left="0" w:firstLine="643"/>
        <w:rPr>
          <w:rFonts w:ascii="仿宋_GB2312"/>
          <w:szCs w:val="32"/>
        </w:rPr>
      </w:pPr>
      <w:bookmarkStart w:id="91" w:name="_Toc23377"/>
      <w:bookmarkStart w:id="92" w:name="_Toc7724"/>
      <w:r>
        <w:rPr>
          <w:rFonts w:hint="eastAsia" w:ascii="仿宋_GB2312"/>
          <w:szCs w:val="32"/>
        </w:rPr>
        <w:t>移动式压力容器风险智控应用场景描述</w:t>
      </w:r>
      <w:bookmarkEnd w:id="91"/>
      <w:bookmarkEnd w:id="92"/>
    </w:p>
    <w:p>
      <w:pPr>
        <w:pStyle w:val="6"/>
        <w:numPr>
          <w:ilvl w:val="0"/>
          <w:numId w:val="67"/>
        </w:numPr>
        <w:ind w:left="0" w:firstLine="640"/>
        <w:rPr>
          <w:rFonts w:ascii="仿宋_GB2312"/>
          <w:szCs w:val="32"/>
        </w:rPr>
      </w:pPr>
      <w:r>
        <w:rPr>
          <w:rFonts w:hint="eastAsia" w:ascii="仿宋_GB2312"/>
          <w:szCs w:val="32"/>
        </w:rPr>
        <w:t>功能描述</w:t>
      </w:r>
    </w:p>
    <w:p>
      <w:pPr>
        <w:ind w:firstLine="640"/>
        <w:rPr>
          <w:rFonts w:ascii="仿宋_GB2312" w:hAnsi="仿宋"/>
          <w:szCs w:val="32"/>
        </w:rPr>
      </w:pPr>
      <w:r>
        <w:rPr>
          <w:rFonts w:hint="eastAsia" w:ascii="仿宋_GB2312" w:hAnsi="仿宋"/>
          <w:szCs w:val="32"/>
        </w:rPr>
        <w:t>通过对充装单位充装信息、移动式压力容器设备信息的网络采集，智能充装过程和道路运输风险等级，形成风险预警信息。建设移动式压力容器智控平台，实施移动式压力容器风险分级管控和实况分级预警，建立移动式压力容器安全监察的“双重预防”机制。</w:t>
      </w:r>
    </w:p>
    <w:p>
      <w:pPr>
        <w:pStyle w:val="6"/>
        <w:numPr>
          <w:ilvl w:val="0"/>
          <w:numId w:val="67"/>
        </w:numPr>
        <w:ind w:left="0" w:firstLine="640"/>
        <w:rPr>
          <w:rFonts w:ascii="仿宋_GB2312"/>
          <w:szCs w:val="32"/>
        </w:rPr>
      </w:pPr>
      <w:r>
        <w:rPr>
          <w:rFonts w:hint="eastAsia" w:ascii="仿宋_GB2312"/>
          <w:szCs w:val="32"/>
        </w:rPr>
        <w:t>业务内容</w:t>
      </w:r>
    </w:p>
    <w:p>
      <w:pPr>
        <w:pStyle w:val="7"/>
        <w:numPr>
          <w:ilvl w:val="0"/>
          <w:numId w:val="68"/>
        </w:numPr>
        <w:ind w:firstLine="643"/>
      </w:pPr>
      <w:r>
        <w:rPr>
          <w:rFonts w:hint="eastAsia"/>
        </w:rPr>
        <w:t>充装智库</w:t>
      </w:r>
    </w:p>
    <w:p>
      <w:pPr>
        <w:ind w:firstLine="640"/>
        <w:rPr>
          <w:rFonts w:ascii="仿宋_GB2312" w:hAnsi="仿宋"/>
          <w:szCs w:val="32"/>
        </w:rPr>
      </w:pPr>
      <w:r>
        <w:rPr>
          <w:rFonts w:hint="eastAsia" w:ascii="仿宋_GB2312" w:hAnsi="仿宋"/>
          <w:szCs w:val="32"/>
        </w:rPr>
        <w:t>通过与相关系统的信息互通以及向检验系统和移动式压力容器公共信息服务平台采集数据，获取移动式压力容器充装的各项信息，经“充装智库”的统计分析，形成相关统计数据，服务于我省移动式压力容器充装的监察和社会管理。</w:t>
      </w:r>
    </w:p>
    <w:p>
      <w:pPr>
        <w:pStyle w:val="7"/>
        <w:numPr>
          <w:ilvl w:val="0"/>
          <w:numId w:val="68"/>
        </w:numPr>
        <w:ind w:firstLine="643"/>
      </w:pPr>
      <w:r>
        <w:rPr>
          <w:rFonts w:hint="eastAsia"/>
        </w:rPr>
        <w:t>风险分级管控</w:t>
      </w:r>
    </w:p>
    <w:p>
      <w:pPr>
        <w:ind w:firstLine="640"/>
        <w:rPr>
          <w:rFonts w:ascii="仿宋_GB2312" w:hAnsi="仿宋"/>
          <w:szCs w:val="32"/>
        </w:rPr>
      </w:pPr>
      <w:r>
        <w:rPr>
          <w:rFonts w:hint="eastAsia" w:ascii="仿宋_GB2312" w:hAnsi="仿宋"/>
          <w:szCs w:val="32"/>
        </w:rPr>
        <w:t>在“充装智库”内将建立风险分级算法程序，用于对采集获取的信息进行计算分析，评估对象分为使用单位和移动式压力容器两种。对使用单位主要依据</w:t>
      </w:r>
      <w:r>
        <w:rPr>
          <w:rFonts w:cs="Times New Roman"/>
          <w:szCs w:val="32"/>
        </w:rPr>
        <w:t>DB33 T2126-2018</w:t>
      </w:r>
      <w:r>
        <w:rPr>
          <w:rFonts w:hint="eastAsia" w:ascii="仿宋_GB2312" w:hAnsi="仿宋"/>
          <w:szCs w:val="32"/>
        </w:rPr>
        <w:t>《特种设备使用安全管理分类评价规范》，在对其所有特种设备按比例进行评估的基础上，加权计算其风险级别。对设备的评估，依据其基本信息及检验信息，根据检验风险评级、设备使用年限、充装介质等信息建立风险评估体系。</w:t>
      </w:r>
    </w:p>
    <w:p>
      <w:pPr>
        <w:pStyle w:val="7"/>
        <w:numPr>
          <w:ilvl w:val="0"/>
          <w:numId w:val="68"/>
        </w:numPr>
        <w:ind w:firstLine="643"/>
      </w:pPr>
      <w:r>
        <w:rPr>
          <w:rFonts w:hint="eastAsia"/>
        </w:rPr>
        <w:t>实况分级预警</w:t>
      </w:r>
    </w:p>
    <w:p>
      <w:pPr>
        <w:ind w:firstLine="640"/>
        <w:rPr>
          <w:rFonts w:ascii="仿宋_GB2312" w:hAnsi="仿宋"/>
          <w:szCs w:val="32"/>
        </w:rPr>
      </w:pPr>
      <w:r>
        <w:rPr>
          <w:rFonts w:hint="eastAsia" w:ascii="仿宋_GB2312" w:hAnsi="仿宋"/>
          <w:szCs w:val="32"/>
        </w:rPr>
        <w:t>在“充装智库”内将建立分级预警算法程序，对接移动式压力容器公共信息服务平台、检验数据库、充装数据等外部数据源，分时进行设备实况分级预警。使用单位根据分级预警信息对移动式压力容器使用进行一定限制，以降低运行风险避免事故发生。</w:t>
      </w:r>
    </w:p>
    <w:p>
      <w:pPr>
        <w:pStyle w:val="7"/>
        <w:numPr>
          <w:ilvl w:val="0"/>
          <w:numId w:val="68"/>
        </w:numPr>
        <w:ind w:firstLine="643"/>
      </w:pPr>
      <w:r>
        <w:rPr>
          <w:rFonts w:hint="eastAsia"/>
        </w:rPr>
        <w:t>定点卸液在线监督</w:t>
      </w:r>
    </w:p>
    <w:p>
      <w:pPr>
        <w:ind w:firstLine="640"/>
        <w:rPr>
          <w:rFonts w:ascii="仿宋_GB2312" w:hAnsi="仿宋"/>
          <w:szCs w:val="32"/>
        </w:rPr>
      </w:pPr>
      <w:r>
        <w:rPr>
          <w:rFonts w:hint="eastAsia" w:ascii="仿宋_GB2312" w:hAnsi="仿宋"/>
          <w:szCs w:val="32"/>
        </w:rPr>
        <w:t>利用全国移动式压力容器定点卸液信息服务平台对接监管机构和使用单位，获取移动式压力容器定点卸液作业信息。对于违规操作报警和未按要求使用定点卸液系统的使用单位，定期形成汇总数据作为监察依据。</w:t>
      </w:r>
    </w:p>
    <w:p>
      <w:pPr>
        <w:pStyle w:val="6"/>
        <w:numPr>
          <w:ilvl w:val="0"/>
          <w:numId w:val="67"/>
        </w:numPr>
        <w:ind w:left="0" w:firstLine="640"/>
        <w:rPr>
          <w:rFonts w:ascii="仿宋_GB2312"/>
          <w:szCs w:val="32"/>
        </w:rPr>
      </w:pPr>
      <w:r>
        <w:rPr>
          <w:rFonts w:hint="eastAsia" w:ascii="仿宋_GB2312"/>
          <w:szCs w:val="32"/>
        </w:rPr>
        <w:t>统一标准规范</w:t>
      </w:r>
    </w:p>
    <w:p>
      <w:pPr>
        <w:ind w:firstLine="640"/>
        <w:rPr>
          <w:rFonts w:ascii="仿宋_GB2312" w:hAnsi="仿宋"/>
          <w:szCs w:val="32"/>
        </w:rPr>
      </w:pPr>
      <w:r>
        <w:rPr>
          <w:rFonts w:hint="eastAsia" w:ascii="仿宋_GB2312" w:hAnsi="仿宋"/>
          <w:szCs w:val="32"/>
        </w:rPr>
        <w:t>罐车风险智控应用场景设计依托特种设备风险防范预警系统（以下简称预警系统）实现。</w:t>
      </w:r>
    </w:p>
    <w:p>
      <w:pPr>
        <w:pStyle w:val="7"/>
        <w:numPr>
          <w:ilvl w:val="0"/>
          <w:numId w:val="69"/>
        </w:numPr>
        <w:ind w:firstLine="643"/>
      </w:pPr>
      <w:r>
        <w:rPr>
          <w:rFonts w:hint="eastAsia"/>
        </w:rPr>
        <w:t>业务对象</w:t>
      </w:r>
    </w:p>
    <w:p>
      <w:pPr>
        <w:ind w:firstLine="640"/>
        <w:rPr>
          <w:rFonts w:ascii="仿宋_GB2312" w:hAnsi="仿宋"/>
          <w:szCs w:val="32"/>
        </w:rPr>
      </w:pPr>
      <w:r>
        <w:rPr>
          <w:rFonts w:hint="eastAsia" w:ascii="仿宋_GB2312" w:hAnsi="仿宋"/>
          <w:szCs w:val="32"/>
        </w:rPr>
        <w:t>浙江省所有各级行政监管机构、检验机构、特种设备使用单位和充装单位。</w:t>
      </w:r>
    </w:p>
    <w:p>
      <w:pPr>
        <w:pStyle w:val="7"/>
        <w:numPr>
          <w:ilvl w:val="0"/>
          <w:numId w:val="69"/>
        </w:numPr>
        <w:ind w:firstLine="643"/>
      </w:pPr>
      <w:r>
        <w:rPr>
          <w:rFonts w:hint="eastAsia"/>
        </w:rPr>
        <w:t>技术手段</w:t>
      </w:r>
    </w:p>
    <w:p>
      <w:pPr>
        <w:numPr>
          <w:ilvl w:val="0"/>
          <w:numId w:val="70"/>
        </w:numPr>
        <w:ind w:left="0" w:firstLine="640"/>
      </w:pPr>
      <w:r>
        <w:rPr>
          <w:rFonts w:hint="eastAsia"/>
        </w:rPr>
        <w:t>开发钉钉客户端；</w:t>
      </w:r>
    </w:p>
    <w:p>
      <w:pPr>
        <w:numPr>
          <w:ilvl w:val="0"/>
          <w:numId w:val="70"/>
        </w:numPr>
        <w:ind w:left="0" w:firstLine="640"/>
      </w:pPr>
      <w:r>
        <w:rPr>
          <w:rFonts w:hint="eastAsia"/>
        </w:rPr>
        <w:t>建立大数据互联，接入省局监管系统、省特科院检验系统及各类公共信息服务平台；</w:t>
      </w:r>
    </w:p>
    <w:p>
      <w:pPr>
        <w:numPr>
          <w:ilvl w:val="0"/>
          <w:numId w:val="70"/>
        </w:numPr>
        <w:ind w:left="0" w:firstLine="640"/>
      </w:pPr>
      <w:r>
        <w:rPr>
          <w:rFonts w:hint="eastAsia"/>
        </w:rPr>
        <w:t>运用统计学原理建立相关算法模型；</w:t>
      </w:r>
    </w:p>
    <w:p>
      <w:pPr>
        <w:numPr>
          <w:ilvl w:val="0"/>
          <w:numId w:val="70"/>
        </w:numPr>
        <w:ind w:left="0" w:firstLine="640"/>
      </w:pPr>
      <w:r>
        <w:rPr>
          <w:rFonts w:hint="eastAsia"/>
        </w:rPr>
        <w:t>构建和完善风险评估导则；</w:t>
      </w:r>
    </w:p>
    <w:p>
      <w:pPr>
        <w:numPr>
          <w:ilvl w:val="0"/>
          <w:numId w:val="70"/>
        </w:numPr>
        <w:ind w:left="0" w:firstLine="640"/>
      </w:pPr>
      <w:r>
        <w:rPr>
          <w:rFonts w:hint="eastAsia"/>
        </w:rPr>
        <w:t>运用物联网技术，接入移动式压力容器本体采集数据。</w:t>
      </w:r>
    </w:p>
    <w:p>
      <w:pPr>
        <w:pStyle w:val="7"/>
        <w:numPr>
          <w:ilvl w:val="0"/>
          <w:numId w:val="69"/>
        </w:numPr>
        <w:ind w:firstLine="643"/>
      </w:pPr>
      <w:r>
        <w:rPr>
          <w:rFonts w:hint="eastAsia"/>
        </w:rPr>
        <w:t>具体要求</w:t>
      </w:r>
    </w:p>
    <w:p>
      <w:pPr>
        <w:numPr>
          <w:ilvl w:val="0"/>
          <w:numId w:val="71"/>
        </w:numPr>
        <w:ind w:left="0" w:firstLine="640"/>
      </w:pPr>
      <w:r>
        <w:rPr>
          <w:rFonts w:hint="eastAsia"/>
        </w:rPr>
        <w:t>充装信息统计</w:t>
      </w:r>
    </w:p>
    <w:p>
      <w:pPr>
        <w:ind w:firstLine="640"/>
        <w:rPr>
          <w:rFonts w:ascii="仿宋_GB2312" w:hAnsi="仿宋"/>
          <w:szCs w:val="32"/>
        </w:rPr>
      </w:pPr>
      <w:r>
        <w:rPr>
          <w:rFonts w:hint="eastAsia" w:ascii="仿宋_GB2312" w:hAnsi="仿宋"/>
          <w:szCs w:val="32"/>
        </w:rPr>
        <w:t>“充装智库”将智能汇总我省各充装站的充装信息，充装量、充装介质和被充装设备等基本信息，通过大数据汇总显示。同时，设备的基础信息、检验信息也纳入“充装智库”的存储内容。</w:t>
      </w:r>
    </w:p>
    <w:p>
      <w:pPr>
        <w:ind w:firstLine="640"/>
        <w:rPr>
          <w:rFonts w:ascii="仿宋_GB2312" w:hAnsi="仿宋"/>
          <w:szCs w:val="32"/>
        </w:rPr>
      </w:pPr>
      <w:r>
        <w:rPr>
          <w:rFonts w:hint="eastAsia" w:ascii="仿宋_GB2312" w:hAnsi="仿宋"/>
          <w:szCs w:val="32"/>
        </w:rPr>
        <w:t>监察人员、检验人员及其它应用人员依据各自权限按分类、分区域或按关键字查询统计信息，也可按使用单位名称、移动式压力容器关键信息查询相应移动式压力容器的基础信息及检验信息。</w:t>
      </w:r>
    </w:p>
    <w:p>
      <w:pPr>
        <w:numPr>
          <w:ilvl w:val="0"/>
          <w:numId w:val="71"/>
        </w:numPr>
        <w:ind w:left="0" w:firstLine="640"/>
      </w:pPr>
      <w:r>
        <w:rPr>
          <w:rFonts w:hint="eastAsia"/>
        </w:rPr>
        <w:t>定点卸液信息统计</w:t>
      </w:r>
    </w:p>
    <w:p>
      <w:pPr>
        <w:ind w:firstLine="640"/>
        <w:rPr>
          <w:rFonts w:ascii="仿宋_GB2312" w:hAnsi="仿宋"/>
          <w:szCs w:val="32"/>
        </w:rPr>
      </w:pPr>
      <w:r>
        <w:rPr>
          <w:rFonts w:hint="eastAsia" w:ascii="仿宋_GB2312" w:hAnsi="仿宋"/>
          <w:szCs w:val="32"/>
        </w:rPr>
        <w:t>根据国家对定点卸液系统管理的要求，对接移动式压力容器相关信息平台，为监管部门提供技术支持。定点卸液信息通过车载卸液泵实时定位数据以及卸液泵开启位置数据与设定电子围栏符合性判定，提供定点卸液过程监管依据。使用单位、作业人员在相应功能平台进行申请和操作，监管人员可通过“充装智库”了解企业需求，进行在线审批和监督。</w:t>
      </w:r>
    </w:p>
    <w:p>
      <w:pPr>
        <w:numPr>
          <w:ilvl w:val="0"/>
          <w:numId w:val="71"/>
        </w:numPr>
        <w:ind w:left="0" w:firstLine="640"/>
      </w:pPr>
      <w:r>
        <w:rPr>
          <w:rFonts w:hint="eastAsia"/>
        </w:rPr>
        <w:t>风险信息统计</w:t>
      </w:r>
    </w:p>
    <w:p>
      <w:pPr>
        <w:ind w:firstLine="640"/>
        <w:rPr>
          <w:rFonts w:ascii="仿宋_GB2312" w:hAnsi="仿宋"/>
          <w:szCs w:val="32"/>
        </w:rPr>
      </w:pPr>
      <w:r>
        <w:rPr>
          <w:rFonts w:hint="eastAsia" w:ascii="仿宋_GB2312" w:hAnsi="仿宋"/>
          <w:bCs/>
          <w:szCs w:val="32"/>
        </w:rPr>
        <w:t>“充装智库”将对接检验数据库，基于检验信息和设备信息进行移动式</w:t>
      </w:r>
      <w:r>
        <w:rPr>
          <w:rFonts w:hint="eastAsia" w:ascii="仿宋_GB2312" w:hAnsi="仿宋"/>
          <w:szCs w:val="32"/>
        </w:rPr>
        <w:t>压力容器风险评级，作为一定时期内该设备监管依据。通过大数据汇总移动式压力容器充装信息和检验有效期等信息汇总形成实况分级预警，作为监管部门评估设备状态的依据。通过风险评级和实况分级预警形成移动式压力容器安全监察的“双重预防”机制</w:t>
      </w:r>
    </w:p>
    <w:p>
      <w:pPr>
        <w:ind w:firstLine="640"/>
        <w:rPr>
          <w:rFonts w:ascii="仿宋_GB2312" w:hAnsi="仿宋"/>
          <w:szCs w:val="32"/>
        </w:rPr>
      </w:pPr>
      <w:r>
        <w:rPr>
          <w:rFonts w:hint="eastAsia" w:ascii="仿宋_GB2312" w:hAnsi="仿宋"/>
          <w:szCs w:val="32"/>
        </w:rPr>
        <w:t>按风险评级和实况分级预警智能统计各级、各类设备数量和使用单位数量，统计信息可按所属地区、使用单位、风险级别分类显示，指导监察机构对不同风险级别的移动式压力容器采取相应的政策引导，对较高预警级别设备及时采取预警措施。</w:t>
      </w:r>
    </w:p>
    <w:p>
      <w:pPr>
        <w:ind w:firstLine="640"/>
        <w:rPr>
          <w:rFonts w:ascii="仿宋_GB2312" w:hAnsi="仿宋"/>
          <w:szCs w:val="32"/>
        </w:rPr>
      </w:pPr>
      <w:r>
        <w:rPr>
          <w:rFonts w:hint="eastAsia" w:ascii="仿宋_GB2312" w:hAnsi="仿宋"/>
          <w:szCs w:val="32"/>
        </w:rPr>
        <w:t>监察人员、检验人员及其它应用人员依据各自权限通过使用单位、地区名称、风险等级查询风险统计信息，也可通过使用单位、设备关键信息查询相应单位或设备的风险等级。</w:t>
      </w:r>
    </w:p>
    <w:p>
      <w:pPr>
        <w:numPr>
          <w:ilvl w:val="0"/>
          <w:numId w:val="71"/>
        </w:numPr>
        <w:ind w:left="0" w:firstLine="640"/>
      </w:pPr>
      <w:r>
        <w:rPr>
          <w:rFonts w:hint="eastAsia"/>
        </w:rPr>
        <w:t>缺陷信息统计</w:t>
      </w:r>
    </w:p>
    <w:p>
      <w:pPr>
        <w:ind w:firstLine="640"/>
        <w:rPr>
          <w:rFonts w:ascii="仿宋_GB2312" w:hAnsi="仿宋"/>
          <w:bCs/>
          <w:szCs w:val="32"/>
        </w:rPr>
      </w:pPr>
      <w:r>
        <w:rPr>
          <w:rFonts w:hint="eastAsia" w:ascii="仿宋_GB2312" w:hAnsi="仿宋"/>
          <w:bCs/>
          <w:szCs w:val="32"/>
        </w:rPr>
        <w:t>“充装智库”将建立缺陷词条库，对采集入库的词条通过</w:t>
      </w:r>
      <w:r>
        <w:rPr>
          <w:rFonts w:cs="Times New Roman"/>
          <w:bCs/>
          <w:szCs w:val="32"/>
        </w:rPr>
        <w:t>AI</w:t>
      </w:r>
      <w:r>
        <w:rPr>
          <w:rFonts w:hint="eastAsia" w:ascii="仿宋_GB2312" w:hAnsi="仿宋"/>
          <w:bCs/>
          <w:szCs w:val="32"/>
        </w:rPr>
        <w:t>技术智能截取高频率缺陷词条，并关联相应移动式压力容器信息。统计出现频率较高的缺陷词条数量、相应移动式压力容器数量，并统计缺陷词条数量较多的使用单位及移动式压力容器数量。“充装智库”将按高频率词条、使用单位、移动式压力容器特性统计后列表显示前</w:t>
      </w:r>
      <w:r>
        <w:rPr>
          <w:rFonts w:cs="Times New Roman"/>
          <w:bCs/>
          <w:szCs w:val="32"/>
        </w:rPr>
        <w:t>100</w:t>
      </w:r>
      <w:r>
        <w:rPr>
          <w:rFonts w:hint="eastAsia" w:ascii="仿宋_GB2312" w:hAnsi="仿宋"/>
          <w:bCs/>
          <w:szCs w:val="32"/>
        </w:rPr>
        <w:t>位，首页显示前</w:t>
      </w:r>
      <w:r>
        <w:rPr>
          <w:rFonts w:cs="Times New Roman"/>
          <w:bCs/>
          <w:szCs w:val="32"/>
        </w:rPr>
        <w:t>20</w:t>
      </w:r>
      <w:r>
        <w:rPr>
          <w:rFonts w:hint="eastAsia" w:ascii="仿宋_GB2312" w:hAnsi="仿宋"/>
          <w:bCs/>
          <w:szCs w:val="32"/>
        </w:rPr>
        <w:t>位。统计信息可用于指导开展专项整治、风险预警、技术创新、普法宣传等工作。</w:t>
      </w:r>
    </w:p>
    <w:p>
      <w:pPr>
        <w:ind w:firstLine="640"/>
        <w:rPr>
          <w:rFonts w:ascii="仿宋_GB2312" w:hAnsi="仿宋"/>
          <w:bCs/>
          <w:szCs w:val="32"/>
        </w:rPr>
      </w:pPr>
      <w:r>
        <w:rPr>
          <w:rFonts w:hint="eastAsia" w:ascii="仿宋_GB2312" w:hAnsi="仿宋"/>
          <w:bCs/>
          <w:szCs w:val="32"/>
        </w:rPr>
        <w:t>“充装智库”对接省特科院检验系统关联检验人员在出具报告时填写输入的设备缺陷信息。</w:t>
      </w:r>
    </w:p>
    <w:p>
      <w:pPr>
        <w:ind w:firstLine="640"/>
        <w:rPr>
          <w:rFonts w:ascii="仿宋_GB2312" w:hAnsi="仿宋"/>
          <w:bCs/>
          <w:szCs w:val="32"/>
        </w:rPr>
      </w:pPr>
      <w:r>
        <w:rPr>
          <w:rFonts w:hint="eastAsia" w:ascii="仿宋_GB2312" w:hAnsi="仿宋"/>
          <w:bCs/>
          <w:szCs w:val="32"/>
        </w:rPr>
        <w:t>监察人员、检验人员及其它应用人员依据各自权限通过使用单位、移动式压力容器关键信息查询相应缺陷信息。</w:t>
      </w:r>
    </w:p>
    <w:p>
      <w:pPr>
        <w:pStyle w:val="7"/>
        <w:numPr>
          <w:ilvl w:val="0"/>
          <w:numId w:val="69"/>
        </w:numPr>
        <w:ind w:firstLine="643"/>
      </w:pPr>
      <w:r>
        <w:rPr>
          <w:rFonts w:hint="eastAsia"/>
        </w:rPr>
        <w:t>管理模式</w:t>
      </w:r>
    </w:p>
    <w:p>
      <w:pPr>
        <w:numPr>
          <w:ilvl w:val="0"/>
          <w:numId w:val="72"/>
        </w:numPr>
        <w:ind w:left="0" w:firstLine="640"/>
      </w:pPr>
      <w:r>
        <w:rPr>
          <w:rFonts w:hint="eastAsia"/>
        </w:rPr>
        <w:t>移动式压力容器信息的及时更新、输入和查询相结合，做到信息的及时传输与信息对等。</w:t>
      </w:r>
    </w:p>
    <w:p>
      <w:pPr>
        <w:numPr>
          <w:ilvl w:val="0"/>
          <w:numId w:val="72"/>
        </w:numPr>
        <w:ind w:left="0" w:firstLine="640"/>
      </w:pPr>
      <w:r>
        <w:rPr>
          <w:rFonts w:hint="eastAsia"/>
        </w:rPr>
        <w:t>风险等级以智能判定及专家评估相结合，发挥大数据与专业技术能力各自优势。</w:t>
      </w:r>
    </w:p>
    <w:p>
      <w:pPr>
        <w:numPr>
          <w:ilvl w:val="0"/>
          <w:numId w:val="72"/>
        </w:numPr>
        <w:ind w:left="0" w:firstLine="640"/>
      </w:pPr>
      <w:r>
        <w:rPr>
          <w:rFonts w:hint="eastAsia"/>
        </w:rPr>
        <w:t>对设备进行分级、分手段、分区域管控，以最优资源、最高效率对重点设备、重点单位进行管控。</w:t>
      </w:r>
    </w:p>
    <w:p>
      <w:pPr>
        <w:numPr>
          <w:ilvl w:val="0"/>
          <w:numId w:val="72"/>
        </w:numPr>
        <w:ind w:left="0" w:firstLine="640"/>
      </w:pPr>
      <w:r>
        <w:rPr>
          <w:rFonts w:hint="eastAsia"/>
        </w:rPr>
        <w:t>以缺陷为基础评估风险等级，以风险源为依据制定隐患排查内容，以隐患排查为手段治理缺陷，达到闭环管理的目的。</w:t>
      </w:r>
    </w:p>
    <w:p>
      <w:pPr>
        <w:pStyle w:val="7"/>
        <w:numPr>
          <w:ilvl w:val="0"/>
          <w:numId w:val="69"/>
        </w:numPr>
        <w:ind w:firstLine="643"/>
      </w:pPr>
      <w:r>
        <w:rPr>
          <w:rFonts w:ascii="仿宋_GB2312"/>
          <w:szCs w:val="32"/>
        </w:rPr>
        <w:pict>
          <v:shape id="_x0000_s1026" o:spid="_x0000_s1026" o:spt="75" type="#_x0000_t75" style="position:absolute;left:0pt;margin-left:23.3pt;margin-top:75.3pt;height:235.25pt;width:416.1pt;mso-wrap-distance-bottom:0pt;mso-wrap-distance-left:9pt;mso-wrap-distance-right:9pt;mso-wrap-distance-top:0pt;z-index:251679744;mso-width-relative:page;mso-height-relative:page;" filled="f" o:preferrelative="t" stroked="f" coordsize="21600,21600">
            <v:path/>
            <v:fill on="f" focussize="0,0"/>
            <v:stroke on="f" joinstyle="miter"/>
            <v:imagedata r:id="rId32" o:title=""/>
            <o:lock v:ext="edit" aspectratio="t"/>
            <w10:wrap type="square"/>
          </v:shape>
        </w:pict>
      </w:r>
      <w:r>
        <w:rPr>
          <w:rFonts w:hint="eastAsia"/>
        </w:rPr>
        <w:t>管理流程</w:t>
      </w:r>
    </w:p>
    <w:p>
      <w:pPr>
        <w:numPr>
          <w:ilvl w:val="0"/>
          <w:numId w:val="73"/>
        </w:numPr>
        <w:ind w:left="0" w:firstLine="640"/>
      </w:pPr>
      <w:r>
        <w:rPr>
          <w:rFonts w:hint="eastAsia"/>
        </w:rPr>
        <w:t>风险评估流程</w:t>
      </w:r>
    </w:p>
    <w:p>
      <w:pPr>
        <w:tabs>
          <w:tab w:val="left" w:pos="312"/>
        </w:tabs>
        <w:ind w:firstLine="640"/>
        <w:jc w:val="center"/>
        <w:rPr>
          <w:rFonts w:ascii="仿宋_GB2312"/>
          <w:szCs w:val="32"/>
        </w:rPr>
      </w:pPr>
      <w:r>
        <w:rPr>
          <w:rFonts w:hint="eastAsia" w:ascii="仿宋_GB2312" w:hAnsi="仿宋"/>
          <w:bCs/>
          <w:szCs w:val="32"/>
        </w:rPr>
        <w:t xml:space="preserve"> “充装智库”评估流程图</w:t>
      </w:r>
    </w:p>
    <w:p>
      <w:pPr>
        <w:numPr>
          <w:ilvl w:val="0"/>
          <w:numId w:val="73"/>
        </w:numPr>
        <w:ind w:left="0" w:firstLine="640"/>
      </w:pPr>
      <w:r>
        <w:rPr>
          <w:rFonts w:hint="eastAsia"/>
        </w:rPr>
        <w:t>风险评估算法</w:t>
      </w:r>
    </w:p>
    <w:p>
      <w:pPr>
        <w:ind w:firstLine="640"/>
        <w:rPr>
          <w:rFonts w:ascii="仿宋_GB2312" w:hAnsi="仿宋"/>
          <w:bCs/>
          <w:szCs w:val="32"/>
        </w:rPr>
      </w:pPr>
      <w:r>
        <w:rPr>
          <w:rFonts w:hint="eastAsia" w:ascii="仿宋_GB2312" w:hAnsi="仿宋"/>
          <w:bCs/>
          <w:szCs w:val="32"/>
        </w:rPr>
        <w:t>风险评级算法主要通过对设备基本信息、检验信息的网络采集，智能判定移动式压力容器的风险等级。</w:t>
      </w:r>
    </w:p>
    <w:p>
      <w:pPr>
        <w:ind w:firstLine="640"/>
        <w:rPr>
          <w:rFonts w:ascii="仿宋_GB2312" w:hAnsi="仿宋"/>
          <w:bCs/>
          <w:szCs w:val="32"/>
        </w:rPr>
      </w:pPr>
      <w:r>
        <w:rPr>
          <w:rFonts w:hint="eastAsia" w:ascii="仿宋_GB2312" w:hAnsi="仿宋"/>
          <w:bCs/>
          <w:szCs w:val="32"/>
        </w:rPr>
        <w:t>算法构架：算法将制定相应的风险评估导则，对评估对象的执行分为初定与评定，初定由系统所采集到的数据，智能判定其等级，评定则是监察机构或使用单位对评估对象采取进一步细化形成的风险等级。评估等级分为高风险、中风险、低风险。当初定为高风险时，系统自动向监察机构及使用单位发出风险预警信息。最终评定结果经监察机构确认，设为设备风险等级，指导下一步防范工作。</w:t>
      </w:r>
    </w:p>
    <w:p>
      <w:pPr>
        <w:ind w:firstLine="640"/>
        <w:rPr>
          <w:rFonts w:ascii="仿宋_GB2312" w:hAnsi="仿宋"/>
          <w:bCs/>
          <w:szCs w:val="32"/>
        </w:rPr>
      </w:pPr>
      <w:r>
        <w:rPr>
          <w:rFonts w:hint="eastAsia" w:ascii="仿宋_GB2312" w:hAnsi="仿宋"/>
          <w:bCs/>
          <w:szCs w:val="32"/>
        </w:rPr>
        <w:t>评估对象：评估对象分为使用单位和移动式压力容器两种。</w:t>
      </w:r>
    </w:p>
    <w:p>
      <w:pPr>
        <w:ind w:firstLine="640"/>
        <w:rPr>
          <w:rFonts w:ascii="仿宋_GB2312" w:hAnsi="仿宋"/>
          <w:bCs/>
          <w:szCs w:val="32"/>
        </w:rPr>
      </w:pPr>
      <w:r>
        <w:rPr>
          <w:rFonts w:hint="eastAsia" w:ascii="仿宋_GB2312" w:hAnsi="仿宋"/>
          <w:bCs/>
          <w:szCs w:val="32"/>
        </w:rPr>
        <w:t>评估方法：对使用单位主要依据</w:t>
      </w:r>
      <w:r>
        <w:rPr>
          <w:rFonts w:cs="Times New Roman"/>
          <w:bCs/>
          <w:szCs w:val="32"/>
        </w:rPr>
        <w:t>DB33 T2126-2018</w:t>
      </w:r>
      <w:r>
        <w:rPr>
          <w:rFonts w:hint="eastAsia" w:ascii="仿宋_GB2312" w:hAnsi="仿宋"/>
          <w:bCs/>
          <w:szCs w:val="32"/>
        </w:rPr>
        <w:t>《特种设备使用安全管理分类评价规范》，在对其所有特种设备按比例进行评估的基础上，加权计算其风险级别。对设备的评估是依据其基本信息及检验信息，根据检验风险评级、设备使用年限、充装介质等信息建立风险评估体系。</w:t>
      </w:r>
    </w:p>
    <w:p>
      <w:pPr>
        <w:ind w:firstLine="640"/>
        <w:rPr>
          <w:rFonts w:ascii="仿宋_GB2312" w:hAnsi="仿宋"/>
          <w:bCs/>
          <w:szCs w:val="32"/>
        </w:rPr>
      </w:pPr>
      <w:r>
        <w:rPr>
          <w:rFonts w:hint="eastAsia" w:ascii="仿宋_GB2312" w:hAnsi="仿宋"/>
          <w:bCs/>
          <w:szCs w:val="32"/>
        </w:rPr>
        <w:t>评估结果：</w:t>
      </w:r>
    </w:p>
    <w:p>
      <w:pPr>
        <w:ind w:firstLine="640"/>
        <w:rPr>
          <w:rFonts w:ascii="仿宋_GB2312" w:hAnsi="仿宋"/>
          <w:bCs/>
          <w:szCs w:val="32"/>
        </w:rPr>
      </w:pPr>
      <w:r>
        <w:rPr>
          <w:rFonts w:hint="eastAsia" w:ascii="仿宋_GB2312" w:hAnsi="仿宋"/>
          <w:bCs/>
          <w:szCs w:val="32"/>
        </w:rPr>
        <w:t>低风险：低风险设备为状态较好的设备，采取较低关注度依法监管的措施。</w:t>
      </w:r>
    </w:p>
    <w:p>
      <w:pPr>
        <w:ind w:firstLine="640"/>
        <w:rPr>
          <w:rFonts w:ascii="仿宋_GB2312" w:hAnsi="仿宋"/>
          <w:bCs/>
          <w:szCs w:val="32"/>
        </w:rPr>
      </w:pPr>
      <w:r>
        <w:rPr>
          <w:rFonts w:hint="eastAsia" w:ascii="仿宋_GB2312" w:hAnsi="仿宋"/>
          <w:bCs/>
          <w:szCs w:val="32"/>
        </w:rPr>
        <w:t>中风险：中风险设备为状态较好，但存在较低风险缺陷或使用场所具有风险的设备，采取一定关注度依法监管的措施，并相应向使用单位推送隐患词条，要求使用单位加强相应隐患排查力度并反馈系统。</w:t>
      </w:r>
    </w:p>
    <w:p>
      <w:pPr>
        <w:ind w:firstLine="640"/>
        <w:rPr>
          <w:rFonts w:ascii="仿宋_GB2312" w:hAnsi="仿宋"/>
          <w:bCs/>
          <w:szCs w:val="32"/>
        </w:rPr>
      </w:pPr>
      <w:r>
        <w:rPr>
          <w:rFonts w:hint="eastAsia" w:ascii="仿宋_GB2312" w:hAnsi="仿宋"/>
          <w:bCs/>
          <w:szCs w:val="32"/>
        </w:rPr>
        <w:t>高风险：高风险设备为状态较差，且可能存在使用场所具有风险的设备，当初定为高风险时，需进一步通过细化评估最终评定，评定结果仍为高风险时，需采取较大关注度依法监管的措施。</w:t>
      </w:r>
    </w:p>
    <w:p>
      <w:pPr>
        <w:numPr>
          <w:ilvl w:val="0"/>
          <w:numId w:val="73"/>
        </w:numPr>
        <w:ind w:left="0" w:firstLine="640"/>
      </w:pPr>
      <w:r>
        <w:rPr>
          <w:rFonts w:hint="eastAsia"/>
        </w:rPr>
        <w:t>实况分级预警算法</w:t>
      </w:r>
    </w:p>
    <w:p>
      <w:pPr>
        <w:ind w:firstLine="640"/>
        <w:rPr>
          <w:rFonts w:ascii="仿宋_GB2312" w:hAnsi="仿宋"/>
          <w:bCs/>
          <w:szCs w:val="32"/>
        </w:rPr>
      </w:pPr>
      <w:r>
        <w:rPr>
          <w:rFonts w:hint="eastAsia" w:ascii="仿宋_GB2312" w:hAnsi="仿宋"/>
          <w:bCs/>
          <w:szCs w:val="32"/>
        </w:rPr>
        <w:t>对接移动式压力容器公共信息服务平台、检验数据库、充装数据等外部数据源，分时进行设备实况分级预警。主要判定内容如下：</w:t>
      </w:r>
    </w:p>
    <w:p>
      <w:pPr>
        <w:ind w:firstLine="640"/>
        <w:rPr>
          <w:rFonts w:ascii="仿宋_GB2312" w:hAnsi="仿宋"/>
          <w:bCs/>
          <w:szCs w:val="32"/>
        </w:rPr>
      </w:pPr>
      <w:r>
        <w:rPr>
          <w:rFonts w:hint="eastAsia" w:ascii="仿宋_GB2312" w:hAnsi="仿宋"/>
          <w:bCs/>
          <w:szCs w:val="32"/>
        </w:rPr>
        <w:t>算法构架：算法将制定相应的实况分级预警算法，对评估对象的执行评定其等级。评估等级分为</w:t>
      </w:r>
      <w:r>
        <w:rPr>
          <w:rFonts w:hint="eastAsia" w:ascii="仿宋_GB2312" w:hAnsi="仿宋"/>
          <w:szCs w:val="32"/>
        </w:rPr>
        <w:t>黄色、橙色、红色三级预警级别及黑色中断指令</w:t>
      </w:r>
      <w:r>
        <w:rPr>
          <w:rFonts w:hint="eastAsia" w:ascii="仿宋_GB2312" w:hAnsi="仿宋"/>
          <w:bCs/>
          <w:szCs w:val="32"/>
        </w:rPr>
        <w:t>。当评定为</w:t>
      </w:r>
      <w:r>
        <w:rPr>
          <w:rFonts w:hint="eastAsia" w:ascii="仿宋_GB2312" w:hAnsi="仿宋"/>
          <w:szCs w:val="32"/>
        </w:rPr>
        <w:t>橙色、红色三级预警级别</w:t>
      </w:r>
      <w:r>
        <w:rPr>
          <w:rFonts w:hint="eastAsia" w:ascii="仿宋_GB2312" w:hAnsi="仿宋"/>
          <w:bCs/>
          <w:szCs w:val="32"/>
        </w:rPr>
        <w:t>时，系统自动向使用单位发出风险预警信息并在“充装智库”内进行统计。当评定为</w:t>
      </w:r>
      <w:r>
        <w:rPr>
          <w:rFonts w:hint="eastAsia" w:ascii="仿宋_GB2312" w:hAnsi="仿宋"/>
          <w:szCs w:val="32"/>
        </w:rPr>
        <w:t>黑色中断指令</w:t>
      </w:r>
      <w:r>
        <w:rPr>
          <w:rFonts w:hint="eastAsia" w:ascii="仿宋_GB2312" w:hAnsi="仿宋"/>
          <w:bCs/>
          <w:szCs w:val="32"/>
        </w:rPr>
        <w:t>时，系统自动向使用单位发出风险预警信息并在“充装智库”内形成报警信息，作为监察机构下一步工作依据。</w:t>
      </w:r>
    </w:p>
    <w:p>
      <w:pPr>
        <w:ind w:firstLine="640"/>
        <w:rPr>
          <w:rFonts w:ascii="仿宋_GB2312" w:hAnsi="仿宋"/>
          <w:bCs/>
          <w:szCs w:val="32"/>
        </w:rPr>
      </w:pPr>
      <w:r>
        <w:rPr>
          <w:rFonts w:hint="eastAsia" w:ascii="仿宋_GB2312" w:hAnsi="仿宋"/>
          <w:bCs/>
          <w:szCs w:val="32"/>
        </w:rPr>
        <w:t>评估对象：评估对象为移动式压力容器。</w:t>
      </w:r>
    </w:p>
    <w:p>
      <w:pPr>
        <w:ind w:firstLine="640"/>
        <w:rPr>
          <w:rFonts w:ascii="仿宋_GB2312" w:hAnsi="仿宋"/>
          <w:bCs/>
          <w:szCs w:val="32"/>
        </w:rPr>
      </w:pPr>
      <w:r>
        <w:rPr>
          <w:rFonts w:hint="eastAsia" w:ascii="仿宋_GB2312" w:hAnsi="仿宋"/>
          <w:bCs/>
          <w:szCs w:val="32"/>
        </w:rPr>
        <w:t>评估分级：</w:t>
      </w:r>
    </w:p>
    <w:p>
      <w:pPr>
        <w:ind w:firstLine="640"/>
        <w:rPr>
          <w:rFonts w:ascii="仿宋_GB2312" w:hAnsi="仿宋"/>
          <w:bCs/>
          <w:szCs w:val="32"/>
        </w:rPr>
      </w:pPr>
      <w:r>
        <w:rPr>
          <w:rFonts w:hint="eastAsia" w:ascii="仿宋_GB2312" w:hAnsi="仿宋"/>
          <w:bCs/>
          <w:szCs w:val="32"/>
        </w:rPr>
        <w:t>黄色预警：包括运行区域内气象黄色预警；实时在线数据传输不正常；移动式压力容器将于一个月内检验到期；特定类型移动式压力容器被通报可能隐患需要进一步排查的；评定为黄色预警后，使用单位应根据预警信息做出反馈，消除隐患或待天气情况好转后恢复正常工作。</w:t>
      </w:r>
    </w:p>
    <w:p>
      <w:pPr>
        <w:ind w:firstLine="640"/>
        <w:rPr>
          <w:rFonts w:ascii="仿宋_GB2312" w:hAnsi="仿宋"/>
          <w:bCs/>
          <w:szCs w:val="32"/>
        </w:rPr>
      </w:pPr>
      <w:r>
        <w:rPr>
          <w:rFonts w:hint="eastAsia" w:ascii="仿宋_GB2312" w:hAnsi="仿宋"/>
          <w:bCs/>
          <w:szCs w:val="32"/>
        </w:rPr>
        <w:t>橙色预警：包括运行区域内气象橙色预警；有预测运行区域内即将出现极端恶劣天气；运行位置附近发生火灾、爆炸事故的；移动式压力容器已经检验到期；移动式压力容器连续作业超过</w:t>
      </w:r>
      <w:r>
        <w:rPr>
          <w:rFonts w:cs="Times New Roman"/>
          <w:bCs/>
          <w:szCs w:val="32"/>
        </w:rPr>
        <w:t>8</w:t>
      </w:r>
      <w:r>
        <w:rPr>
          <w:rFonts w:hint="eastAsia" w:ascii="仿宋_GB2312" w:hAnsi="仿宋"/>
          <w:bCs/>
          <w:szCs w:val="32"/>
        </w:rPr>
        <w:t>个小时；随车传感器显示数据接近报警阈值</w:t>
      </w:r>
      <w:r>
        <w:rPr>
          <w:rFonts w:cs="Times New Roman"/>
          <w:bCs/>
          <w:szCs w:val="32"/>
        </w:rPr>
        <w:t>90</w:t>
      </w:r>
      <w:r>
        <w:rPr>
          <w:rFonts w:hint="eastAsia" w:ascii="仿宋_GB2312" w:hAnsi="仿宋"/>
          <w:bCs/>
          <w:szCs w:val="32"/>
        </w:rPr>
        <w:t>%或警戒阈值的。发布橙色预警后，使用单位应根据预警信息做出反馈，尽快安排移动式压力容器卸车，消除隐患或待天气情况好转后恢复正常工作。</w:t>
      </w:r>
    </w:p>
    <w:p>
      <w:pPr>
        <w:ind w:firstLine="640"/>
        <w:rPr>
          <w:rFonts w:ascii="仿宋_GB2312" w:hAnsi="仿宋"/>
          <w:bCs/>
          <w:szCs w:val="32"/>
        </w:rPr>
      </w:pPr>
      <w:r>
        <w:rPr>
          <w:rFonts w:hint="eastAsia" w:ascii="仿宋_GB2312" w:hAnsi="仿宋"/>
          <w:bCs/>
          <w:szCs w:val="32"/>
        </w:rPr>
        <w:t>红色预警：包括运行区域内气象红色预警；运行区域内已经出现极端恶劣天气；运行位置附近发生火灾、爆炸事故可能进一步扩大的；移动式压力容器连续作业超过</w:t>
      </w:r>
      <w:r>
        <w:rPr>
          <w:rFonts w:cs="Times New Roman"/>
          <w:bCs/>
          <w:szCs w:val="32"/>
        </w:rPr>
        <w:t>12</w:t>
      </w:r>
      <w:r>
        <w:rPr>
          <w:rFonts w:hint="eastAsia" w:ascii="仿宋_GB2312" w:hAnsi="仿宋"/>
          <w:bCs/>
          <w:szCs w:val="32"/>
        </w:rPr>
        <w:t>个小时；随车传感器显示数据达到报警阈值的；移动式压力容器与通报重大隐患的特定类型相符需立即整改的；充装单位提供数据显示移动式压力容器超装或装载非核准介质的。发布红色预警后，使用单位应根据预警信息做出反馈，立即停用移动式压力容器，尽快卸车或做好应急处置措施，由主管部门发布解除警报或经确认符合恢复运行条件后恢复正常工作。</w:t>
      </w:r>
    </w:p>
    <w:p>
      <w:pPr>
        <w:ind w:firstLine="640"/>
        <w:rPr>
          <w:rFonts w:ascii="仿宋_GB2312" w:hAnsi="仿宋"/>
          <w:szCs w:val="32"/>
        </w:rPr>
      </w:pPr>
      <w:r>
        <w:rPr>
          <w:rFonts w:hint="eastAsia" w:ascii="仿宋_GB2312" w:hAnsi="仿宋"/>
          <w:bCs/>
          <w:szCs w:val="32"/>
        </w:rPr>
        <w:t>黑色中断指令：包括移动式压力容器已经检验到期仍然充装的；使用单位存在或疑似存在违法行为需要立即整改。发布黑色中断机制后，主管部门应联系使用单位立即停用移动式压力容器，现场仅保留应急处置力量。必要时主管部门应联系应急救援、公安等力量执行强制措施。由主管部门发布解除警报或经检验符合恢复运行条件后重新投入运行。</w:t>
      </w:r>
    </w:p>
    <w:p>
      <w:pPr>
        <w:pStyle w:val="7"/>
        <w:numPr>
          <w:ilvl w:val="0"/>
          <w:numId w:val="69"/>
        </w:numPr>
        <w:ind w:firstLine="643"/>
      </w:pPr>
      <w:r>
        <w:rPr>
          <w:rFonts w:hint="eastAsia"/>
        </w:rPr>
        <w:t>责任划分</w:t>
      </w:r>
    </w:p>
    <w:p>
      <w:pPr>
        <w:numPr>
          <w:ilvl w:val="0"/>
          <w:numId w:val="74"/>
        </w:numPr>
        <w:ind w:left="0" w:firstLine="640"/>
      </w:pPr>
      <w:r>
        <w:rPr>
          <w:rFonts w:hint="eastAsia"/>
        </w:rPr>
        <w:t>省局建设统一接入系统。</w:t>
      </w:r>
    </w:p>
    <w:p>
      <w:pPr>
        <w:numPr>
          <w:ilvl w:val="0"/>
          <w:numId w:val="74"/>
        </w:numPr>
        <w:ind w:left="0" w:firstLine="640"/>
      </w:pPr>
      <w:r>
        <w:rPr>
          <w:rFonts w:hint="eastAsia"/>
        </w:rPr>
        <w:t>省局特设处负责日常维护。</w:t>
      </w:r>
    </w:p>
    <w:p>
      <w:pPr>
        <w:numPr>
          <w:ilvl w:val="0"/>
          <w:numId w:val="74"/>
        </w:numPr>
        <w:ind w:left="0" w:firstLine="640"/>
      </w:pPr>
      <w:r>
        <w:rPr>
          <w:rFonts w:hint="eastAsia"/>
        </w:rPr>
        <w:t>各地市行政监管机构负责监管数据输入。</w:t>
      </w:r>
    </w:p>
    <w:p>
      <w:pPr>
        <w:numPr>
          <w:ilvl w:val="0"/>
          <w:numId w:val="74"/>
        </w:numPr>
        <w:ind w:left="0" w:firstLine="640"/>
      </w:pPr>
      <w:r>
        <w:rPr>
          <w:rFonts w:hint="eastAsia"/>
        </w:rPr>
        <w:t>省特科院负责风险评价导则的制定及更新。</w:t>
      </w:r>
    </w:p>
    <w:p>
      <w:pPr>
        <w:numPr>
          <w:ilvl w:val="0"/>
          <w:numId w:val="74"/>
        </w:numPr>
        <w:ind w:left="0" w:firstLine="640"/>
      </w:pPr>
      <w:r>
        <w:rPr>
          <w:rFonts w:hint="eastAsia"/>
        </w:rPr>
        <w:t>省特科院及各地市检验机构负责报告与缺陷的信息输入。</w:t>
      </w:r>
    </w:p>
    <w:p>
      <w:pPr>
        <w:pStyle w:val="6"/>
        <w:numPr>
          <w:ilvl w:val="0"/>
          <w:numId w:val="67"/>
        </w:numPr>
        <w:ind w:left="0" w:firstLine="640"/>
        <w:rPr>
          <w:rFonts w:ascii="仿宋_GB2312"/>
          <w:szCs w:val="32"/>
        </w:rPr>
      </w:pPr>
      <w:r>
        <w:rPr>
          <w:rFonts w:hint="eastAsia" w:ascii="仿宋_GB2312"/>
          <w:szCs w:val="32"/>
        </w:rPr>
        <w:t>整合数据资源</w:t>
      </w:r>
    </w:p>
    <w:p>
      <w:pPr>
        <w:pStyle w:val="7"/>
        <w:numPr>
          <w:ilvl w:val="0"/>
          <w:numId w:val="75"/>
        </w:numPr>
        <w:ind w:firstLine="643"/>
      </w:pPr>
      <w:r>
        <w:rPr>
          <w:rFonts w:hint="eastAsia"/>
        </w:rPr>
        <w:t>对接局内系统情况</w:t>
      </w:r>
    </w:p>
    <w:p>
      <w:pPr>
        <w:numPr>
          <w:ilvl w:val="0"/>
          <w:numId w:val="76"/>
        </w:numPr>
        <w:ind w:left="0" w:firstLine="640"/>
      </w:pPr>
      <w:r>
        <w:rPr>
          <w:rFonts w:hint="eastAsia"/>
        </w:rPr>
        <w:t>省局特种设备监管系统</w:t>
      </w:r>
    </w:p>
    <w:p>
      <w:pPr>
        <w:numPr>
          <w:ilvl w:val="0"/>
          <w:numId w:val="76"/>
        </w:numPr>
        <w:ind w:left="0" w:firstLine="640"/>
      </w:pPr>
      <w:r>
        <w:rPr>
          <w:rFonts w:hint="eastAsia"/>
        </w:rPr>
        <w:t>省特科院检验系统</w:t>
      </w:r>
    </w:p>
    <w:p>
      <w:pPr>
        <w:pStyle w:val="7"/>
        <w:numPr>
          <w:ilvl w:val="0"/>
          <w:numId w:val="75"/>
        </w:numPr>
        <w:ind w:firstLine="643"/>
      </w:pPr>
      <w:r>
        <w:rPr>
          <w:rFonts w:hint="eastAsia"/>
        </w:rPr>
        <w:t>其他部门系统情况</w:t>
      </w:r>
    </w:p>
    <w:tbl>
      <w:tblPr>
        <w:tblStyle w:val="28"/>
        <w:tblW w:w="904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06"/>
        <w:gridCol w:w="1807"/>
        <w:gridCol w:w="1500"/>
        <w:gridCol w:w="47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6" w:type="dxa"/>
          </w:tcPr>
          <w:p>
            <w:pPr>
              <w:ind w:firstLine="0" w:firstLineChars="0"/>
              <w:jc w:val="center"/>
              <w:rPr>
                <w:rFonts w:ascii="仿宋_GB2312" w:hAnsi="仿宋"/>
                <w:sz w:val="30"/>
                <w:szCs w:val="30"/>
              </w:rPr>
            </w:pPr>
            <w:r>
              <w:rPr>
                <w:rFonts w:hint="eastAsia" w:ascii="仿宋_GB2312" w:hAnsi="仿宋"/>
                <w:sz w:val="30"/>
                <w:szCs w:val="30"/>
              </w:rPr>
              <w:t>序号</w:t>
            </w:r>
          </w:p>
        </w:tc>
        <w:tc>
          <w:tcPr>
            <w:tcW w:w="1807" w:type="dxa"/>
          </w:tcPr>
          <w:p>
            <w:pPr>
              <w:ind w:firstLine="0" w:firstLineChars="0"/>
              <w:jc w:val="center"/>
              <w:rPr>
                <w:rFonts w:ascii="仿宋_GB2312" w:hAnsi="仿宋"/>
                <w:sz w:val="30"/>
                <w:szCs w:val="30"/>
              </w:rPr>
            </w:pPr>
            <w:r>
              <w:rPr>
                <w:rFonts w:hint="eastAsia" w:ascii="仿宋_GB2312" w:hAnsi="仿宋"/>
                <w:sz w:val="30"/>
                <w:szCs w:val="30"/>
              </w:rPr>
              <w:t>系统名称</w:t>
            </w:r>
          </w:p>
        </w:tc>
        <w:tc>
          <w:tcPr>
            <w:tcW w:w="1500" w:type="dxa"/>
          </w:tcPr>
          <w:p>
            <w:pPr>
              <w:ind w:firstLine="0" w:firstLineChars="0"/>
              <w:jc w:val="center"/>
              <w:rPr>
                <w:rFonts w:ascii="仿宋_GB2312" w:hAnsi="仿宋"/>
                <w:sz w:val="30"/>
                <w:szCs w:val="30"/>
              </w:rPr>
            </w:pPr>
            <w:r>
              <w:rPr>
                <w:rFonts w:hint="eastAsia" w:ascii="仿宋_GB2312" w:hAnsi="仿宋"/>
                <w:sz w:val="30"/>
                <w:szCs w:val="30"/>
              </w:rPr>
              <w:t>对接方式</w:t>
            </w:r>
          </w:p>
        </w:tc>
        <w:tc>
          <w:tcPr>
            <w:tcW w:w="4730" w:type="dxa"/>
          </w:tcPr>
          <w:p>
            <w:pPr>
              <w:ind w:firstLine="0" w:firstLineChars="0"/>
              <w:jc w:val="center"/>
              <w:rPr>
                <w:rFonts w:ascii="仿宋_GB2312" w:hAnsi="仿宋"/>
                <w:sz w:val="30"/>
                <w:szCs w:val="30"/>
              </w:rPr>
            </w:pPr>
            <w:r>
              <w:rPr>
                <w:rFonts w:hint="eastAsia" w:ascii="仿宋_GB2312" w:hAnsi="仿宋"/>
                <w:sz w:val="30"/>
                <w:szCs w:val="30"/>
              </w:rPr>
              <w:t>对接数据字段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6" w:type="dxa"/>
            <w:vAlign w:val="center"/>
          </w:tcPr>
          <w:p>
            <w:pPr>
              <w:ind w:firstLine="0" w:firstLineChars="0"/>
              <w:jc w:val="center"/>
              <w:rPr>
                <w:rFonts w:cs="Times New Roman"/>
                <w:sz w:val="30"/>
                <w:szCs w:val="30"/>
              </w:rPr>
            </w:pPr>
            <w:r>
              <w:rPr>
                <w:rFonts w:cs="Times New Roman"/>
                <w:szCs w:val="30"/>
              </w:rPr>
              <w:t>1</w:t>
            </w:r>
          </w:p>
        </w:tc>
        <w:tc>
          <w:tcPr>
            <w:tcW w:w="1807" w:type="dxa"/>
            <w:vAlign w:val="center"/>
          </w:tcPr>
          <w:p>
            <w:pPr>
              <w:ind w:firstLine="0" w:firstLineChars="0"/>
              <w:rPr>
                <w:rFonts w:ascii="仿宋_GB2312" w:hAnsi="仿宋"/>
                <w:sz w:val="30"/>
                <w:szCs w:val="30"/>
              </w:rPr>
            </w:pPr>
            <w:r>
              <w:rPr>
                <w:rFonts w:hint="eastAsia" w:ascii="仿宋_GB2312" w:hAnsi="仿宋"/>
                <w:sz w:val="30"/>
                <w:szCs w:val="30"/>
              </w:rPr>
              <w:t>省局特种设备监察系统</w:t>
            </w:r>
          </w:p>
        </w:tc>
        <w:tc>
          <w:tcPr>
            <w:tcW w:w="1500" w:type="dxa"/>
            <w:vAlign w:val="center"/>
          </w:tcPr>
          <w:p>
            <w:pPr>
              <w:ind w:firstLine="0" w:firstLineChars="0"/>
              <w:rPr>
                <w:rFonts w:ascii="仿宋_GB2312" w:hAnsi="仿宋"/>
                <w:sz w:val="30"/>
                <w:szCs w:val="30"/>
              </w:rPr>
            </w:pPr>
            <w:r>
              <w:rPr>
                <w:rFonts w:hint="eastAsia" w:ascii="仿宋_GB2312" w:hAnsi="仿宋"/>
                <w:sz w:val="30"/>
                <w:szCs w:val="30"/>
              </w:rPr>
              <w:t>接口获取</w:t>
            </w:r>
          </w:p>
        </w:tc>
        <w:tc>
          <w:tcPr>
            <w:tcW w:w="4730" w:type="dxa"/>
          </w:tcPr>
          <w:p>
            <w:pPr>
              <w:ind w:firstLine="0" w:firstLineChars="0"/>
              <w:rPr>
                <w:rFonts w:ascii="仿宋_GB2312" w:hAnsi="仿宋"/>
                <w:sz w:val="30"/>
                <w:szCs w:val="30"/>
              </w:rPr>
            </w:pPr>
            <w:r>
              <w:rPr>
                <w:rFonts w:hint="eastAsia" w:ascii="仿宋_GB2312" w:hAnsi="仿宋"/>
                <w:sz w:val="30"/>
                <w:szCs w:val="30"/>
              </w:rPr>
              <w:t>设备种类、设备类别、设备品种、设备名称、设备型号、出厂编号、设备注册代码、设备代码、使用登记证编号、使用单位、使用状态、注册登记机构、注册日期、注册状态、制造单位、制造日期、所属检验机构、检验信息、主要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6" w:type="dxa"/>
            <w:vAlign w:val="center"/>
          </w:tcPr>
          <w:p>
            <w:pPr>
              <w:ind w:firstLine="0" w:firstLineChars="0"/>
              <w:jc w:val="center"/>
              <w:rPr>
                <w:rFonts w:cs="Times New Roman"/>
                <w:sz w:val="30"/>
                <w:szCs w:val="30"/>
              </w:rPr>
            </w:pPr>
            <w:r>
              <w:rPr>
                <w:rFonts w:cs="Times New Roman"/>
                <w:szCs w:val="30"/>
              </w:rPr>
              <w:t>2</w:t>
            </w:r>
          </w:p>
        </w:tc>
        <w:tc>
          <w:tcPr>
            <w:tcW w:w="1807" w:type="dxa"/>
            <w:vAlign w:val="center"/>
          </w:tcPr>
          <w:p>
            <w:pPr>
              <w:ind w:firstLine="0" w:firstLineChars="0"/>
              <w:rPr>
                <w:rFonts w:ascii="仿宋_GB2312" w:hAnsi="仿宋"/>
                <w:sz w:val="30"/>
                <w:szCs w:val="30"/>
              </w:rPr>
            </w:pPr>
            <w:r>
              <w:rPr>
                <w:rFonts w:hint="eastAsia" w:ascii="仿宋_GB2312" w:hAnsi="仿宋"/>
                <w:sz w:val="30"/>
                <w:szCs w:val="30"/>
              </w:rPr>
              <w:t>省局特种设备监察系统</w:t>
            </w:r>
          </w:p>
        </w:tc>
        <w:tc>
          <w:tcPr>
            <w:tcW w:w="1500" w:type="dxa"/>
            <w:vAlign w:val="center"/>
          </w:tcPr>
          <w:p>
            <w:pPr>
              <w:ind w:firstLine="0" w:firstLineChars="0"/>
              <w:rPr>
                <w:rFonts w:ascii="仿宋_GB2312" w:hAnsi="仿宋"/>
                <w:sz w:val="30"/>
                <w:szCs w:val="30"/>
              </w:rPr>
            </w:pPr>
            <w:r>
              <w:rPr>
                <w:rFonts w:hint="eastAsia" w:ascii="仿宋_GB2312" w:hAnsi="仿宋"/>
                <w:sz w:val="30"/>
                <w:szCs w:val="30"/>
              </w:rPr>
              <w:t>接口推送</w:t>
            </w:r>
          </w:p>
        </w:tc>
        <w:tc>
          <w:tcPr>
            <w:tcW w:w="4730" w:type="dxa"/>
            <w:vAlign w:val="center"/>
          </w:tcPr>
          <w:p>
            <w:pPr>
              <w:ind w:firstLine="0" w:firstLineChars="0"/>
              <w:rPr>
                <w:rFonts w:ascii="仿宋_GB2312" w:hAnsi="仿宋"/>
                <w:sz w:val="30"/>
                <w:szCs w:val="30"/>
              </w:rPr>
            </w:pPr>
            <w:r>
              <w:rPr>
                <w:rFonts w:hint="eastAsia" w:ascii="仿宋_GB2312" w:hAnsi="仿宋"/>
                <w:sz w:val="30"/>
                <w:szCs w:val="30"/>
              </w:rPr>
              <w:t>风险等级、作业人员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6" w:type="dxa"/>
            <w:vAlign w:val="center"/>
          </w:tcPr>
          <w:p>
            <w:pPr>
              <w:ind w:firstLine="0" w:firstLineChars="0"/>
              <w:jc w:val="center"/>
              <w:rPr>
                <w:rFonts w:cs="Times New Roman"/>
                <w:sz w:val="30"/>
                <w:szCs w:val="30"/>
              </w:rPr>
            </w:pPr>
            <w:r>
              <w:rPr>
                <w:rFonts w:cs="Times New Roman"/>
                <w:szCs w:val="30"/>
              </w:rPr>
              <w:t>3</w:t>
            </w:r>
          </w:p>
        </w:tc>
        <w:tc>
          <w:tcPr>
            <w:tcW w:w="1807" w:type="dxa"/>
          </w:tcPr>
          <w:p>
            <w:pPr>
              <w:ind w:firstLine="0" w:firstLineChars="0"/>
              <w:rPr>
                <w:rFonts w:ascii="仿宋_GB2312" w:hAnsi="仿宋"/>
                <w:sz w:val="30"/>
                <w:szCs w:val="30"/>
              </w:rPr>
            </w:pPr>
            <w:r>
              <w:rPr>
                <w:rFonts w:hint="eastAsia" w:ascii="仿宋_GB2312" w:hAnsi="仿宋"/>
                <w:sz w:val="30"/>
                <w:szCs w:val="30"/>
              </w:rPr>
              <w:t>省特科院</w:t>
            </w:r>
          </w:p>
        </w:tc>
        <w:tc>
          <w:tcPr>
            <w:tcW w:w="1500" w:type="dxa"/>
            <w:vAlign w:val="center"/>
          </w:tcPr>
          <w:p>
            <w:pPr>
              <w:ind w:firstLine="0" w:firstLineChars="0"/>
              <w:rPr>
                <w:rFonts w:ascii="仿宋_GB2312" w:hAnsi="仿宋"/>
                <w:sz w:val="30"/>
                <w:szCs w:val="30"/>
              </w:rPr>
            </w:pPr>
            <w:r>
              <w:rPr>
                <w:rFonts w:hint="eastAsia" w:ascii="仿宋_GB2312" w:hAnsi="仿宋"/>
                <w:sz w:val="30"/>
                <w:szCs w:val="30"/>
              </w:rPr>
              <w:t>接口获取</w:t>
            </w:r>
          </w:p>
        </w:tc>
        <w:tc>
          <w:tcPr>
            <w:tcW w:w="4730" w:type="dxa"/>
            <w:vAlign w:val="center"/>
          </w:tcPr>
          <w:p>
            <w:pPr>
              <w:ind w:firstLine="0" w:firstLineChars="0"/>
              <w:rPr>
                <w:rFonts w:ascii="仿宋_GB2312" w:hAnsi="仿宋"/>
                <w:sz w:val="30"/>
                <w:szCs w:val="30"/>
              </w:rPr>
            </w:pPr>
            <w:r>
              <w:rPr>
                <w:rFonts w:hint="eastAsia" w:ascii="仿宋_GB2312" w:hAnsi="仿宋"/>
                <w:sz w:val="30"/>
                <w:szCs w:val="30"/>
              </w:rPr>
              <w:t>检验信息、缺陷信息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6" w:type="dxa"/>
            <w:vAlign w:val="center"/>
          </w:tcPr>
          <w:p>
            <w:pPr>
              <w:ind w:firstLine="0" w:firstLineChars="0"/>
              <w:jc w:val="center"/>
              <w:rPr>
                <w:rFonts w:cs="Times New Roman"/>
                <w:sz w:val="30"/>
                <w:szCs w:val="30"/>
              </w:rPr>
            </w:pPr>
            <w:r>
              <w:rPr>
                <w:rFonts w:cs="Times New Roman"/>
                <w:szCs w:val="30"/>
              </w:rPr>
              <w:t>4</w:t>
            </w:r>
          </w:p>
        </w:tc>
        <w:tc>
          <w:tcPr>
            <w:tcW w:w="1807" w:type="dxa"/>
            <w:vAlign w:val="center"/>
          </w:tcPr>
          <w:p>
            <w:pPr>
              <w:ind w:firstLine="0" w:firstLineChars="0"/>
              <w:rPr>
                <w:rFonts w:ascii="仿宋_GB2312" w:hAnsi="仿宋"/>
                <w:sz w:val="30"/>
                <w:szCs w:val="30"/>
              </w:rPr>
            </w:pPr>
            <w:r>
              <w:rPr>
                <w:rFonts w:hint="eastAsia" w:ascii="仿宋_GB2312" w:hAnsi="仿宋"/>
                <w:sz w:val="30"/>
                <w:szCs w:val="30"/>
              </w:rPr>
              <w:t>移动式压力容器公共信息服务平台</w:t>
            </w:r>
          </w:p>
        </w:tc>
        <w:tc>
          <w:tcPr>
            <w:tcW w:w="1500" w:type="dxa"/>
            <w:vAlign w:val="center"/>
          </w:tcPr>
          <w:p>
            <w:pPr>
              <w:ind w:firstLine="0" w:firstLineChars="0"/>
              <w:rPr>
                <w:rFonts w:ascii="仿宋_GB2312" w:hAnsi="仿宋"/>
                <w:sz w:val="30"/>
                <w:szCs w:val="30"/>
              </w:rPr>
            </w:pPr>
            <w:r>
              <w:rPr>
                <w:rFonts w:hint="eastAsia" w:ascii="仿宋_GB2312" w:hAnsi="仿宋"/>
                <w:sz w:val="30"/>
                <w:szCs w:val="30"/>
              </w:rPr>
              <w:t>在线获取</w:t>
            </w:r>
          </w:p>
        </w:tc>
        <w:tc>
          <w:tcPr>
            <w:tcW w:w="4730" w:type="dxa"/>
            <w:vAlign w:val="center"/>
          </w:tcPr>
          <w:p>
            <w:pPr>
              <w:ind w:firstLine="0" w:firstLineChars="0"/>
              <w:rPr>
                <w:rFonts w:ascii="仿宋_GB2312" w:hAnsi="仿宋"/>
                <w:sz w:val="30"/>
                <w:szCs w:val="30"/>
              </w:rPr>
            </w:pPr>
            <w:r>
              <w:rPr>
                <w:rFonts w:hint="eastAsia" w:ascii="仿宋_GB2312" w:hAnsi="仿宋"/>
                <w:sz w:val="30"/>
                <w:szCs w:val="30"/>
              </w:rPr>
              <w:t>设备基础信息、充装信息、检验信息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6" w:type="dxa"/>
            <w:vAlign w:val="center"/>
          </w:tcPr>
          <w:p>
            <w:pPr>
              <w:ind w:firstLine="0" w:firstLineChars="0"/>
              <w:jc w:val="center"/>
              <w:rPr>
                <w:rFonts w:cs="Times New Roman"/>
                <w:sz w:val="30"/>
                <w:szCs w:val="30"/>
              </w:rPr>
            </w:pPr>
            <w:r>
              <w:rPr>
                <w:rFonts w:cs="Times New Roman"/>
                <w:szCs w:val="30"/>
              </w:rPr>
              <w:t>5</w:t>
            </w:r>
          </w:p>
        </w:tc>
        <w:tc>
          <w:tcPr>
            <w:tcW w:w="1807" w:type="dxa"/>
            <w:vAlign w:val="center"/>
          </w:tcPr>
          <w:p>
            <w:pPr>
              <w:ind w:firstLine="0" w:firstLineChars="0"/>
              <w:rPr>
                <w:rFonts w:ascii="仿宋_GB2312" w:hAnsi="仿宋"/>
                <w:sz w:val="30"/>
                <w:szCs w:val="30"/>
              </w:rPr>
            </w:pPr>
            <w:r>
              <w:rPr>
                <w:rFonts w:hint="eastAsia" w:ascii="仿宋_GB2312" w:hAnsi="仿宋"/>
                <w:sz w:val="30"/>
                <w:szCs w:val="30"/>
              </w:rPr>
              <w:t>定点卸液平台</w:t>
            </w:r>
          </w:p>
        </w:tc>
        <w:tc>
          <w:tcPr>
            <w:tcW w:w="1500" w:type="dxa"/>
            <w:vAlign w:val="center"/>
          </w:tcPr>
          <w:p>
            <w:pPr>
              <w:ind w:firstLine="0" w:firstLineChars="0"/>
              <w:rPr>
                <w:rFonts w:ascii="仿宋_GB2312" w:hAnsi="仿宋"/>
                <w:sz w:val="30"/>
                <w:szCs w:val="30"/>
              </w:rPr>
            </w:pPr>
            <w:r>
              <w:rPr>
                <w:rFonts w:hint="eastAsia" w:ascii="仿宋_GB2312" w:hAnsi="仿宋"/>
                <w:sz w:val="30"/>
                <w:szCs w:val="30"/>
              </w:rPr>
              <w:t>无线获取</w:t>
            </w:r>
          </w:p>
        </w:tc>
        <w:tc>
          <w:tcPr>
            <w:tcW w:w="4730" w:type="dxa"/>
            <w:vAlign w:val="center"/>
          </w:tcPr>
          <w:p>
            <w:pPr>
              <w:ind w:firstLine="0" w:firstLineChars="0"/>
              <w:rPr>
                <w:rFonts w:ascii="仿宋_GB2312" w:hAnsi="仿宋"/>
                <w:sz w:val="30"/>
                <w:szCs w:val="30"/>
              </w:rPr>
            </w:pPr>
            <w:r>
              <w:rPr>
                <w:rFonts w:cs="Times New Roman"/>
                <w:szCs w:val="30"/>
              </w:rPr>
              <w:t>GPS</w:t>
            </w:r>
            <w:r>
              <w:rPr>
                <w:rFonts w:hint="eastAsia" w:ascii="仿宋_GB2312" w:hAnsi="仿宋"/>
                <w:sz w:val="30"/>
                <w:szCs w:val="30"/>
              </w:rPr>
              <w:t>定位信息、定点卸液报警信息、许可的电子围栏位置</w:t>
            </w:r>
          </w:p>
        </w:tc>
      </w:tr>
    </w:tbl>
    <w:p>
      <w:pPr>
        <w:pStyle w:val="5"/>
        <w:numPr>
          <w:ilvl w:val="3"/>
          <w:numId w:val="66"/>
        </w:numPr>
        <w:ind w:left="0" w:firstLine="643"/>
        <w:rPr>
          <w:rFonts w:ascii="仿宋_GB2312"/>
          <w:szCs w:val="32"/>
        </w:rPr>
      </w:pPr>
      <w:bookmarkStart w:id="93" w:name="_Toc5643"/>
      <w:bookmarkStart w:id="94" w:name="_Toc16102"/>
      <w:r>
        <w:rPr>
          <w:rFonts w:hint="eastAsia" w:ascii="仿宋_GB2312"/>
          <w:szCs w:val="32"/>
        </w:rPr>
        <w:t>固定式压力容器智控系统应用场景描述</w:t>
      </w:r>
      <w:bookmarkEnd w:id="93"/>
      <w:bookmarkEnd w:id="94"/>
    </w:p>
    <w:p>
      <w:pPr>
        <w:pStyle w:val="6"/>
        <w:numPr>
          <w:ilvl w:val="0"/>
          <w:numId w:val="77"/>
        </w:numPr>
        <w:ind w:left="0" w:firstLine="640"/>
        <w:rPr>
          <w:rFonts w:ascii="仿宋_GB2312"/>
          <w:szCs w:val="32"/>
        </w:rPr>
      </w:pPr>
      <w:r>
        <w:rPr>
          <w:rFonts w:hint="eastAsia" w:ascii="仿宋_GB2312"/>
          <w:szCs w:val="32"/>
        </w:rPr>
        <w:t>业务内容</w:t>
      </w:r>
    </w:p>
    <w:p>
      <w:pPr>
        <w:pStyle w:val="7"/>
        <w:numPr>
          <w:ilvl w:val="0"/>
          <w:numId w:val="78"/>
        </w:numPr>
        <w:ind w:firstLine="643"/>
      </w:pPr>
      <w:r>
        <w:rPr>
          <w:rFonts w:hint="eastAsia"/>
        </w:rPr>
        <w:t>风险分级</w:t>
      </w:r>
    </w:p>
    <w:p>
      <w:pPr>
        <w:ind w:firstLine="640"/>
        <w:rPr>
          <w:rFonts w:ascii="仿宋_GB2312" w:hAnsi="仿宋"/>
          <w:szCs w:val="32"/>
        </w:rPr>
      </w:pPr>
      <w:r>
        <w:rPr>
          <w:rFonts w:hint="eastAsia" w:ascii="仿宋_GB2312" w:hAnsi="仿宋"/>
          <w:szCs w:val="32"/>
        </w:rPr>
        <w:t>智控系统与省局特种设备数据库及浙江省特种设备信息服务平台联网，根据</w:t>
      </w:r>
      <w:r>
        <w:rPr>
          <w:rFonts w:cs="Times New Roman"/>
          <w:bCs/>
          <w:szCs w:val="32"/>
        </w:rPr>
        <w:t>DB33 T2126-2018</w:t>
      </w:r>
      <w:r>
        <w:rPr>
          <w:rFonts w:hint="eastAsia" w:ascii="仿宋_GB2312" w:hAnsi="仿宋"/>
          <w:bCs/>
          <w:szCs w:val="32"/>
        </w:rPr>
        <w:t>《特种设备使用安全管理分类评价规范》的分级结果，结合</w:t>
      </w:r>
      <w:r>
        <w:rPr>
          <w:rFonts w:cs="Times New Roman"/>
          <w:bCs/>
          <w:szCs w:val="32"/>
        </w:rPr>
        <w:t>AI</w:t>
      </w:r>
      <w:r>
        <w:rPr>
          <w:rFonts w:hint="eastAsia" w:ascii="仿宋_GB2312" w:hAnsi="仿宋"/>
          <w:bCs/>
          <w:szCs w:val="32"/>
        </w:rPr>
        <w:t>软件的判断，</w:t>
      </w:r>
      <w:r>
        <w:rPr>
          <w:rFonts w:hint="eastAsia" w:ascii="仿宋_GB2312" w:hAnsi="仿宋"/>
          <w:szCs w:val="32"/>
        </w:rPr>
        <w:t>自动筛查高、中、低危害性压力容器；</w:t>
      </w:r>
    </w:p>
    <w:p>
      <w:pPr>
        <w:pStyle w:val="7"/>
        <w:numPr>
          <w:ilvl w:val="0"/>
          <w:numId w:val="78"/>
        </w:numPr>
        <w:ind w:firstLine="643"/>
      </w:pPr>
      <w:r>
        <w:rPr>
          <w:rFonts w:hint="eastAsia"/>
        </w:rPr>
        <w:t xml:space="preserve">风险展示 </w:t>
      </w:r>
    </w:p>
    <w:p>
      <w:pPr>
        <w:ind w:firstLine="640"/>
        <w:rPr>
          <w:rFonts w:ascii="仿宋_GB2312" w:hAnsi="仿宋"/>
          <w:szCs w:val="32"/>
        </w:rPr>
      </w:pPr>
      <w:r>
        <w:rPr>
          <w:rFonts w:hint="eastAsia" w:ascii="仿宋_GB2312" w:hAnsi="仿宋"/>
          <w:szCs w:val="32"/>
        </w:rPr>
        <w:t>生成全省高危害性压力容器热力图，直接反应各地级市、区县的高、中、低危害性设备分布情况，动态清晰展示各地情况；</w:t>
      </w:r>
    </w:p>
    <w:p>
      <w:pPr>
        <w:numPr>
          <w:ilvl w:val="0"/>
          <w:numId w:val="79"/>
        </w:numPr>
        <w:ind w:left="0" w:firstLine="640"/>
      </w:pPr>
      <w:r>
        <w:rPr>
          <w:rFonts w:hint="eastAsia"/>
        </w:rPr>
        <w:t xml:space="preserve">监察预警 </w:t>
      </w:r>
    </w:p>
    <w:p>
      <w:pPr>
        <w:ind w:firstLine="640"/>
        <w:rPr>
          <w:rFonts w:ascii="仿宋_GB2312" w:hAnsi="仿宋"/>
          <w:szCs w:val="32"/>
        </w:rPr>
      </w:pPr>
      <w:r>
        <w:rPr>
          <w:rFonts w:hint="eastAsia" w:ascii="仿宋_GB2312" w:hAnsi="仿宋"/>
          <w:szCs w:val="32"/>
        </w:rPr>
        <w:t>依据浙江省特种设备信息服务平台中的信息变化，实时动态更新压力容器风险等级，监测到企业报送的设备异常工况、带压封堵、事故等重大危险响应，</w:t>
      </w:r>
      <w:r>
        <w:rPr>
          <w:rFonts w:cs="Times New Roman"/>
          <w:szCs w:val="32"/>
        </w:rPr>
        <w:t xml:space="preserve"> AI</w:t>
      </w:r>
      <w:r>
        <w:rPr>
          <w:rFonts w:hint="eastAsia" w:ascii="仿宋_GB2312" w:hAnsi="仿宋"/>
          <w:szCs w:val="32"/>
        </w:rPr>
        <w:t>系统判断后提醒是否通知消防机构、医疗机构；与气象局联网，对发生台风、雷暴、地质灾害等极端恶劣天气地区的高风险设备进行预警推送；根据国内外发生的特种设备事故，</w:t>
      </w:r>
      <w:r>
        <w:rPr>
          <w:rFonts w:cs="Times New Roman"/>
          <w:szCs w:val="32"/>
        </w:rPr>
        <w:t>AI</w:t>
      </w:r>
      <w:r>
        <w:rPr>
          <w:rFonts w:hint="eastAsia" w:ascii="仿宋_GB2312" w:hAnsi="仿宋"/>
          <w:szCs w:val="32"/>
        </w:rPr>
        <w:t>系统按照运行工况等信息自动筛选省内同类设备，向企业、检验机构和监察机构发出预警；</w:t>
      </w:r>
    </w:p>
    <w:p>
      <w:pPr>
        <w:numPr>
          <w:ilvl w:val="0"/>
          <w:numId w:val="79"/>
        </w:numPr>
        <w:ind w:left="0" w:firstLine="640"/>
      </w:pPr>
      <w:r>
        <w:rPr>
          <w:rFonts w:hint="eastAsia"/>
        </w:rPr>
        <w:t xml:space="preserve">智慧监管 </w:t>
      </w:r>
    </w:p>
    <w:p>
      <w:pPr>
        <w:ind w:firstLine="640"/>
        <w:rPr>
          <w:rFonts w:ascii="仿宋_GB2312" w:hAnsi="仿宋"/>
          <w:szCs w:val="32"/>
        </w:rPr>
      </w:pPr>
      <w:r>
        <w:rPr>
          <w:rFonts w:hint="eastAsia" w:ascii="仿宋_GB2312" w:hAnsi="仿宋"/>
          <w:szCs w:val="32"/>
        </w:rPr>
        <w:t>通过智控系统与检验系统、浙江省特种设备企业服务平台联网，可以查阅各设备基础信息和检验信息，辅助当某地发生事故后快速排查同类设备的分布。接入全省各地市特种设备安装、改造修理告知，注册登记、停用注销手续信息系统，健全线上改造、修理程序。实现压力容器全链条在线监管；</w:t>
      </w:r>
    </w:p>
    <w:p>
      <w:pPr>
        <w:pStyle w:val="6"/>
        <w:numPr>
          <w:ilvl w:val="0"/>
          <w:numId w:val="77"/>
        </w:numPr>
        <w:ind w:left="0" w:firstLine="640"/>
        <w:rPr>
          <w:rFonts w:ascii="仿宋_GB2312"/>
          <w:szCs w:val="32"/>
        </w:rPr>
      </w:pPr>
      <w:r>
        <w:rPr>
          <w:rFonts w:hint="eastAsia" w:ascii="仿宋_GB2312"/>
          <w:szCs w:val="32"/>
        </w:rPr>
        <w:t>统一标准规范</w:t>
      </w:r>
    </w:p>
    <w:p>
      <w:pPr>
        <w:pStyle w:val="7"/>
        <w:numPr>
          <w:ilvl w:val="0"/>
          <w:numId w:val="80"/>
        </w:numPr>
        <w:ind w:firstLine="643"/>
      </w:pPr>
      <w:r>
        <w:rPr>
          <w:rFonts w:hint="eastAsia"/>
        </w:rPr>
        <w:t>功能描述</w:t>
      </w:r>
    </w:p>
    <w:p>
      <w:pPr>
        <w:ind w:firstLine="640"/>
        <w:rPr>
          <w:rFonts w:ascii="仿宋_GB2312" w:hAnsi="仿宋"/>
          <w:szCs w:val="32"/>
        </w:rPr>
      </w:pPr>
      <w:r>
        <w:rPr>
          <w:rFonts w:hint="eastAsia" w:ascii="仿宋_GB2312" w:hAnsi="仿宋"/>
          <w:szCs w:val="32"/>
        </w:rPr>
        <w:t>通过对全省压力容器基本信息、运行工艺、环境因素、隐患缺陷的数据采集，按照</w:t>
      </w:r>
      <w:r>
        <w:rPr>
          <w:rFonts w:cs="Times New Roman"/>
          <w:color w:val="000000" w:themeColor="text1"/>
          <w:szCs w:val="32"/>
          <w14:textFill>
            <w14:solidFill>
              <w14:schemeClr w14:val="tx1"/>
            </w14:solidFill>
          </w14:textFill>
        </w:rPr>
        <w:t>DB 33/T 2126-2018</w:t>
      </w:r>
      <w:r>
        <w:rPr>
          <w:rFonts w:hint="eastAsia" w:ascii="仿宋_GB2312" w:hAnsi="仿宋"/>
          <w:color w:val="000000" w:themeColor="text1"/>
          <w:szCs w:val="32"/>
          <w14:textFill>
            <w14:solidFill>
              <w14:schemeClr w14:val="tx1"/>
            </w14:solidFill>
          </w14:textFill>
        </w:rPr>
        <w:t>《特种设备使用安全管理分类评价规范》自动智能筛查高、中、低危害性压力容器，生成全省全域高、中、低危害性压力容</w:t>
      </w:r>
      <w:r>
        <w:rPr>
          <w:rFonts w:hint="eastAsia" w:ascii="仿宋_GB2312" w:hAnsi="仿宋"/>
          <w:szCs w:val="32"/>
        </w:rPr>
        <w:t>器热力图，智能监</w:t>
      </w:r>
      <w:r>
        <w:rPr>
          <w:rFonts w:hint="eastAsia" w:ascii="仿宋_GB2312" w:hAnsi="仿宋"/>
          <w:color w:val="000000" w:themeColor="text1"/>
          <w:szCs w:val="32"/>
          <w14:textFill>
            <w14:solidFill>
              <w14:schemeClr w14:val="tx1"/>
            </w14:solidFill>
          </w14:textFill>
        </w:rPr>
        <w:t>控涉及危化品生产企业高危害性压力</w:t>
      </w:r>
      <w:r>
        <w:rPr>
          <w:rFonts w:hint="eastAsia" w:ascii="仿宋_GB2312" w:hAnsi="仿宋"/>
          <w:szCs w:val="32"/>
        </w:rPr>
        <w:t>容器运行状况、检验情况及维修情况，动态展示压力、温度、液位等值，实现紧急情况及时发出预警。</w:t>
      </w:r>
    </w:p>
    <w:p>
      <w:pPr>
        <w:ind w:firstLine="640"/>
        <w:rPr>
          <w:rFonts w:ascii="仿宋_GB2312" w:hAnsi="仿宋"/>
          <w:szCs w:val="32"/>
        </w:rPr>
      </w:pPr>
      <w:r>
        <w:rPr>
          <w:rFonts w:hint="eastAsia" w:ascii="仿宋_GB2312" w:hAnsi="仿宋"/>
          <w:szCs w:val="32"/>
        </w:rPr>
        <w:t>接入全省特种设备基础数据库，及时查阅压力容器基础信息、检验信息，开通企业账户，方便企业网上办理压力容器安装改造修理告知、注册登记、停用注销等手续，实施动态展示压力容器全链条信息。健全线上改造、修理程序办理，及时推送监督检验机构，严防非法改造修理。</w:t>
      </w:r>
    </w:p>
    <w:p>
      <w:pPr>
        <w:pStyle w:val="7"/>
        <w:numPr>
          <w:ilvl w:val="0"/>
          <w:numId w:val="80"/>
        </w:numPr>
        <w:ind w:firstLine="643"/>
      </w:pPr>
      <w:r>
        <w:rPr>
          <w:rFonts w:hint="eastAsia"/>
        </w:rPr>
        <w:t>业务对象</w:t>
      </w:r>
    </w:p>
    <w:p>
      <w:pPr>
        <w:ind w:firstLine="640"/>
        <w:rPr>
          <w:rFonts w:ascii="仿宋_GB2312" w:hAnsi="仿宋"/>
          <w:szCs w:val="32"/>
        </w:rPr>
      </w:pPr>
      <w:r>
        <w:rPr>
          <w:rFonts w:hint="eastAsia" w:ascii="仿宋_GB2312" w:hAnsi="仿宋"/>
          <w:szCs w:val="32"/>
        </w:rPr>
        <w:t>所有登记在全省基础数据库内的固定式压力容器</w:t>
      </w:r>
    </w:p>
    <w:p>
      <w:pPr>
        <w:pStyle w:val="7"/>
        <w:numPr>
          <w:ilvl w:val="0"/>
          <w:numId w:val="80"/>
        </w:numPr>
        <w:ind w:firstLine="643"/>
      </w:pPr>
      <w:r>
        <w:rPr>
          <w:rFonts w:hint="eastAsia"/>
        </w:rPr>
        <w:t>技术手段及具体要求</w:t>
      </w:r>
    </w:p>
    <w:p>
      <w:pPr>
        <w:ind w:firstLine="640"/>
        <w:rPr>
          <w:rFonts w:ascii="仿宋_GB2312" w:hAnsi="仿宋"/>
          <w:szCs w:val="32"/>
        </w:rPr>
      </w:pPr>
      <w:r>
        <w:rPr>
          <w:rFonts w:hint="eastAsia" w:ascii="仿宋_GB2312" w:hAnsi="仿宋"/>
          <w:szCs w:val="32"/>
        </w:rPr>
        <w:t>基于</w:t>
      </w:r>
      <w:r>
        <w:rPr>
          <w:rFonts w:cs="Times New Roman"/>
          <w:szCs w:val="32"/>
        </w:rPr>
        <w:t>DB33 T2126-2018</w:t>
      </w:r>
      <w:r>
        <w:rPr>
          <w:rFonts w:hint="eastAsia" w:ascii="仿宋_GB2312" w:hAnsi="仿宋"/>
          <w:szCs w:val="32"/>
        </w:rPr>
        <w:t>《特种设备使用安全管理分类评价规范》对压力容器进行分级管控，同时对省局特种设备数据库进行数据挖掘，获取压力容器的工作压力、工作温度、高度、容积、材质、介质、使用年限、快开门联锁等技术参数，从压力容器事故发生概率、事故发生后果两个方面对数据库中的高中低危害性压力容器进行识别；</w:t>
      </w:r>
    </w:p>
    <w:p>
      <w:pPr>
        <w:ind w:firstLine="640"/>
        <w:rPr>
          <w:rFonts w:ascii="仿宋_GB2312" w:hAnsi="仿宋"/>
          <w:szCs w:val="32"/>
        </w:rPr>
      </w:pPr>
      <w:r>
        <w:rPr>
          <w:rFonts w:hint="eastAsia" w:ascii="仿宋_GB2312" w:hAnsi="仿宋"/>
          <w:szCs w:val="32"/>
        </w:rPr>
        <w:t>低危害性：低危害性设备为状态较好的设备，采取较低关注度依法监管的措施。</w:t>
      </w:r>
    </w:p>
    <w:p>
      <w:pPr>
        <w:ind w:firstLine="640"/>
        <w:rPr>
          <w:rFonts w:ascii="仿宋_GB2312" w:hAnsi="仿宋"/>
          <w:szCs w:val="32"/>
        </w:rPr>
      </w:pPr>
      <w:r>
        <w:rPr>
          <w:rFonts w:hint="eastAsia" w:ascii="仿宋_GB2312" w:hAnsi="仿宋"/>
          <w:szCs w:val="32"/>
        </w:rPr>
        <w:t>中危害性：中危害性设备为状态较好，但存在较低风险缺陷或使用场所具有风险的设备，采取一定关注度依法监管的措施，并相应向使用单位推送隐患词条，要求使用单位加强相应隐患排查力度并反馈系统。</w:t>
      </w:r>
    </w:p>
    <w:p>
      <w:pPr>
        <w:ind w:firstLine="640"/>
        <w:rPr>
          <w:rFonts w:ascii="仿宋_GB2312" w:hAnsi="仿宋"/>
          <w:szCs w:val="32"/>
        </w:rPr>
      </w:pPr>
      <w:r>
        <w:rPr>
          <w:rFonts w:hint="eastAsia" w:ascii="仿宋_GB2312" w:hAnsi="仿宋"/>
          <w:szCs w:val="32"/>
        </w:rPr>
        <w:t>高危害性：高危害性设备为运行风险较高，且可能存在使用场所具有风险的设备，当初定为高风险时，需进一步通过细化评估最终评定确认，评定结果仍为高风险时，需采取较大关注度依法监管的措施。</w:t>
      </w:r>
    </w:p>
    <w:p>
      <w:pPr>
        <w:ind w:firstLine="640"/>
        <w:rPr>
          <w:rFonts w:ascii="仿宋_GB2312" w:hAnsi="仿宋"/>
          <w:szCs w:val="32"/>
        </w:rPr>
      </w:pPr>
      <w:r>
        <w:rPr>
          <w:rFonts w:hint="eastAsia" w:ascii="仿宋_GB2312" w:hAnsi="仿宋"/>
          <w:szCs w:val="32"/>
        </w:rPr>
        <w:t>利用前述采集的高危害性设备大数据库，对高危害性设备进行定位，生成全省高、中、低危害性压力容器热力云图，直观反应各地高危害性压力容器分布情况，对突发状况的设备位置、情况一目了然，为监管部门、检验部门、消防及医疗部门合理分配人力物力提供依据；</w:t>
      </w:r>
    </w:p>
    <w:p>
      <w:pPr>
        <w:ind w:firstLine="640"/>
        <w:rPr>
          <w:rFonts w:ascii="仿宋_GB2312" w:hAnsi="仿宋"/>
          <w:szCs w:val="32"/>
        </w:rPr>
      </w:pPr>
      <w:r>
        <w:rPr>
          <w:rFonts w:hint="eastAsia" w:ascii="仿宋_GB2312" w:hAnsi="仿宋"/>
          <w:szCs w:val="32"/>
        </w:rPr>
        <w:t xml:space="preserve">利用“互联网+物联网”技术，实时读取全省特种设备基础数据库及浙江省特种设备信息服务平台的数据变化：从全省基础数据库读取实时压力容器安装改造修理告知、停用注销情况，形成统计结果，从省局特种设备数据库中读取设备设计寿命及使用周期，对超设计使用寿命的压力容器进行风险预警；企业按要求填报浙江省特种设备信息服务平台，对企业维护保养填报不到位、企业自查上报工况发生异常、进行重大改造维修的设备进行重点监管，必须要时系统报送给相关检验机构和监察机构； </w:t>
      </w:r>
    </w:p>
    <w:p>
      <w:pPr>
        <w:ind w:firstLine="640"/>
        <w:rPr>
          <w:rFonts w:ascii="仿宋_GB2312" w:hAnsi="仿宋"/>
          <w:szCs w:val="32"/>
        </w:rPr>
      </w:pPr>
      <w:r>
        <w:rPr>
          <w:rFonts w:hint="eastAsia" w:ascii="仿宋_GB2312" w:hAnsi="仿宋"/>
          <w:szCs w:val="32"/>
        </w:rPr>
        <w:t>与气象局数据库进行智慧联网，对发生台风、雷暴、地质灾害等极端恶劣天气地区的高风险设备如高塔、盛装易燃易爆介质等压力容器进行预警推送。监测到发生事故的压力容器，系统立即向使用单位、检验机构及监察机构进行通报，利用智控系统综合分析压力容器的地理位置信息、容积、介质类别、周围人员密度、风向等信息，判断事故的失效后果、环境影响等，为消防机构灭火及抢险提供较为专业的指导建议，为医疗救援机构的救援提供需要的信息；</w:t>
      </w:r>
    </w:p>
    <w:p>
      <w:pPr>
        <w:ind w:firstLine="640"/>
        <w:rPr>
          <w:rFonts w:ascii="仿宋_GB2312" w:hAnsi="仿宋"/>
          <w:szCs w:val="32"/>
        </w:rPr>
      </w:pPr>
      <w:r>
        <w:rPr>
          <w:rFonts w:hint="eastAsia" w:ascii="仿宋_GB2312" w:hAnsi="仿宋"/>
          <w:szCs w:val="32"/>
        </w:rPr>
        <w:t>对高危害性压力容器进行全流程管理，依托大数据库随时查阅高危害性设备设计参数、设备本体及安全附件和仪表检验信息等信息，设计企业操作人员接口，及时更新高危害性压力容器维护保养、重大维修及改造、带压密封等重要信息，维修改造流程必须网上审核、备案及上传合格的竣工资料后闭环，为现场监察及检验提供依据，严防非法改造维修导致的特种设备事故；</w:t>
      </w:r>
    </w:p>
    <w:p>
      <w:pPr>
        <w:ind w:firstLine="640"/>
        <w:rPr>
          <w:rFonts w:ascii="仿宋_GB2312" w:hAnsi="仿宋"/>
          <w:szCs w:val="32"/>
        </w:rPr>
      </w:pPr>
      <w:r>
        <w:rPr>
          <w:rFonts w:hint="eastAsia" w:ascii="仿宋_GB2312" w:hAnsi="仿宋"/>
          <w:szCs w:val="32"/>
        </w:rPr>
        <w:t>省局牵头成立压力容器事故隐患综合治理专家组，及时搜寻公开报道的国内外各类压力容器事故隐患，进行压力容器的运行风险和事故情况大数据统计，对类似事故压力容器的工艺、设备进行预警和智能监管；</w:t>
      </w:r>
    </w:p>
    <w:p>
      <w:pPr>
        <w:pStyle w:val="7"/>
        <w:numPr>
          <w:ilvl w:val="0"/>
          <w:numId w:val="80"/>
        </w:numPr>
        <w:ind w:firstLine="643"/>
      </w:pPr>
      <w:r>
        <w:rPr>
          <w:rFonts w:hint="eastAsia"/>
        </w:rPr>
        <w:t>责任划分</w:t>
      </w:r>
    </w:p>
    <w:p>
      <w:pPr>
        <w:ind w:firstLine="640"/>
        <w:rPr>
          <w:rFonts w:ascii="仿宋_GB2312" w:hAnsi="仿宋"/>
          <w:szCs w:val="32"/>
        </w:rPr>
      </w:pPr>
      <w:r>
        <w:rPr>
          <w:rFonts w:hint="eastAsia" w:ascii="仿宋_GB2312" w:hAnsi="仿宋"/>
          <w:szCs w:val="32"/>
        </w:rPr>
        <w:t>省局及各地市市场监管局特种设备科负责督促企业及检验机构对省局特种设备数据库进行梳理和更新完善，为智控系统提供坚实的数据基础；</w:t>
      </w:r>
    </w:p>
    <w:p>
      <w:pPr>
        <w:ind w:firstLine="640"/>
        <w:rPr>
          <w:rFonts w:ascii="仿宋_GB2312" w:hAnsi="仿宋"/>
          <w:szCs w:val="32"/>
        </w:rPr>
      </w:pPr>
      <w:r>
        <w:rPr>
          <w:rFonts w:hint="eastAsia" w:ascii="仿宋_GB2312" w:hAnsi="仿宋"/>
          <w:szCs w:val="32"/>
        </w:rPr>
        <w:t>技术支持单位负责搭建智控系统，数据库的维护，编写</w:t>
      </w:r>
      <w:r>
        <w:rPr>
          <w:rFonts w:hint="eastAsia"/>
          <w:szCs w:val="32"/>
        </w:rPr>
        <w:t>AI</w:t>
      </w:r>
      <w:r>
        <w:rPr>
          <w:rFonts w:hint="eastAsia" w:ascii="仿宋_GB2312" w:hAnsi="仿宋"/>
          <w:szCs w:val="32"/>
        </w:rPr>
        <w:t>筛查及判断程序；</w:t>
      </w:r>
    </w:p>
    <w:p>
      <w:pPr>
        <w:ind w:firstLine="640"/>
        <w:rPr>
          <w:rFonts w:ascii="仿宋_GB2312" w:hAnsi="仿宋"/>
          <w:szCs w:val="32"/>
        </w:rPr>
      </w:pPr>
      <w:r>
        <w:rPr>
          <w:rFonts w:hint="eastAsia" w:ascii="仿宋_GB2312" w:hAnsi="仿宋"/>
          <w:szCs w:val="32"/>
        </w:rPr>
        <w:t>地方检验机构及计量机构开放数据接口，为数据库完善高风险设备检验及计量数据；</w:t>
      </w:r>
    </w:p>
    <w:p>
      <w:pPr>
        <w:ind w:firstLine="640"/>
        <w:rPr>
          <w:rFonts w:ascii="仿宋_GB2312" w:hAnsi="仿宋"/>
          <w:szCs w:val="32"/>
        </w:rPr>
      </w:pPr>
      <w:r>
        <w:rPr>
          <w:rFonts w:hint="eastAsia" w:ascii="仿宋_GB2312" w:hAnsi="仿宋"/>
          <w:szCs w:val="32"/>
        </w:rPr>
        <w:t>省局负责与应急管理、气象局、医疗等相关机构进行沟通协调，共建智控系统。</w:t>
      </w:r>
    </w:p>
    <w:p>
      <w:pPr>
        <w:pStyle w:val="7"/>
        <w:numPr>
          <w:ilvl w:val="0"/>
          <w:numId w:val="80"/>
        </w:numPr>
        <w:ind w:firstLine="643"/>
      </w:pPr>
      <w:r>
        <w:rPr>
          <w:rFonts w:hint="eastAsia"/>
        </w:rPr>
        <w:t>管理流程</w:t>
      </w:r>
    </w:p>
    <w:p>
      <w:pPr>
        <w:pStyle w:val="7"/>
        <w:numPr>
          <w:ilvl w:val="0"/>
          <w:numId w:val="81"/>
        </w:numPr>
        <w:ind w:left="0" w:firstLine="640"/>
        <w:rPr>
          <w:rFonts w:eastAsia="仿宋_GB2312" w:asciiTheme="minorHAnsi" w:hAnsiTheme="minorHAnsi"/>
          <w:b w:val="0"/>
        </w:rPr>
      </w:pPr>
      <w:r>
        <w:rPr>
          <w:rFonts w:hint="eastAsia" w:eastAsia="仿宋_GB2312" w:asciiTheme="minorHAnsi" w:hAnsiTheme="minorHAnsi"/>
          <w:b w:val="0"/>
        </w:rPr>
        <w:t>压力容器智控系统总体流程图</w:t>
      </w:r>
    </w:p>
    <w:p>
      <w:pPr>
        <w:widowControl/>
        <w:ind w:leftChars="-405" w:hanging="1296" w:hangingChars="405"/>
        <w:jc w:val="center"/>
        <w:rPr>
          <w:rFonts w:ascii="仿宋_GB2312" w:hAnsi="宋体" w:cs="宋体"/>
          <w:kern w:val="0"/>
          <w:szCs w:val="32"/>
        </w:rPr>
      </w:pPr>
      <w:r>
        <w:rPr>
          <w:rFonts w:hint="eastAsia" w:ascii="仿宋_GB2312"/>
          <w:kern w:val="0"/>
          <w:szCs w:val="32"/>
        </w:rPr>
        <w:drawing>
          <wp:anchor distT="0" distB="0" distL="0" distR="0" simplePos="0" relativeHeight="251635712" behindDoc="0" locked="0" layoutInCell="1" allowOverlap="1">
            <wp:simplePos x="0" y="0"/>
            <wp:positionH relativeFrom="column">
              <wp:posOffset>265430</wp:posOffset>
            </wp:positionH>
            <wp:positionV relativeFrom="paragraph">
              <wp:posOffset>157480</wp:posOffset>
            </wp:positionV>
            <wp:extent cx="4896485" cy="3048635"/>
            <wp:effectExtent l="0" t="0" r="10795" b="14605"/>
            <wp:wrapSquare wrapText="bothSides"/>
            <wp:docPr id="34" name="图片 1" descr="C:\Users\Administrator\AppData\Roaming\Tencent\Users\35227883\QQ\WinTemp\RichOle\V@EJKHUX5%9SEJYZ_U00[J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descr="C:\Users\Administrator\AppData\Roaming\Tencent\Users\35227883\QQ\WinTemp\RichOle\V@EJKHUX5%9SEJYZ_U00[JU.png"/>
                    <pic:cNvPicPr>
                      <a:picLocks noChangeAspect="1" noChangeArrowheads="1"/>
                    </pic:cNvPicPr>
                  </pic:nvPicPr>
                  <pic:blipFill>
                    <a:blip r:embed="rId33" cstate="print"/>
                    <a:srcRect/>
                    <a:stretch>
                      <a:fillRect/>
                    </a:stretch>
                  </pic:blipFill>
                  <pic:spPr>
                    <a:xfrm>
                      <a:off x="0" y="0"/>
                      <a:ext cx="4896485" cy="3048635"/>
                    </a:xfrm>
                    <a:prstGeom prst="rect">
                      <a:avLst/>
                    </a:prstGeom>
                    <a:noFill/>
                    <a:ln w="9525">
                      <a:noFill/>
                      <a:miter lim="800000"/>
                      <a:headEnd/>
                      <a:tailEnd/>
                    </a:ln>
                  </pic:spPr>
                </pic:pic>
              </a:graphicData>
            </a:graphic>
          </wp:anchor>
        </w:drawing>
      </w:r>
    </w:p>
    <w:p>
      <w:pPr>
        <w:ind w:firstLine="0" w:firstLineChars="0"/>
        <w:rPr>
          <w:rFonts w:ascii="仿宋_GB2312" w:hAnsi="仿宋"/>
          <w:bCs/>
          <w:szCs w:val="32"/>
        </w:rPr>
      </w:pPr>
    </w:p>
    <w:p>
      <w:pPr>
        <w:pStyle w:val="15"/>
        <w:ind w:firstLine="480"/>
        <w:rPr>
          <w:rFonts w:ascii="仿宋_GB2312" w:hAnsi="仿宋"/>
          <w:bCs/>
          <w:szCs w:val="32"/>
        </w:rPr>
      </w:pPr>
    </w:p>
    <w:p>
      <w:pPr>
        <w:pStyle w:val="15"/>
        <w:ind w:firstLine="480"/>
        <w:rPr>
          <w:rFonts w:ascii="仿宋_GB2312" w:hAnsi="仿宋"/>
          <w:bCs/>
          <w:szCs w:val="32"/>
        </w:rPr>
      </w:pPr>
    </w:p>
    <w:p>
      <w:pPr>
        <w:pStyle w:val="15"/>
        <w:ind w:firstLine="480"/>
        <w:rPr>
          <w:rFonts w:ascii="仿宋_GB2312" w:hAnsi="仿宋"/>
          <w:bCs/>
          <w:szCs w:val="32"/>
        </w:rPr>
      </w:pPr>
    </w:p>
    <w:p>
      <w:pPr>
        <w:pStyle w:val="15"/>
        <w:ind w:firstLine="480"/>
        <w:rPr>
          <w:rFonts w:ascii="仿宋_GB2312" w:hAnsi="仿宋"/>
          <w:bCs/>
          <w:szCs w:val="32"/>
        </w:rPr>
      </w:pPr>
    </w:p>
    <w:p>
      <w:pPr>
        <w:pStyle w:val="7"/>
        <w:numPr>
          <w:ilvl w:val="0"/>
          <w:numId w:val="81"/>
        </w:numPr>
        <w:ind w:left="0" w:firstLine="640"/>
        <w:rPr>
          <w:rFonts w:eastAsia="仿宋_GB2312" w:asciiTheme="minorHAnsi" w:hAnsiTheme="minorHAnsi"/>
          <w:b w:val="0"/>
        </w:rPr>
      </w:pPr>
      <w:r>
        <w:rPr>
          <w:rFonts w:hint="eastAsia" w:eastAsia="仿宋_GB2312" w:asciiTheme="minorHAnsi" w:hAnsiTheme="minorHAnsi"/>
          <w:b w:val="0"/>
        </w:rPr>
        <w:t>风险评估流程</w:t>
      </w:r>
    </w:p>
    <w:p>
      <w:pPr>
        <w:pStyle w:val="7"/>
        <w:numPr>
          <w:ilvl w:val="0"/>
          <w:numId w:val="81"/>
        </w:numPr>
        <w:ind w:left="0" w:firstLine="640"/>
        <w:rPr>
          <w:rFonts w:eastAsia="仿宋_GB2312" w:asciiTheme="minorHAnsi" w:hAnsiTheme="minorHAnsi"/>
          <w:b w:val="0"/>
        </w:rPr>
      </w:pPr>
      <w:r>
        <w:rPr>
          <w:rFonts w:hint="eastAsia" w:eastAsia="仿宋_GB2312" w:asciiTheme="minorHAnsi" w:hAnsiTheme="minorHAnsi"/>
          <w:b w:val="0"/>
        </w:rPr>
        <w:drawing>
          <wp:anchor distT="0" distB="0" distL="0" distR="0" simplePos="0" relativeHeight="251638784" behindDoc="0" locked="0" layoutInCell="1" allowOverlap="1">
            <wp:simplePos x="0" y="0"/>
            <wp:positionH relativeFrom="column">
              <wp:posOffset>147955</wp:posOffset>
            </wp:positionH>
            <wp:positionV relativeFrom="paragraph">
              <wp:posOffset>4199255</wp:posOffset>
            </wp:positionV>
            <wp:extent cx="5018405" cy="2952750"/>
            <wp:effectExtent l="0" t="0" r="10795" b="3810"/>
            <wp:wrapTopAndBottom/>
            <wp:docPr id="36" name="图片 1" descr="C:\Users\ThinkPad\AppData\Roaming\DingTalk\77806160_v2\ImageFiles\7465377\1783088201_17972982021_CCC8EB9A-8D76-45e1-B4CB-A928FA0E078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descr="C:\Users\ThinkPad\AppData\Roaming\DingTalk\77806160_v2\ImageFiles\7465377\1783088201_17972982021_CCC8EB9A-8D76-45e1-B4CB-A928FA0E078D.png"/>
                    <pic:cNvPicPr>
                      <a:picLocks noChangeAspect="1" noChangeArrowheads="1"/>
                    </pic:cNvPicPr>
                  </pic:nvPicPr>
                  <pic:blipFill>
                    <a:blip r:embed="rId34" cstate="print"/>
                    <a:srcRect/>
                    <a:stretch>
                      <a:fillRect/>
                    </a:stretch>
                  </pic:blipFill>
                  <pic:spPr>
                    <a:xfrm>
                      <a:off x="0" y="0"/>
                      <a:ext cx="5018405" cy="2952750"/>
                    </a:xfrm>
                    <a:prstGeom prst="rect">
                      <a:avLst/>
                    </a:prstGeom>
                    <a:noFill/>
                    <a:ln w="9525">
                      <a:noFill/>
                      <a:miter lim="800000"/>
                      <a:headEnd/>
                      <a:tailEnd/>
                    </a:ln>
                  </pic:spPr>
                </pic:pic>
              </a:graphicData>
            </a:graphic>
          </wp:anchor>
        </w:drawing>
      </w:r>
      <w:r>
        <w:rPr>
          <w:rFonts w:hint="eastAsia" w:eastAsia="仿宋_GB2312" w:asciiTheme="minorHAnsi" w:hAnsiTheme="minorHAnsi"/>
          <w:b w:val="0"/>
        </w:rPr>
        <w:drawing>
          <wp:anchor distT="0" distB="0" distL="0" distR="0" simplePos="0" relativeHeight="251636736" behindDoc="0" locked="0" layoutInCell="1" allowOverlap="1">
            <wp:simplePos x="0" y="0"/>
            <wp:positionH relativeFrom="column">
              <wp:posOffset>911860</wp:posOffset>
            </wp:positionH>
            <wp:positionV relativeFrom="paragraph">
              <wp:posOffset>85725</wp:posOffset>
            </wp:positionV>
            <wp:extent cx="2952750" cy="3629660"/>
            <wp:effectExtent l="0" t="0" r="3810" b="12700"/>
            <wp:wrapTopAndBottom/>
            <wp:docPr id="35" name="图片 3" descr="C:\Users\Administrator\AppData\Roaming\Tencent\Users\35227883\QQ\WinTemp\RichOle\[U88CH2KHIMIJQIKP3PIGQ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descr="C:\Users\Administrator\AppData\Roaming\Tencent\Users\35227883\QQ\WinTemp\RichOle\[U88CH2KHIMIJQIKP3PIGQJ.png"/>
                    <pic:cNvPicPr>
                      <a:picLocks noChangeAspect="1" noChangeArrowheads="1"/>
                    </pic:cNvPicPr>
                  </pic:nvPicPr>
                  <pic:blipFill>
                    <a:blip r:embed="rId35" cstate="print"/>
                    <a:srcRect/>
                    <a:stretch>
                      <a:fillRect/>
                    </a:stretch>
                  </pic:blipFill>
                  <pic:spPr>
                    <a:xfrm>
                      <a:off x="0" y="0"/>
                      <a:ext cx="2952750" cy="3629660"/>
                    </a:xfrm>
                    <a:prstGeom prst="rect">
                      <a:avLst/>
                    </a:prstGeom>
                    <a:noFill/>
                    <a:ln w="9525">
                      <a:noFill/>
                      <a:miter lim="800000"/>
                      <a:headEnd/>
                      <a:tailEnd/>
                    </a:ln>
                  </pic:spPr>
                </pic:pic>
              </a:graphicData>
            </a:graphic>
          </wp:anchor>
        </w:drawing>
      </w:r>
      <w:r>
        <w:rPr>
          <w:rFonts w:hint="eastAsia" w:eastAsia="仿宋_GB2312" w:asciiTheme="minorHAnsi" w:hAnsiTheme="minorHAnsi"/>
          <w:b w:val="0"/>
        </w:rPr>
        <w:t>平台架构树</w:t>
      </w:r>
    </w:p>
    <w:p>
      <w:pPr>
        <w:tabs>
          <w:tab w:val="left" w:pos="312"/>
        </w:tabs>
        <w:ind w:firstLine="0" w:firstLineChars="0"/>
        <w:rPr>
          <w:rFonts w:ascii="仿宋_GB2312" w:hAnsi="仿宋"/>
          <w:szCs w:val="32"/>
        </w:rPr>
      </w:pPr>
    </w:p>
    <w:p>
      <w:pPr>
        <w:pStyle w:val="6"/>
        <w:numPr>
          <w:ilvl w:val="0"/>
          <w:numId w:val="77"/>
        </w:numPr>
        <w:ind w:left="0" w:firstLine="640"/>
        <w:rPr>
          <w:rFonts w:ascii="仿宋_GB2312"/>
          <w:szCs w:val="32"/>
        </w:rPr>
      </w:pPr>
      <w:r>
        <w:rPr>
          <w:rFonts w:hint="eastAsia" w:ascii="仿宋_GB2312"/>
          <w:szCs w:val="32"/>
        </w:rPr>
        <w:t>整合数据资源</w:t>
      </w:r>
    </w:p>
    <w:p>
      <w:pPr>
        <w:ind w:firstLine="640"/>
        <w:rPr>
          <w:rFonts w:ascii="仿宋_GB2312" w:hAnsi="仿宋"/>
          <w:szCs w:val="32"/>
        </w:rPr>
      </w:pPr>
      <w:r>
        <w:rPr>
          <w:rFonts w:hint="eastAsia" w:ascii="仿宋_GB2312" w:hAnsi="仿宋"/>
          <w:szCs w:val="32"/>
        </w:rPr>
        <w:t>数据有压力容器的本质风险数据、特种设备检验机构数据、监察机构数据、应急管理等其他部门数据。</w:t>
      </w:r>
    </w:p>
    <w:p>
      <w:pPr>
        <w:pStyle w:val="7"/>
        <w:numPr>
          <w:ilvl w:val="0"/>
          <w:numId w:val="82"/>
        </w:numPr>
        <w:ind w:firstLine="643"/>
      </w:pPr>
      <w:r>
        <w:rPr>
          <w:rFonts w:hint="eastAsia"/>
        </w:rPr>
        <w:t>对接的数据梳理</w:t>
      </w:r>
    </w:p>
    <w:p>
      <w:pPr>
        <w:numPr>
          <w:ilvl w:val="0"/>
          <w:numId w:val="83"/>
        </w:numPr>
        <w:ind w:left="0" w:firstLine="640"/>
        <w:rPr>
          <w:rFonts w:ascii="仿宋_GB2312" w:hAnsi="仿宋"/>
          <w:szCs w:val="32"/>
        </w:rPr>
      </w:pPr>
      <w:r>
        <w:rPr>
          <w:rFonts w:hint="eastAsia" w:ascii="仿宋_GB2312" w:hAnsi="仿宋"/>
          <w:szCs w:val="32"/>
        </w:rPr>
        <w:t>压力容器本质风险数据根据设备情况由各辖区监察机构判定；</w:t>
      </w:r>
    </w:p>
    <w:p>
      <w:pPr>
        <w:numPr>
          <w:ilvl w:val="0"/>
          <w:numId w:val="83"/>
        </w:numPr>
        <w:ind w:left="0" w:firstLine="640"/>
        <w:rPr>
          <w:rFonts w:ascii="仿宋_GB2312" w:hAnsi="仿宋"/>
          <w:szCs w:val="32"/>
        </w:rPr>
      </w:pPr>
      <w:r>
        <w:rPr>
          <w:rFonts w:hint="eastAsia" w:ascii="仿宋_GB2312" w:hAnsi="仿宋"/>
          <w:szCs w:val="32"/>
        </w:rPr>
        <w:t>维护保养数据来自企业填报；</w:t>
      </w:r>
    </w:p>
    <w:p>
      <w:pPr>
        <w:numPr>
          <w:ilvl w:val="0"/>
          <w:numId w:val="83"/>
        </w:numPr>
        <w:ind w:left="0" w:firstLine="640"/>
        <w:rPr>
          <w:rFonts w:ascii="仿宋_GB2312" w:hAnsi="仿宋"/>
          <w:szCs w:val="32"/>
        </w:rPr>
      </w:pPr>
      <w:r>
        <w:rPr>
          <w:rFonts w:hint="eastAsia" w:ascii="仿宋_GB2312" w:hAnsi="仿宋"/>
          <w:szCs w:val="32"/>
        </w:rPr>
        <w:t>检验检测数据来自检验机构；</w:t>
      </w:r>
    </w:p>
    <w:p>
      <w:pPr>
        <w:numPr>
          <w:ilvl w:val="0"/>
          <w:numId w:val="83"/>
        </w:numPr>
        <w:ind w:left="0" w:firstLine="640"/>
        <w:rPr>
          <w:rFonts w:ascii="仿宋_GB2312" w:hAnsi="仿宋"/>
          <w:szCs w:val="32"/>
        </w:rPr>
      </w:pPr>
      <w:r>
        <w:rPr>
          <w:rFonts w:hint="eastAsia" w:ascii="仿宋_GB2312" w:hAnsi="仿宋"/>
          <w:szCs w:val="32"/>
        </w:rPr>
        <w:t>监督检查数据来自监察机构；</w:t>
      </w:r>
    </w:p>
    <w:p>
      <w:pPr>
        <w:numPr>
          <w:ilvl w:val="0"/>
          <w:numId w:val="83"/>
        </w:numPr>
        <w:ind w:left="0" w:firstLine="640"/>
        <w:rPr>
          <w:rFonts w:ascii="仿宋_GB2312" w:hAnsi="仿宋"/>
          <w:szCs w:val="32"/>
        </w:rPr>
      </w:pPr>
      <w:r>
        <w:rPr>
          <w:rFonts w:hint="eastAsia" w:ascii="仿宋_GB2312" w:hAnsi="仿宋"/>
          <w:szCs w:val="32"/>
        </w:rPr>
        <w:t>同类设备运行情况预警来自各类事故分析报告等；</w:t>
      </w:r>
    </w:p>
    <w:p>
      <w:pPr>
        <w:numPr>
          <w:ilvl w:val="0"/>
          <w:numId w:val="83"/>
        </w:numPr>
        <w:ind w:left="0" w:firstLine="640"/>
        <w:rPr>
          <w:rFonts w:ascii="仿宋_GB2312" w:hAnsi="仿宋"/>
          <w:szCs w:val="32"/>
        </w:rPr>
      </w:pPr>
      <w:r>
        <w:rPr>
          <w:rFonts w:hint="eastAsia" w:ascii="仿宋_GB2312" w:hAnsi="仿宋"/>
          <w:szCs w:val="32"/>
        </w:rPr>
        <w:t>相同法人不同企业的安全状况等大数据分析取自国家企业信息系统。</w:t>
      </w:r>
    </w:p>
    <w:p>
      <w:pPr>
        <w:pStyle w:val="7"/>
        <w:numPr>
          <w:ilvl w:val="0"/>
          <w:numId w:val="82"/>
        </w:numPr>
        <w:ind w:firstLine="643"/>
      </w:pPr>
      <w:r>
        <w:rPr>
          <w:rFonts w:hint="eastAsia" w:ascii="Times New Roman" w:hAnsi="Times New Roman"/>
        </w:rPr>
        <w:t>AI</w:t>
      </w:r>
      <w:r>
        <w:rPr>
          <w:rFonts w:hint="eastAsia"/>
        </w:rPr>
        <w:t>程序在数据库中挖掘数据列表</w:t>
      </w:r>
    </w:p>
    <w:tbl>
      <w:tblPr>
        <w:tblStyle w:val="27"/>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59"/>
        <w:gridCol w:w="2410"/>
        <w:gridCol w:w="3570"/>
        <w:gridCol w:w="158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59" w:type="dxa"/>
          </w:tcPr>
          <w:p>
            <w:pPr>
              <w:ind w:firstLine="0" w:firstLineChars="0"/>
              <w:jc w:val="center"/>
              <w:rPr>
                <w:rFonts w:ascii="仿宋_GB2312"/>
                <w:sz w:val="30"/>
                <w:szCs w:val="30"/>
              </w:rPr>
            </w:pPr>
            <w:r>
              <w:rPr>
                <w:rFonts w:hint="eastAsia" w:ascii="仿宋_GB2312"/>
                <w:sz w:val="30"/>
                <w:szCs w:val="30"/>
              </w:rPr>
              <w:t>序号</w:t>
            </w:r>
          </w:p>
        </w:tc>
        <w:tc>
          <w:tcPr>
            <w:tcW w:w="2410" w:type="dxa"/>
          </w:tcPr>
          <w:p>
            <w:pPr>
              <w:ind w:firstLine="0" w:firstLineChars="0"/>
              <w:jc w:val="center"/>
              <w:rPr>
                <w:rFonts w:ascii="仿宋_GB2312"/>
                <w:sz w:val="30"/>
                <w:szCs w:val="30"/>
              </w:rPr>
            </w:pPr>
            <w:r>
              <w:rPr>
                <w:rFonts w:hint="eastAsia" w:ascii="仿宋_GB2312"/>
                <w:sz w:val="30"/>
                <w:szCs w:val="30"/>
              </w:rPr>
              <w:t>数据名称</w:t>
            </w:r>
          </w:p>
        </w:tc>
        <w:tc>
          <w:tcPr>
            <w:tcW w:w="3570" w:type="dxa"/>
          </w:tcPr>
          <w:p>
            <w:pPr>
              <w:ind w:firstLine="0" w:firstLineChars="0"/>
              <w:jc w:val="center"/>
              <w:rPr>
                <w:rFonts w:ascii="仿宋_GB2312"/>
                <w:sz w:val="30"/>
                <w:szCs w:val="30"/>
              </w:rPr>
            </w:pPr>
            <w:r>
              <w:rPr>
                <w:rFonts w:hint="eastAsia" w:ascii="仿宋_GB2312"/>
                <w:sz w:val="30"/>
                <w:szCs w:val="30"/>
              </w:rPr>
              <w:t>数据用途</w:t>
            </w:r>
          </w:p>
        </w:tc>
        <w:tc>
          <w:tcPr>
            <w:tcW w:w="1583" w:type="dxa"/>
          </w:tcPr>
          <w:p>
            <w:pPr>
              <w:ind w:firstLine="0" w:firstLineChars="0"/>
              <w:jc w:val="center"/>
              <w:rPr>
                <w:rFonts w:ascii="仿宋_GB2312"/>
                <w:sz w:val="30"/>
                <w:szCs w:val="30"/>
              </w:rPr>
            </w:pPr>
            <w:r>
              <w:rPr>
                <w:rFonts w:hint="eastAsia" w:ascii="仿宋_GB2312"/>
                <w:sz w:val="30"/>
                <w:szCs w:val="30"/>
              </w:rPr>
              <w:t>数据代号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59" w:type="dxa"/>
          </w:tcPr>
          <w:p>
            <w:pPr>
              <w:ind w:firstLine="0" w:firstLineChars="0"/>
              <w:jc w:val="center"/>
              <w:rPr>
                <w:rFonts w:cs="Times New Roman"/>
                <w:sz w:val="30"/>
                <w:szCs w:val="30"/>
              </w:rPr>
            </w:pPr>
            <w:r>
              <w:rPr>
                <w:rFonts w:cs="Times New Roman"/>
                <w:szCs w:val="30"/>
              </w:rPr>
              <w:t>1</w:t>
            </w:r>
          </w:p>
        </w:tc>
        <w:tc>
          <w:tcPr>
            <w:tcW w:w="2410" w:type="dxa"/>
          </w:tcPr>
          <w:p>
            <w:pPr>
              <w:ind w:firstLine="0" w:firstLineChars="0"/>
              <w:rPr>
                <w:rFonts w:ascii="仿宋_GB2312"/>
                <w:sz w:val="30"/>
                <w:szCs w:val="30"/>
              </w:rPr>
            </w:pPr>
            <w:r>
              <w:rPr>
                <w:rFonts w:hint="eastAsia" w:ascii="仿宋_GB2312"/>
                <w:sz w:val="30"/>
                <w:szCs w:val="30"/>
              </w:rPr>
              <w:t>设计压力</w:t>
            </w:r>
          </w:p>
        </w:tc>
        <w:tc>
          <w:tcPr>
            <w:tcW w:w="3570" w:type="dxa"/>
          </w:tcPr>
          <w:p>
            <w:pPr>
              <w:ind w:firstLine="0" w:firstLineChars="0"/>
              <w:rPr>
                <w:rFonts w:ascii="仿宋_GB2312"/>
                <w:sz w:val="30"/>
                <w:szCs w:val="30"/>
              </w:rPr>
            </w:pPr>
            <w:r>
              <w:rPr>
                <w:rFonts w:hint="eastAsia" w:ascii="仿宋_GB2312"/>
                <w:sz w:val="30"/>
                <w:szCs w:val="30"/>
              </w:rPr>
              <w:t>基础参数</w:t>
            </w:r>
          </w:p>
        </w:tc>
        <w:tc>
          <w:tcPr>
            <w:tcW w:w="1583" w:type="dxa"/>
          </w:tcPr>
          <w:p>
            <w:pPr>
              <w:ind w:firstLine="0" w:firstLineChars="0"/>
              <w:rPr>
                <w:rFonts w:cs="Times New Roman"/>
                <w:sz w:val="30"/>
                <w:szCs w:val="30"/>
              </w:rPr>
            </w:pPr>
            <w:r>
              <w:rPr>
                <w:rFonts w:cs="Times New Roman"/>
                <w:szCs w:val="30"/>
              </w:rPr>
              <w:t>P</w:t>
            </w:r>
            <w:r>
              <w:rPr>
                <w:rFonts w:cs="Times New Roman"/>
                <w:szCs w:val="30"/>
                <w:vertAlign w:val="subscript"/>
              </w:rPr>
              <w:t>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59" w:type="dxa"/>
          </w:tcPr>
          <w:p>
            <w:pPr>
              <w:ind w:firstLine="0" w:firstLineChars="0"/>
              <w:jc w:val="center"/>
              <w:rPr>
                <w:rFonts w:cs="Times New Roman"/>
                <w:sz w:val="30"/>
                <w:szCs w:val="30"/>
              </w:rPr>
            </w:pPr>
            <w:r>
              <w:rPr>
                <w:rFonts w:cs="Times New Roman"/>
                <w:szCs w:val="30"/>
              </w:rPr>
              <w:t>2</w:t>
            </w:r>
          </w:p>
        </w:tc>
        <w:tc>
          <w:tcPr>
            <w:tcW w:w="2410" w:type="dxa"/>
          </w:tcPr>
          <w:p>
            <w:pPr>
              <w:ind w:firstLine="0" w:firstLineChars="0"/>
              <w:rPr>
                <w:rFonts w:ascii="仿宋_GB2312"/>
                <w:sz w:val="30"/>
                <w:szCs w:val="30"/>
              </w:rPr>
            </w:pPr>
            <w:r>
              <w:rPr>
                <w:rFonts w:hint="eastAsia" w:ascii="仿宋_GB2312"/>
                <w:sz w:val="30"/>
                <w:szCs w:val="30"/>
              </w:rPr>
              <w:t>设计温度</w:t>
            </w:r>
          </w:p>
        </w:tc>
        <w:tc>
          <w:tcPr>
            <w:tcW w:w="3570" w:type="dxa"/>
          </w:tcPr>
          <w:p>
            <w:pPr>
              <w:ind w:firstLine="0" w:firstLineChars="0"/>
              <w:rPr>
                <w:rFonts w:ascii="仿宋_GB2312"/>
                <w:sz w:val="30"/>
                <w:szCs w:val="30"/>
              </w:rPr>
            </w:pPr>
            <w:r>
              <w:rPr>
                <w:rFonts w:hint="eastAsia" w:ascii="仿宋_GB2312"/>
                <w:sz w:val="30"/>
                <w:szCs w:val="30"/>
              </w:rPr>
              <w:t>基础参数</w:t>
            </w:r>
          </w:p>
        </w:tc>
        <w:tc>
          <w:tcPr>
            <w:tcW w:w="1583" w:type="dxa"/>
          </w:tcPr>
          <w:p>
            <w:pPr>
              <w:ind w:firstLine="0" w:firstLineChars="0"/>
              <w:rPr>
                <w:rFonts w:cs="Times New Roman"/>
                <w:sz w:val="30"/>
                <w:szCs w:val="30"/>
              </w:rPr>
            </w:pPr>
            <w:r>
              <w:rPr>
                <w:rFonts w:cs="Times New Roman"/>
                <w:szCs w:val="30"/>
              </w:rPr>
              <w:t>T</w:t>
            </w:r>
            <w:r>
              <w:rPr>
                <w:rFonts w:cs="Times New Roman"/>
                <w:szCs w:val="30"/>
                <w:vertAlign w:val="subscript"/>
              </w:rPr>
              <w:t>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59" w:type="dxa"/>
          </w:tcPr>
          <w:p>
            <w:pPr>
              <w:ind w:firstLine="0" w:firstLineChars="0"/>
              <w:jc w:val="center"/>
              <w:rPr>
                <w:rFonts w:cs="Times New Roman"/>
                <w:sz w:val="30"/>
                <w:szCs w:val="30"/>
              </w:rPr>
            </w:pPr>
            <w:r>
              <w:rPr>
                <w:rFonts w:cs="Times New Roman"/>
                <w:szCs w:val="30"/>
              </w:rPr>
              <w:t>3</w:t>
            </w:r>
          </w:p>
        </w:tc>
        <w:tc>
          <w:tcPr>
            <w:tcW w:w="2410" w:type="dxa"/>
          </w:tcPr>
          <w:p>
            <w:pPr>
              <w:ind w:firstLine="0" w:firstLineChars="0"/>
              <w:rPr>
                <w:rFonts w:ascii="仿宋_GB2312"/>
                <w:sz w:val="30"/>
                <w:szCs w:val="30"/>
              </w:rPr>
            </w:pPr>
            <w:r>
              <w:rPr>
                <w:rFonts w:hint="eastAsia" w:ascii="仿宋_GB2312"/>
                <w:sz w:val="30"/>
                <w:szCs w:val="30"/>
              </w:rPr>
              <w:t>工作压力</w:t>
            </w:r>
          </w:p>
        </w:tc>
        <w:tc>
          <w:tcPr>
            <w:tcW w:w="3570" w:type="dxa"/>
          </w:tcPr>
          <w:p>
            <w:pPr>
              <w:ind w:firstLine="0" w:firstLineChars="0"/>
              <w:rPr>
                <w:rFonts w:ascii="仿宋_GB2312"/>
                <w:sz w:val="30"/>
                <w:szCs w:val="30"/>
              </w:rPr>
            </w:pPr>
            <w:r>
              <w:rPr>
                <w:rFonts w:hint="eastAsia" w:ascii="仿宋_GB2312"/>
                <w:sz w:val="30"/>
                <w:szCs w:val="30"/>
              </w:rPr>
              <w:t>判断设备是否超压</w:t>
            </w:r>
          </w:p>
        </w:tc>
        <w:tc>
          <w:tcPr>
            <w:tcW w:w="1583" w:type="dxa"/>
          </w:tcPr>
          <w:p>
            <w:pPr>
              <w:ind w:firstLine="0" w:firstLineChars="0"/>
              <w:rPr>
                <w:rFonts w:cs="Times New Roman"/>
                <w:sz w:val="30"/>
                <w:szCs w:val="30"/>
              </w:rPr>
            </w:pPr>
            <w:r>
              <w:rPr>
                <w:rFonts w:cs="Times New Roman"/>
                <w:szCs w:val="30"/>
              </w:rPr>
              <w:t>P</w:t>
            </w:r>
            <w:r>
              <w:rPr>
                <w:rFonts w:cs="Times New Roman"/>
                <w:szCs w:val="30"/>
                <w:vertAlign w:val="subscript"/>
              </w:rPr>
              <w:t>W</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59" w:type="dxa"/>
          </w:tcPr>
          <w:p>
            <w:pPr>
              <w:ind w:firstLine="0" w:firstLineChars="0"/>
              <w:jc w:val="center"/>
              <w:rPr>
                <w:rFonts w:cs="Times New Roman"/>
                <w:sz w:val="30"/>
                <w:szCs w:val="30"/>
              </w:rPr>
            </w:pPr>
            <w:r>
              <w:rPr>
                <w:rFonts w:cs="Times New Roman"/>
                <w:szCs w:val="30"/>
              </w:rPr>
              <w:t>4</w:t>
            </w:r>
          </w:p>
        </w:tc>
        <w:tc>
          <w:tcPr>
            <w:tcW w:w="2410" w:type="dxa"/>
          </w:tcPr>
          <w:p>
            <w:pPr>
              <w:ind w:firstLine="0" w:firstLineChars="0"/>
              <w:rPr>
                <w:rFonts w:ascii="仿宋_GB2312"/>
                <w:sz w:val="30"/>
                <w:szCs w:val="30"/>
              </w:rPr>
            </w:pPr>
            <w:r>
              <w:rPr>
                <w:rFonts w:hint="eastAsia" w:ascii="仿宋_GB2312"/>
                <w:sz w:val="30"/>
                <w:szCs w:val="30"/>
              </w:rPr>
              <w:t>工作温度</w:t>
            </w:r>
          </w:p>
        </w:tc>
        <w:tc>
          <w:tcPr>
            <w:tcW w:w="3570" w:type="dxa"/>
          </w:tcPr>
          <w:p>
            <w:pPr>
              <w:ind w:firstLine="0" w:firstLineChars="0"/>
              <w:rPr>
                <w:rFonts w:ascii="仿宋_GB2312"/>
                <w:sz w:val="30"/>
                <w:szCs w:val="30"/>
              </w:rPr>
            </w:pPr>
            <w:r>
              <w:rPr>
                <w:rFonts w:hint="eastAsia" w:ascii="仿宋_GB2312"/>
                <w:sz w:val="30"/>
                <w:szCs w:val="30"/>
              </w:rPr>
              <w:t>判断设备是否超温</w:t>
            </w:r>
          </w:p>
        </w:tc>
        <w:tc>
          <w:tcPr>
            <w:tcW w:w="1583" w:type="dxa"/>
          </w:tcPr>
          <w:p>
            <w:pPr>
              <w:ind w:firstLine="0" w:firstLineChars="0"/>
              <w:rPr>
                <w:rFonts w:cs="Times New Roman"/>
                <w:sz w:val="30"/>
                <w:szCs w:val="30"/>
              </w:rPr>
            </w:pPr>
            <w:r>
              <w:rPr>
                <w:rFonts w:cs="Times New Roman"/>
                <w:szCs w:val="30"/>
              </w:rPr>
              <w:t>T</w:t>
            </w:r>
            <w:r>
              <w:rPr>
                <w:rFonts w:cs="Times New Roman"/>
                <w:szCs w:val="30"/>
                <w:vertAlign w:val="subscript"/>
              </w:rPr>
              <w:t>W</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59" w:type="dxa"/>
          </w:tcPr>
          <w:p>
            <w:pPr>
              <w:ind w:firstLine="0" w:firstLineChars="0"/>
              <w:jc w:val="center"/>
              <w:rPr>
                <w:rFonts w:cs="Times New Roman"/>
                <w:sz w:val="30"/>
                <w:szCs w:val="30"/>
              </w:rPr>
            </w:pPr>
            <w:r>
              <w:rPr>
                <w:rFonts w:cs="Times New Roman"/>
                <w:szCs w:val="30"/>
              </w:rPr>
              <w:t>5</w:t>
            </w:r>
          </w:p>
        </w:tc>
        <w:tc>
          <w:tcPr>
            <w:tcW w:w="2410" w:type="dxa"/>
          </w:tcPr>
          <w:p>
            <w:pPr>
              <w:ind w:firstLine="0" w:firstLineChars="0"/>
              <w:rPr>
                <w:rFonts w:ascii="仿宋_GB2312"/>
                <w:sz w:val="30"/>
                <w:szCs w:val="30"/>
              </w:rPr>
            </w:pPr>
            <w:r>
              <w:rPr>
                <w:rFonts w:hint="eastAsia" w:ascii="仿宋_GB2312"/>
                <w:sz w:val="30"/>
                <w:szCs w:val="30"/>
              </w:rPr>
              <w:t>介质</w:t>
            </w:r>
          </w:p>
        </w:tc>
        <w:tc>
          <w:tcPr>
            <w:tcW w:w="3570" w:type="dxa"/>
          </w:tcPr>
          <w:p>
            <w:pPr>
              <w:ind w:firstLine="0" w:firstLineChars="0"/>
              <w:rPr>
                <w:rFonts w:ascii="仿宋_GB2312"/>
                <w:sz w:val="30"/>
                <w:szCs w:val="30"/>
              </w:rPr>
            </w:pPr>
            <w:r>
              <w:rPr>
                <w:rFonts w:hint="eastAsia" w:ascii="仿宋_GB2312"/>
                <w:sz w:val="30"/>
                <w:szCs w:val="30"/>
              </w:rPr>
              <w:t>判断失效后果</w:t>
            </w:r>
          </w:p>
        </w:tc>
        <w:tc>
          <w:tcPr>
            <w:tcW w:w="1583" w:type="dxa"/>
          </w:tcPr>
          <w:p>
            <w:pPr>
              <w:ind w:firstLine="0" w:firstLineChars="0"/>
              <w:rPr>
                <w:rFonts w:cs="Times New Roman"/>
                <w:sz w:val="30"/>
                <w:szCs w:val="30"/>
              </w:rPr>
            </w:pPr>
            <w:r>
              <w:rPr>
                <w:rFonts w:cs="Times New Roman"/>
                <w:szCs w:val="30"/>
              </w:rPr>
              <w:t>M</w:t>
            </w:r>
            <w:r>
              <w:rPr>
                <w:rFonts w:cs="Times New Roman"/>
                <w:szCs w:val="30"/>
                <w:vertAlign w:val="subscript"/>
              </w:rPr>
              <w:t>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59" w:type="dxa"/>
          </w:tcPr>
          <w:p>
            <w:pPr>
              <w:ind w:firstLine="0" w:firstLineChars="0"/>
              <w:jc w:val="center"/>
              <w:rPr>
                <w:rFonts w:cs="Times New Roman"/>
                <w:sz w:val="30"/>
                <w:szCs w:val="30"/>
              </w:rPr>
            </w:pPr>
            <w:r>
              <w:rPr>
                <w:rFonts w:cs="Times New Roman"/>
                <w:szCs w:val="30"/>
              </w:rPr>
              <w:t>6</w:t>
            </w:r>
          </w:p>
        </w:tc>
        <w:tc>
          <w:tcPr>
            <w:tcW w:w="2410" w:type="dxa"/>
          </w:tcPr>
          <w:p>
            <w:pPr>
              <w:ind w:firstLine="0" w:firstLineChars="0"/>
              <w:rPr>
                <w:rFonts w:ascii="仿宋_GB2312"/>
                <w:sz w:val="30"/>
                <w:szCs w:val="30"/>
              </w:rPr>
            </w:pPr>
            <w:r>
              <w:rPr>
                <w:rFonts w:hint="eastAsia" w:ascii="仿宋_GB2312"/>
                <w:sz w:val="30"/>
                <w:szCs w:val="30"/>
              </w:rPr>
              <w:t>容积</w:t>
            </w:r>
          </w:p>
        </w:tc>
        <w:tc>
          <w:tcPr>
            <w:tcW w:w="3570" w:type="dxa"/>
          </w:tcPr>
          <w:p>
            <w:pPr>
              <w:ind w:firstLine="0" w:firstLineChars="0"/>
              <w:rPr>
                <w:rFonts w:ascii="仿宋_GB2312"/>
                <w:sz w:val="30"/>
                <w:szCs w:val="30"/>
              </w:rPr>
            </w:pPr>
            <w:r>
              <w:rPr>
                <w:rFonts w:hint="eastAsia" w:ascii="仿宋_GB2312"/>
                <w:sz w:val="30"/>
                <w:szCs w:val="30"/>
              </w:rPr>
              <w:t>判断失效后果</w:t>
            </w:r>
          </w:p>
        </w:tc>
        <w:tc>
          <w:tcPr>
            <w:tcW w:w="1583" w:type="dxa"/>
          </w:tcPr>
          <w:p>
            <w:pPr>
              <w:ind w:firstLine="0" w:firstLineChars="0"/>
              <w:rPr>
                <w:rFonts w:cs="Times New Roman"/>
                <w:sz w:val="30"/>
                <w:szCs w:val="30"/>
              </w:rPr>
            </w:pPr>
            <w:r>
              <w:rPr>
                <w:rFonts w:cs="Times New Roman"/>
                <w:szCs w:val="30"/>
              </w:rPr>
              <w:t>V</w:t>
            </w:r>
            <w:r>
              <w:rPr>
                <w:rFonts w:cs="Times New Roman"/>
                <w:szCs w:val="30"/>
                <w:vertAlign w:val="subscript"/>
              </w:rPr>
              <w:t>ol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59" w:type="dxa"/>
          </w:tcPr>
          <w:p>
            <w:pPr>
              <w:ind w:firstLine="0" w:firstLineChars="0"/>
              <w:jc w:val="center"/>
              <w:rPr>
                <w:rFonts w:cs="Times New Roman"/>
                <w:sz w:val="30"/>
                <w:szCs w:val="30"/>
              </w:rPr>
            </w:pPr>
            <w:r>
              <w:rPr>
                <w:rFonts w:cs="Times New Roman"/>
                <w:szCs w:val="30"/>
              </w:rPr>
              <w:t>7</w:t>
            </w:r>
          </w:p>
        </w:tc>
        <w:tc>
          <w:tcPr>
            <w:tcW w:w="2410" w:type="dxa"/>
          </w:tcPr>
          <w:p>
            <w:pPr>
              <w:ind w:firstLine="0" w:firstLineChars="0"/>
              <w:rPr>
                <w:rFonts w:ascii="仿宋_GB2312"/>
                <w:sz w:val="30"/>
                <w:szCs w:val="30"/>
              </w:rPr>
            </w:pPr>
            <w:r>
              <w:rPr>
                <w:rFonts w:hint="eastAsia" w:ascii="仿宋_GB2312"/>
                <w:sz w:val="30"/>
                <w:szCs w:val="30"/>
              </w:rPr>
              <w:t>材质</w:t>
            </w:r>
          </w:p>
        </w:tc>
        <w:tc>
          <w:tcPr>
            <w:tcW w:w="3570" w:type="dxa"/>
          </w:tcPr>
          <w:p>
            <w:pPr>
              <w:ind w:firstLine="0" w:firstLineChars="0"/>
              <w:rPr>
                <w:rFonts w:ascii="仿宋_GB2312"/>
                <w:sz w:val="30"/>
                <w:szCs w:val="30"/>
              </w:rPr>
            </w:pPr>
            <w:r>
              <w:rPr>
                <w:rFonts w:hint="eastAsia" w:ascii="仿宋_GB2312"/>
                <w:sz w:val="30"/>
                <w:szCs w:val="30"/>
              </w:rPr>
              <w:t>判断失效机理</w:t>
            </w:r>
          </w:p>
        </w:tc>
        <w:tc>
          <w:tcPr>
            <w:tcW w:w="1583" w:type="dxa"/>
          </w:tcPr>
          <w:p>
            <w:pPr>
              <w:ind w:firstLine="0" w:firstLineChars="0"/>
              <w:rPr>
                <w:rFonts w:cs="Times New Roman"/>
                <w:sz w:val="30"/>
                <w:szCs w:val="30"/>
              </w:rPr>
            </w:pPr>
            <w:r>
              <w:rPr>
                <w:rFonts w:cs="Times New Roman"/>
                <w:szCs w:val="30"/>
              </w:rPr>
              <w:t>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59" w:type="dxa"/>
          </w:tcPr>
          <w:p>
            <w:pPr>
              <w:ind w:firstLine="0" w:firstLineChars="0"/>
              <w:jc w:val="center"/>
              <w:rPr>
                <w:rFonts w:cs="Times New Roman"/>
                <w:sz w:val="30"/>
                <w:szCs w:val="30"/>
              </w:rPr>
            </w:pPr>
            <w:r>
              <w:rPr>
                <w:rFonts w:cs="Times New Roman"/>
                <w:szCs w:val="30"/>
              </w:rPr>
              <w:t>8</w:t>
            </w:r>
          </w:p>
        </w:tc>
        <w:tc>
          <w:tcPr>
            <w:tcW w:w="2410" w:type="dxa"/>
          </w:tcPr>
          <w:p>
            <w:pPr>
              <w:ind w:firstLine="0" w:firstLineChars="0"/>
              <w:rPr>
                <w:rFonts w:ascii="仿宋_GB2312"/>
                <w:sz w:val="30"/>
                <w:szCs w:val="30"/>
              </w:rPr>
            </w:pPr>
            <w:r>
              <w:rPr>
                <w:rFonts w:hint="eastAsia" w:ascii="仿宋_GB2312"/>
                <w:sz w:val="30"/>
                <w:szCs w:val="30"/>
              </w:rPr>
              <w:t>使用年限</w:t>
            </w:r>
          </w:p>
        </w:tc>
        <w:tc>
          <w:tcPr>
            <w:tcW w:w="3570" w:type="dxa"/>
          </w:tcPr>
          <w:p>
            <w:pPr>
              <w:ind w:firstLine="0" w:firstLineChars="0"/>
              <w:rPr>
                <w:rFonts w:ascii="仿宋_GB2312"/>
                <w:sz w:val="30"/>
                <w:szCs w:val="30"/>
              </w:rPr>
            </w:pPr>
            <w:r>
              <w:rPr>
                <w:rFonts w:hint="eastAsia" w:ascii="仿宋_GB2312"/>
                <w:sz w:val="30"/>
                <w:szCs w:val="30"/>
              </w:rPr>
              <w:t>判断失效概率</w:t>
            </w:r>
          </w:p>
        </w:tc>
        <w:tc>
          <w:tcPr>
            <w:tcW w:w="1583" w:type="dxa"/>
          </w:tcPr>
          <w:p>
            <w:pPr>
              <w:ind w:firstLine="0" w:firstLineChars="0"/>
              <w:rPr>
                <w:rFonts w:cs="Times New Roman"/>
                <w:sz w:val="30"/>
                <w:szCs w:val="30"/>
              </w:rPr>
            </w:pPr>
            <w:r>
              <w:rPr>
                <w:rFonts w:cs="Times New Roman"/>
                <w:szCs w:val="30"/>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59" w:type="dxa"/>
          </w:tcPr>
          <w:p>
            <w:pPr>
              <w:ind w:firstLine="0" w:firstLineChars="0"/>
              <w:jc w:val="center"/>
              <w:rPr>
                <w:rFonts w:cs="Times New Roman"/>
                <w:sz w:val="30"/>
                <w:szCs w:val="30"/>
              </w:rPr>
            </w:pPr>
            <w:r>
              <w:rPr>
                <w:rFonts w:cs="Times New Roman"/>
                <w:szCs w:val="30"/>
              </w:rPr>
              <w:t>9</w:t>
            </w:r>
          </w:p>
        </w:tc>
        <w:tc>
          <w:tcPr>
            <w:tcW w:w="2410" w:type="dxa"/>
          </w:tcPr>
          <w:p>
            <w:pPr>
              <w:ind w:firstLine="0" w:firstLineChars="0"/>
              <w:rPr>
                <w:rFonts w:ascii="仿宋_GB2312"/>
                <w:sz w:val="30"/>
                <w:szCs w:val="30"/>
              </w:rPr>
            </w:pPr>
            <w:r>
              <w:rPr>
                <w:rFonts w:hint="eastAsia" w:ascii="仿宋_GB2312"/>
                <w:sz w:val="30"/>
                <w:szCs w:val="30"/>
              </w:rPr>
              <w:t>检验信息</w:t>
            </w:r>
          </w:p>
        </w:tc>
        <w:tc>
          <w:tcPr>
            <w:tcW w:w="3570" w:type="dxa"/>
          </w:tcPr>
          <w:p>
            <w:pPr>
              <w:ind w:firstLine="0" w:firstLineChars="0"/>
              <w:rPr>
                <w:rFonts w:ascii="仿宋_GB2312"/>
                <w:sz w:val="30"/>
                <w:szCs w:val="30"/>
              </w:rPr>
            </w:pPr>
            <w:r>
              <w:rPr>
                <w:rFonts w:hint="eastAsia"/>
                <w:szCs w:val="30"/>
              </w:rPr>
              <w:t>1</w:t>
            </w:r>
            <w:r>
              <w:rPr>
                <w:rFonts w:hint="eastAsia" w:ascii="仿宋_GB2312"/>
                <w:sz w:val="30"/>
                <w:szCs w:val="30"/>
              </w:rPr>
              <w:t>、判断是否超期；</w:t>
            </w:r>
            <w:r>
              <w:rPr>
                <w:rFonts w:hint="eastAsia"/>
                <w:szCs w:val="30"/>
              </w:rPr>
              <w:t>2</w:t>
            </w:r>
            <w:r>
              <w:rPr>
                <w:rFonts w:hint="eastAsia" w:ascii="仿宋_GB2312"/>
                <w:sz w:val="30"/>
                <w:szCs w:val="30"/>
              </w:rPr>
              <w:t>、根据历次检验发现的缺陷预判设备风险。</w:t>
            </w:r>
          </w:p>
        </w:tc>
        <w:tc>
          <w:tcPr>
            <w:tcW w:w="1583" w:type="dxa"/>
          </w:tcPr>
          <w:p>
            <w:pPr>
              <w:ind w:firstLine="0" w:firstLineChars="0"/>
              <w:rPr>
                <w:rFonts w:cs="Times New Roman"/>
                <w:sz w:val="30"/>
                <w:szCs w:val="30"/>
              </w:rPr>
            </w:pPr>
            <w:r>
              <w:rPr>
                <w:rFonts w:cs="Times New Roman"/>
                <w:szCs w:val="30"/>
              </w:rPr>
              <w:t>Exp</w:t>
            </w:r>
          </w:p>
          <w:p>
            <w:pPr>
              <w:ind w:firstLine="0" w:firstLineChars="0"/>
              <w:rPr>
                <w:rFonts w:cs="Times New Roman"/>
                <w:sz w:val="30"/>
                <w:szCs w:val="30"/>
              </w:rPr>
            </w:pPr>
            <w:r>
              <w:rPr>
                <w:rFonts w:cs="Times New Roman"/>
                <w:sz w:val="30"/>
                <w:szCs w:val="30"/>
              </w:rPr>
              <w:t>本体</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59" w:type="dxa"/>
          </w:tcPr>
          <w:p>
            <w:pPr>
              <w:ind w:firstLine="0" w:firstLineChars="0"/>
              <w:jc w:val="center"/>
              <w:rPr>
                <w:rFonts w:cs="Times New Roman"/>
                <w:sz w:val="30"/>
                <w:szCs w:val="30"/>
              </w:rPr>
            </w:pPr>
            <w:r>
              <w:rPr>
                <w:rFonts w:cs="Times New Roman"/>
                <w:szCs w:val="30"/>
              </w:rPr>
              <w:t>10</w:t>
            </w:r>
          </w:p>
        </w:tc>
        <w:tc>
          <w:tcPr>
            <w:tcW w:w="2410" w:type="dxa"/>
          </w:tcPr>
          <w:p>
            <w:pPr>
              <w:ind w:firstLine="0" w:firstLineChars="0"/>
              <w:rPr>
                <w:rFonts w:ascii="仿宋_GB2312"/>
                <w:sz w:val="30"/>
                <w:szCs w:val="30"/>
              </w:rPr>
            </w:pPr>
            <w:r>
              <w:rPr>
                <w:rFonts w:hint="eastAsia" w:ascii="仿宋_GB2312"/>
                <w:sz w:val="30"/>
                <w:szCs w:val="30"/>
              </w:rPr>
              <w:t>安全附件检验有效期</w:t>
            </w:r>
          </w:p>
        </w:tc>
        <w:tc>
          <w:tcPr>
            <w:tcW w:w="3570" w:type="dxa"/>
          </w:tcPr>
          <w:p>
            <w:pPr>
              <w:ind w:firstLine="0" w:firstLineChars="0"/>
              <w:rPr>
                <w:rFonts w:ascii="仿宋_GB2312"/>
                <w:sz w:val="30"/>
                <w:szCs w:val="30"/>
              </w:rPr>
            </w:pPr>
            <w:r>
              <w:rPr>
                <w:rFonts w:hint="eastAsia" w:ascii="仿宋_GB2312"/>
                <w:sz w:val="30"/>
                <w:szCs w:val="30"/>
              </w:rPr>
              <w:t>判断是否超期</w:t>
            </w:r>
          </w:p>
        </w:tc>
        <w:tc>
          <w:tcPr>
            <w:tcW w:w="1583" w:type="dxa"/>
          </w:tcPr>
          <w:p>
            <w:pPr>
              <w:ind w:firstLine="0" w:firstLineChars="0"/>
              <w:rPr>
                <w:rFonts w:cs="Times New Roman"/>
                <w:sz w:val="30"/>
                <w:szCs w:val="30"/>
              </w:rPr>
            </w:pPr>
            <w:r>
              <w:rPr>
                <w:rFonts w:cs="Times New Roman"/>
                <w:szCs w:val="30"/>
              </w:rPr>
              <w:t>Exp</w:t>
            </w:r>
          </w:p>
          <w:p>
            <w:pPr>
              <w:ind w:firstLine="0" w:firstLineChars="0"/>
              <w:rPr>
                <w:rFonts w:cs="Times New Roman"/>
                <w:sz w:val="30"/>
                <w:szCs w:val="30"/>
              </w:rPr>
            </w:pPr>
            <w:r>
              <w:rPr>
                <w:rFonts w:cs="Times New Roman"/>
                <w:sz w:val="30"/>
                <w:szCs w:val="30"/>
              </w:rPr>
              <w:t>附件</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59" w:type="dxa"/>
          </w:tcPr>
          <w:p>
            <w:pPr>
              <w:ind w:firstLine="0" w:firstLineChars="0"/>
              <w:jc w:val="center"/>
              <w:rPr>
                <w:rFonts w:cs="Times New Roman"/>
                <w:sz w:val="30"/>
                <w:szCs w:val="30"/>
              </w:rPr>
            </w:pPr>
            <w:r>
              <w:rPr>
                <w:rFonts w:cs="Times New Roman"/>
                <w:szCs w:val="30"/>
              </w:rPr>
              <w:t>11</w:t>
            </w:r>
          </w:p>
        </w:tc>
        <w:tc>
          <w:tcPr>
            <w:tcW w:w="2410" w:type="dxa"/>
          </w:tcPr>
          <w:p>
            <w:pPr>
              <w:ind w:firstLine="0" w:firstLineChars="0"/>
              <w:rPr>
                <w:rFonts w:ascii="仿宋_GB2312"/>
                <w:sz w:val="30"/>
                <w:szCs w:val="30"/>
              </w:rPr>
            </w:pPr>
            <w:r>
              <w:rPr>
                <w:rFonts w:hint="eastAsia" w:ascii="仿宋_GB2312"/>
                <w:sz w:val="30"/>
                <w:szCs w:val="30"/>
              </w:rPr>
              <w:t>是否快开门</w:t>
            </w:r>
          </w:p>
        </w:tc>
        <w:tc>
          <w:tcPr>
            <w:tcW w:w="3570" w:type="dxa"/>
          </w:tcPr>
          <w:p>
            <w:pPr>
              <w:ind w:firstLine="0" w:firstLineChars="0"/>
              <w:rPr>
                <w:rFonts w:ascii="仿宋_GB2312"/>
                <w:sz w:val="30"/>
                <w:szCs w:val="30"/>
              </w:rPr>
            </w:pPr>
            <w:r>
              <w:rPr>
                <w:rFonts w:hint="eastAsia" w:ascii="仿宋_GB2312"/>
                <w:sz w:val="30"/>
                <w:szCs w:val="30"/>
              </w:rPr>
              <w:t>判断失效概率</w:t>
            </w:r>
          </w:p>
        </w:tc>
        <w:tc>
          <w:tcPr>
            <w:tcW w:w="1583" w:type="dxa"/>
          </w:tcPr>
          <w:p>
            <w:pPr>
              <w:ind w:firstLine="0" w:firstLineChars="0"/>
              <w:rPr>
                <w:rFonts w:cs="Times New Roman"/>
                <w:sz w:val="30"/>
                <w:szCs w:val="30"/>
              </w:rPr>
            </w:pPr>
            <w:r>
              <w:rPr>
                <w:rFonts w:cs="Times New Roman"/>
                <w:szCs w:val="30"/>
              </w:rPr>
              <w:t>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59" w:type="dxa"/>
          </w:tcPr>
          <w:p>
            <w:pPr>
              <w:ind w:firstLine="0" w:firstLineChars="0"/>
              <w:jc w:val="center"/>
              <w:rPr>
                <w:rFonts w:cs="Times New Roman"/>
                <w:sz w:val="30"/>
                <w:szCs w:val="30"/>
              </w:rPr>
            </w:pPr>
            <w:r>
              <w:rPr>
                <w:rFonts w:cs="Times New Roman"/>
                <w:szCs w:val="30"/>
              </w:rPr>
              <w:t>12</w:t>
            </w:r>
          </w:p>
        </w:tc>
        <w:tc>
          <w:tcPr>
            <w:tcW w:w="2410" w:type="dxa"/>
          </w:tcPr>
          <w:p>
            <w:pPr>
              <w:ind w:firstLine="0" w:firstLineChars="0"/>
              <w:rPr>
                <w:rFonts w:ascii="仿宋_GB2312"/>
                <w:sz w:val="30"/>
                <w:szCs w:val="30"/>
              </w:rPr>
            </w:pPr>
            <w:r>
              <w:rPr>
                <w:rFonts w:hint="eastAsia" w:ascii="仿宋_GB2312"/>
                <w:sz w:val="30"/>
                <w:szCs w:val="30"/>
              </w:rPr>
              <w:t>容器类别</w:t>
            </w:r>
          </w:p>
        </w:tc>
        <w:tc>
          <w:tcPr>
            <w:tcW w:w="3570" w:type="dxa"/>
          </w:tcPr>
          <w:p>
            <w:pPr>
              <w:ind w:firstLine="0" w:firstLineChars="0"/>
              <w:rPr>
                <w:rFonts w:ascii="仿宋_GB2312"/>
                <w:sz w:val="30"/>
                <w:szCs w:val="30"/>
              </w:rPr>
            </w:pPr>
            <w:r>
              <w:rPr>
                <w:rFonts w:hint="eastAsia" w:ascii="仿宋_GB2312"/>
                <w:sz w:val="30"/>
                <w:szCs w:val="30"/>
              </w:rPr>
              <w:t>基础参数</w:t>
            </w:r>
          </w:p>
        </w:tc>
        <w:tc>
          <w:tcPr>
            <w:tcW w:w="1583" w:type="dxa"/>
          </w:tcPr>
          <w:p>
            <w:pPr>
              <w:ind w:firstLine="0" w:firstLineChars="0"/>
              <w:rPr>
                <w:rFonts w:cs="Times New Roman"/>
                <w:sz w:val="30"/>
                <w:szCs w:val="30"/>
              </w:rPr>
            </w:pPr>
            <w:r>
              <w:rPr>
                <w:rFonts w:cs="Times New Roman"/>
                <w:szCs w:val="30"/>
              </w:rPr>
              <w:t>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59" w:type="dxa"/>
          </w:tcPr>
          <w:p>
            <w:pPr>
              <w:ind w:firstLine="0" w:firstLineChars="0"/>
              <w:jc w:val="center"/>
              <w:rPr>
                <w:rFonts w:cs="Times New Roman"/>
                <w:sz w:val="30"/>
                <w:szCs w:val="30"/>
              </w:rPr>
            </w:pPr>
            <w:r>
              <w:rPr>
                <w:rFonts w:cs="Times New Roman"/>
                <w:szCs w:val="30"/>
              </w:rPr>
              <w:t>13</w:t>
            </w:r>
          </w:p>
        </w:tc>
        <w:tc>
          <w:tcPr>
            <w:tcW w:w="2410" w:type="dxa"/>
          </w:tcPr>
          <w:p>
            <w:pPr>
              <w:ind w:firstLine="0" w:firstLineChars="0"/>
              <w:rPr>
                <w:rFonts w:ascii="仿宋_GB2312"/>
                <w:sz w:val="30"/>
                <w:szCs w:val="30"/>
              </w:rPr>
            </w:pPr>
            <w:r>
              <w:rPr>
                <w:rFonts w:hint="eastAsia" w:ascii="仿宋_GB2312"/>
                <w:sz w:val="30"/>
                <w:szCs w:val="30"/>
              </w:rPr>
              <w:t>设计使用年限</w:t>
            </w:r>
          </w:p>
        </w:tc>
        <w:tc>
          <w:tcPr>
            <w:tcW w:w="3570" w:type="dxa"/>
          </w:tcPr>
          <w:p>
            <w:pPr>
              <w:ind w:firstLine="0" w:firstLineChars="0"/>
              <w:rPr>
                <w:rFonts w:ascii="仿宋_GB2312"/>
                <w:sz w:val="30"/>
                <w:szCs w:val="30"/>
              </w:rPr>
            </w:pPr>
            <w:r>
              <w:rPr>
                <w:rFonts w:hint="eastAsia" w:ascii="仿宋_GB2312"/>
                <w:sz w:val="30"/>
                <w:szCs w:val="30"/>
              </w:rPr>
              <w:t>基础参数</w:t>
            </w:r>
          </w:p>
        </w:tc>
        <w:tc>
          <w:tcPr>
            <w:tcW w:w="1583" w:type="dxa"/>
          </w:tcPr>
          <w:p>
            <w:pPr>
              <w:ind w:firstLine="0" w:firstLineChars="0"/>
              <w:rPr>
                <w:rFonts w:cs="Times New Roman"/>
                <w:sz w:val="30"/>
                <w:szCs w:val="30"/>
              </w:rPr>
            </w:pPr>
            <w:r>
              <w:rPr>
                <w:rFonts w:cs="Times New Roman"/>
                <w:szCs w:val="30"/>
              </w:rPr>
              <w:t>D</w:t>
            </w:r>
            <w:r>
              <w:rPr>
                <w:rFonts w:cs="Times New Roman"/>
                <w:szCs w:val="30"/>
                <w:vertAlign w:val="subscript"/>
              </w:rPr>
              <w:t>Y</w:t>
            </w:r>
          </w:p>
        </w:tc>
      </w:tr>
    </w:tbl>
    <w:p>
      <w:pPr>
        <w:pStyle w:val="7"/>
        <w:numPr>
          <w:ilvl w:val="0"/>
          <w:numId w:val="82"/>
        </w:numPr>
        <w:ind w:firstLine="643"/>
      </w:pPr>
      <w:r>
        <w:rPr>
          <w:rFonts w:hint="eastAsia"/>
        </w:rPr>
        <w:t>高危害性压力容器云监测数据</w:t>
      </w:r>
    </w:p>
    <w:tbl>
      <w:tblPr>
        <w:tblStyle w:val="27"/>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158"/>
        <w:gridCol w:w="1785"/>
        <w:gridCol w:w="2127"/>
        <w:gridCol w:w="345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58" w:type="dxa"/>
          </w:tcPr>
          <w:p>
            <w:pPr>
              <w:ind w:firstLine="0" w:firstLineChars="0"/>
              <w:jc w:val="center"/>
              <w:rPr>
                <w:rFonts w:ascii="仿宋_GB2312"/>
                <w:sz w:val="30"/>
                <w:szCs w:val="30"/>
              </w:rPr>
            </w:pPr>
            <w:r>
              <w:rPr>
                <w:rFonts w:hint="eastAsia" w:ascii="仿宋_GB2312"/>
                <w:sz w:val="30"/>
                <w:szCs w:val="30"/>
              </w:rPr>
              <w:t>序号</w:t>
            </w:r>
          </w:p>
        </w:tc>
        <w:tc>
          <w:tcPr>
            <w:tcW w:w="1785" w:type="dxa"/>
          </w:tcPr>
          <w:p>
            <w:pPr>
              <w:ind w:firstLine="0" w:firstLineChars="0"/>
              <w:jc w:val="center"/>
              <w:rPr>
                <w:rFonts w:ascii="仿宋_GB2312"/>
                <w:sz w:val="30"/>
                <w:szCs w:val="30"/>
              </w:rPr>
            </w:pPr>
            <w:r>
              <w:rPr>
                <w:rFonts w:hint="eastAsia" w:ascii="仿宋_GB2312"/>
                <w:sz w:val="30"/>
                <w:szCs w:val="30"/>
              </w:rPr>
              <w:t>数据名称</w:t>
            </w:r>
          </w:p>
        </w:tc>
        <w:tc>
          <w:tcPr>
            <w:tcW w:w="2127" w:type="dxa"/>
          </w:tcPr>
          <w:p>
            <w:pPr>
              <w:ind w:firstLine="0" w:firstLineChars="0"/>
              <w:jc w:val="center"/>
              <w:rPr>
                <w:rFonts w:ascii="仿宋_GB2312"/>
                <w:sz w:val="30"/>
                <w:szCs w:val="30"/>
              </w:rPr>
            </w:pPr>
            <w:r>
              <w:rPr>
                <w:rFonts w:hint="eastAsia" w:ascii="仿宋_GB2312"/>
                <w:sz w:val="30"/>
                <w:szCs w:val="30"/>
              </w:rPr>
              <w:t>数据来源</w:t>
            </w:r>
          </w:p>
        </w:tc>
        <w:tc>
          <w:tcPr>
            <w:tcW w:w="3452" w:type="dxa"/>
          </w:tcPr>
          <w:p>
            <w:pPr>
              <w:ind w:firstLine="0" w:firstLineChars="0"/>
              <w:jc w:val="center"/>
              <w:rPr>
                <w:rFonts w:ascii="仿宋_GB2312"/>
                <w:sz w:val="30"/>
                <w:szCs w:val="30"/>
              </w:rPr>
            </w:pPr>
            <w:r>
              <w:rPr>
                <w:rFonts w:hint="eastAsia" w:ascii="仿宋_GB2312"/>
                <w:sz w:val="30"/>
                <w:szCs w:val="30"/>
              </w:rPr>
              <w:t>数据用途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58" w:type="dxa"/>
          </w:tcPr>
          <w:p>
            <w:pPr>
              <w:ind w:firstLine="0" w:firstLineChars="0"/>
              <w:jc w:val="center"/>
              <w:rPr>
                <w:rFonts w:cs="Times New Roman"/>
                <w:sz w:val="30"/>
                <w:szCs w:val="30"/>
              </w:rPr>
            </w:pPr>
            <w:r>
              <w:rPr>
                <w:rFonts w:cs="Times New Roman"/>
                <w:szCs w:val="30"/>
              </w:rPr>
              <w:t>1</w:t>
            </w:r>
          </w:p>
        </w:tc>
        <w:tc>
          <w:tcPr>
            <w:tcW w:w="1785" w:type="dxa"/>
          </w:tcPr>
          <w:p>
            <w:pPr>
              <w:ind w:firstLine="0" w:firstLineChars="0"/>
              <w:jc w:val="left"/>
              <w:rPr>
                <w:rFonts w:ascii="仿宋_GB2312"/>
                <w:sz w:val="30"/>
                <w:szCs w:val="30"/>
              </w:rPr>
            </w:pPr>
            <w:r>
              <w:rPr>
                <w:rFonts w:hint="eastAsia" w:ascii="仿宋_GB2312"/>
                <w:sz w:val="30"/>
                <w:szCs w:val="30"/>
              </w:rPr>
              <w:t>压力</w:t>
            </w:r>
          </w:p>
        </w:tc>
        <w:tc>
          <w:tcPr>
            <w:tcW w:w="2127" w:type="dxa"/>
          </w:tcPr>
          <w:p>
            <w:pPr>
              <w:ind w:firstLine="0" w:firstLineChars="0"/>
              <w:jc w:val="left"/>
              <w:rPr>
                <w:rFonts w:ascii="仿宋_GB2312"/>
                <w:sz w:val="30"/>
                <w:szCs w:val="30"/>
              </w:rPr>
            </w:pPr>
            <w:r>
              <w:rPr>
                <w:rFonts w:hint="eastAsia" w:ascii="仿宋_GB2312"/>
                <w:sz w:val="30"/>
                <w:szCs w:val="30"/>
              </w:rPr>
              <w:t>现场传感器</w:t>
            </w:r>
          </w:p>
        </w:tc>
        <w:tc>
          <w:tcPr>
            <w:tcW w:w="3452" w:type="dxa"/>
          </w:tcPr>
          <w:p>
            <w:pPr>
              <w:ind w:firstLine="0" w:firstLineChars="0"/>
              <w:jc w:val="left"/>
              <w:rPr>
                <w:rFonts w:ascii="仿宋_GB2312"/>
                <w:sz w:val="30"/>
                <w:szCs w:val="30"/>
              </w:rPr>
            </w:pPr>
            <w:r>
              <w:rPr>
                <w:rFonts w:hint="eastAsia" w:ascii="仿宋_GB2312"/>
                <w:sz w:val="30"/>
                <w:szCs w:val="30"/>
              </w:rPr>
              <w:t>判断是否工艺稳定</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58" w:type="dxa"/>
          </w:tcPr>
          <w:p>
            <w:pPr>
              <w:ind w:firstLine="0" w:firstLineChars="0"/>
              <w:jc w:val="center"/>
              <w:rPr>
                <w:rFonts w:cs="Times New Roman"/>
                <w:sz w:val="30"/>
                <w:szCs w:val="30"/>
              </w:rPr>
            </w:pPr>
            <w:r>
              <w:rPr>
                <w:rFonts w:cs="Times New Roman"/>
                <w:szCs w:val="30"/>
              </w:rPr>
              <w:t>2</w:t>
            </w:r>
          </w:p>
        </w:tc>
        <w:tc>
          <w:tcPr>
            <w:tcW w:w="1785" w:type="dxa"/>
          </w:tcPr>
          <w:p>
            <w:pPr>
              <w:ind w:firstLine="0" w:firstLineChars="0"/>
              <w:jc w:val="left"/>
              <w:rPr>
                <w:rFonts w:ascii="仿宋_GB2312"/>
                <w:sz w:val="30"/>
                <w:szCs w:val="30"/>
              </w:rPr>
            </w:pPr>
            <w:r>
              <w:rPr>
                <w:rFonts w:hint="eastAsia" w:ascii="仿宋_GB2312"/>
                <w:sz w:val="30"/>
                <w:szCs w:val="30"/>
              </w:rPr>
              <w:t>温度</w:t>
            </w:r>
          </w:p>
        </w:tc>
        <w:tc>
          <w:tcPr>
            <w:tcW w:w="2127" w:type="dxa"/>
          </w:tcPr>
          <w:p>
            <w:pPr>
              <w:ind w:firstLine="0" w:firstLineChars="0"/>
              <w:jc w:val="left"/>
              <w:rPr>
                <w:rFonts w:ascii="仿宋_GB2312"/>
                <w:sz w:val="30"/>
                <w:szCs w:val="30"/>
              </w:rPr>
            </w:pPr>
            <w:r>
              <w:rPr>
                <w:rFonts w:hint="eastAsia" w:ascii="仿宋_GB2312"/>
                <w:sz w:val="30"/>
                <w:szCs w:val="30"/>
              </w:rPr>
              <w:t>现场传感器</w:t>
            </w:r>
          </w:p>
        </w:tc>
        <w:tc>
          <w:tcPr>
            <w:tcW w:w="3452" w:type="dxa"/>
          </w:tcPr>
          <w:p>
            <w:pPr>
              <w:ind w:firstLine="0" w:firstLineChars="0"/>
              <w:jc w:val="left"/>
              <w:rPr>
                <w:rFonts w:ascii="仿宋_GB2312"/>
                <w:sz w:val="30"/>
                <w:szCs w:val="30"/>
              </w:rPr>
            </w:pPr>
            <w:r>
              <w:rPr>
                <w:rFonts w:hint="eastAsia" w:ascii="仿宋_GB2312"/>
                <w:sz w:val="30"/>
                <w:szCs w:val="30"/>
              </w:rPr>
              <w:t>判断是否工艺稳定</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158" w:type="dxa"/>
          </w:tcPr>
          <w:p>
            <w:pPr>
              <w:ind w:firstLine="0" w:firstLineChars="0"/>
              <w:jc w:val="center"/>
              <w:rPr>
                <w:rFonts w:cs="Times New Roman"/>
                <w:sz w:val="30"/>
                <w:szCs w:val="30"/>
              </w:rPr>
            </w:pPr>
            <w:r>
              <w:rPr>
                <w:rFonts w:cs="Times New Roman"/>
                <w:szCs w:val="30"/>
              </w:rPr>
              <w:t>3</w:t>
            </w:r>
          </w:p>
        </w:tc>
        <w:tc>
          <w:tcPr>
            <w:tcW w:w="1785" w:type="dxa"/>
          </w:tcPr>
          <w:p>
            <w:pPr>
              <w:ind w:firstLine="0" w:firstLineChars="0"/>
              <w:jc w:val="left"/>
              <w:rPr>
                <w:rFonts w:ascii="仿宋_GB2312"/>
                <w:sz w:val="30"/>
                <w:szCs w:val="30"/>
              </w:rPr>
            </w:pPr>
            <w:r>
              <w:rPr>
                <w:rFonts w:hint="eastAsia" w:ascii="仿宋_GB2312"/>
                <w:sz w:val="30"/>
                <w:szCs w:val="30"/>
              </w:rPr>
              <w:t>风向</w:t>
            </w:r>
          </w:p>
        </w:tc>
        <w:tc>
          <w:tcPr>
            <w:tcW w:w="2127" w:type="dxa"/>
          </w:tcPr>
          <w:p>
            <w:pPr>
              <w:ind w:firstLine="0" w:firstLineChars="0"/>
              <w:jc w:val="left"/>
              <w:rPr>
                <w:rFonts w:ascii="仿宋_GB2312"/>
                <w:sz w:val="30"/>
                <w:szCs w:val="30"/>
              </w:rPr>
            </w:pPr>
            <w:r>
              <w:rPr>
                <w:rFonts w:hint="eastAsia" w:ascii="仿宋_GB2312"/>
                <w:sz w:val="30"/>
                <w:szCs w:val="30"/>
              </w:rPr>
              <w:t>气象局大数据平台</w:t>
            </w:r>
          </w:p>
        </w:tc>
        <w:tc>
          <w:tcPr>
            <w:tcW w:w="3452" w:type="dxa"/>
          </w:tcPr>
          <w:p>
            <w:pPr>
              <w:ind w:firstLine="0" w:firstLineChars="0"/>
              <w:jc w:val="left"/>
              <w:rPr>
                <w:rFonts w:ascii="仿宋_GB2312"/>
                <w:sz w:val="30"/>
                <w:szCs w:val="30"/>
              </w:rPr>
            </w:pPr>
            <w:r>
              <w:rPr>
                <w:rFonts w:hint="eastAsia" w:ascii="仿宋_GB2312"/>
                <w:sz w:val="30"/>
                <w:szCs w:val="30"/>
              </w:rPr>
              <w:t>指导发生事故时的疏散</w:t>
            </w:r>
          </w:p>
        </w:tc>
      </w:tr>
    </w:tbl>
    <w:p>
      <w:pPr>
        <w:pStyle w:val="7"/>
        <w:numPr>
          <w:ilvl w:val="0"/>
          <w:numId w:val="82"/>
        </w:numPr>
        <w:ind w:firstLine="643"/>
      </w:pPr>
      <w:r>
        <w:rPr>
          <w:rFonts w:hint="eastAsia"/>
        </w:rPr>
        <w:t>高危害性压力容器中的特殊类别需额外监控的数据</w:t>
      </w:r>
    </w:p>
    <w:tbl>
      <w:tblPr>
        <w:tblStyle w:val="27"/>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86"/>
        <w:gridCol w:w="1933"/>
        <w:gridCol w:w="1520"/>
        <w:gridCol w:w="1865"/>
        <w:gridCol w:w="231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86" w:type="dxa"/>
          </w:tcPr>
          <w:p>
            <w:pPr>
              <w:ind w:firstLine="0" w:firstLineChars="0"/>
              <w:jc w:val="center"/>
              <w:rPr>
                <w:rFonts w:ascii="仿宋_GB2312"/>
                <w:sz w:val="30"/>
                <w:szCs w:val="30"/>
              </w:rPr>
            </w:pPr>
            <w:r>
              <w:rPr>
                <w:rFonts w:hint="eastAsia" w:ascii="仿宋_GB2312"/>
                <w:sz w:val="30"/>
                <w:szCs w:val="30"/>
              </w:rPr>
              <w:t>序号</w:t>
            </w:r>
          </w:p>
        </w:tc>
        <w:tc>
          <w:tcPr>
            <w:tcW w:w="1933" w:type="dxa"/>
          </w:tcPr>
          <w:p>
            <w:pPr>
              <w:ind w:firstLine="0" w:firstLineChars="0"/>
              <w:jc w:val="center"/>
              <w:rPr>
                <w:rFonts w:ascii="仿宋_GB2312"/>
                <w:sz w:val="30"/>
                <w:szCs w:val="30"/>
              </w:rPr>
            </w:pPr>
            <w:r>
              <w:rPr>
                <w:rFonts w:hint="eastAsia" w:ascii="仿宋_GB2312"/>
                <w:sz w:val="30"/>
                <w:szCs w:val="30"/>
              </w:rPr>
              <w:t>特殊类别</w:t>
            </w:r>
          </w:p>
        </w:tc>
        <w:tc>
          <w:tcPr>
            <w:tcW w:w="1520" w:type="dxa"/>
          </w:tcPr>
          <w:p>
            <w:pPr>
              <w:ind w:firstLine="0" w:firstLineChars="0"/>
              <w:jc w:val="center"/>
              <w:rPr>
                <w:rFonts w:ascii="仿宋_GB2312"/>
                <w:sz w:val="30"/>
                <w:szCs w:val="30"/>
              </w:rPr>
            </w:pPr>
            <w:r>
              <w:rPr>
                <w:rFonts w:hint="eastAsia" w:ascii="仿宋_GB2312"/>
                <w:sz w:val="30"/>
                <w:szCs w:val="30"/>
              </w:rPr>
              <w:t>数据名称</w:t>
            </w:r>
          </w:p>
        </w:tc>
        <w:tc>
          <w:tcPr>
            <w:tcW w:w="1865" w:type="dxa"/>
          </w:tcPr>
          <w:p>
            <w:pPr>
              <w:ind w:firstLine="0" w:firstLineChars="0"/>
              <w:jc w:val="center"/>
              <w:rPr>
                <w:rFonts w:ascii="仿宋_GB2312"/>
                <w:sz w:val="30"/>
                <w:szCs w:val="30"/>
              </w:rPr>
            </w:pPr>
            <w:r>
              <w:rPr>
                <w:rFonts w:hint="eastAsia" w:ascii="仿宋_GB2312"/>
                <w:sz w:val="30"/>
                <w:szCs w:val="30"/>
              </w:rPr>
              <w:t>数据来源</w:t>
            </w:r>
          </w:p>
        </w:tc>
        <w:tc>
          <w:tcPr>
            <w:tcW w:w="2318" w:type="dxa"/>
          </w:tcPr>
          <w:p>
            <w:pPr>
              <w:ind w:firstLine="0" w:firstLineChars="0"/>
              <w:jc w:val="center"/>
              <w:rPr>
                <w:rFonts w:ascii="仿宋_GB2312"/>
                <w:sz w:val="30"/>
                <w:szCs w:val="30"/>
              </w:rPr>
            </w:pPr>
            <w:r>
              <w:rPr>
                <w:rFonts w:hint="eastAsia" w:ascii="仿宋_GB2312"/>
                <w:sz w:val="30"/>
                <w:szCs w:val="30"/>
              </w:rPr>
              <w:t>数据用途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86" w:type="dxa"/>
          </w:tcPr>
          <w:p>
            <w:pPr>
              <w:ind w:firstLine="0" w:firstLineChars="0"/>
              <w:jc w:val="center"/>
              <w:rPr>
                <w:rFonts w:cs="Times New Roman"/>
                <w:sz w:val="30"/>
                <w:szCs w:val="30"/>
              </w:rPr>
            </w:pPr>
            <w:r>
              <w:rPr>
                <w:rFonts w:cs="Times New Roman"/>
                <w:szCs w:val="30"/>
              </w:rPr>
              <w:t>1</w:t>
            </w:r>
          </w:p>
        </w:tc>
        <w:tc>
          <w:tcPr>
            <w:tcW w:w="1933" w:type="dxa"/>
          </w:tcPr>
          <w:p>
            <w:pPr>
              <w:ind w:firstLine="0" w:firstLineChars="0"/>
              <w:rPr>
                <w:rFonts w:ascii="仿宋_GB2312"/>
                <w:sz w:val="30"/>
                <w:szCs w:val="30"/>
              </w:rPr>
            </w:pPr>
            <w:r>
              <w:rPr>
                <w:rFonts w:cs="Times New Roman"/>
                <w:szCs w:val="30"/>
              </w:rPr>
              <w:t>50m</w:t>
            </w:r>
            <w:r>
              <w:rPr>
                <w:rFonts w:hint="eastAsia" w:ascii="仿宋_GB2312"/>
                <w:sz w:val="30"/>
                <w:szCs w:val="30"/>
              </w:rPr>
              <w:t>以上塔器</w:t>
            </w:r>
          </w:p>
        </w:tc>
        <w:tc>
          <w:tcPr>
            <w:tcW w:w="1520" w:type="dxa"/>
          </w:tcPr>
          <w:p>
            <w:pPr>
              <w:ind w:firstLine="0" w:firstLineChars="0"/>
              <w:rPr>
                <w:rFonts w:ascii="仿宋_GB2312"/>
                <w:sz w:val="30"/>
                <w:szCs w:val="30"/>
              </w:rPr>
            </w:pPr>
            <w:r>
              <w:rPr>
                <w:rFonts w:hint="eastAsia" w:ascii="仿宋_GB2312"/>
                <w:sz w:val="30"/>
                <w:szCs w:val="30"/>
              </w:rPr>
              <w:t>塔顶风速</w:t>
            </w:r>
          </w:p>
        </w:tc>
        <w:tc>
          <w:tcPr>
            <w:tcW w:w="1865" w:type="dxa"/>
          </w:tcPr>
          <w:p>
            <w:pPr>
              <w:ind w:firstLine="0" w:firstLineChars="0"/>
              <w:rPr>
                <w:rFonts w:ascii="仿宋_GB2312"/>
                <w:sz w:val="30"/>
                <w:szCs w:val="30"/>
              </w:rPr>
            </w:pPr>
            <w:r>
              <w:rPr>
                <w:rFonts w:hint="eastAsia" w:ascii="仿宋_GB2312"/>
                <w:sz w:val="30"/>
                <w:szCs w:val="30"/>
              </w:rPr>
              <w:t>现场传感器</w:t>
            </w:r>
          </w:p>
        </w:tc>
        <w:tc>
          <w:tcPr>
            <w:tcW w:w="2318" w:type="dxa"/>
          </w:tcPr>
          <w:p>
            <w:pPr>
              <w:ind w:firstLine="0" w:firstLineChars="0"/>
              <w:rPr>
                <w:rFonts w:ascii="仿宋_GB2312"/>
                <w:sz w:val="30"/>
                <w:szCs w:val="30"/>
              </w:rPr>
            </w:pPr>
            <w:r>
              <w:rPr>
                <w:rFonts w:hint="eastAsia" w:ascii="仿宋_GB2312"/>
                <w:sz w:val="30"/>
                <w:szCs w:val="30"/>
              </w:rPr>
              <w:t>判断风速是否超过塔器设计极限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86" w:type="dxa"/>
          </w:tcPr>
          <w:p>
            <w:pPr>
              <w:ind w:firstLine="0" w:firstLineChars="0"/>
              <w:jc w:val="center"/>
              <w:rPr>
                <w:rFonts w:cs="Times New Roman"/>
                <w:sz w:val="30"/>
                <w:szCs w:val="30"/>
              </w:rPr>
            </w:pPr>
            <w:r>
              <w:rPr>
                <w:rFonts w:cs="Times New Roman"/>
                <w:szCs w:val="30"/>
              </w:rPr>
              <w:t>2</w:t>
            </w:r>
          </w:p>
        </w:tc>
        <w:tc>
          <w:tcPr>
            <w:tcW w:w="1933" w:type="dxa"/>
          </w:tcPr>
          <w:p>
            <w:pPr>
              <w:ind w:firstLine="0" w:firstLineChars="0"/>
              <w:rPr>
                <w:rFonts w:ascii="仿宋_GB2312"/>
                <w:sz w:val="30"/>
                <w:szCs w:val="30"/>
              </w:rPr>
            </w:pPr>
            <w:r>
              <w:rPr>
                <w:rFonts w:cs="Times New Roman"/>
                <w:szCs w:val="30"/>
              </w:rPr>
              <w:t>50m</w:t>
            </w:r>
            <w:r>
              <w:rPr>
                <w:rFonts w:hint="eastAsia" w:ascii="仿宋_GB2312"/>
                <w:sz w:val="30"/>
                <w:szCs w:val="30"/>
              </w:rPr>
              <w:t>以上塔器</w:t>
            </w:r>
          </w:p>
        </w:tc>
        <w:tc>
          <w:tcPr>
            <w:tcW w:w="1520" w:type="dxa"/>
          </w:tcPr>
          <w:p>
            <w:pPr>
              <w:ind w:firstLine="0" w:firstLineChars="0"/>
              <w:rPr>
                <w:rFonts w:ascii="仿宋_GB2312"/>
                <w:sz w:val="30"/>
                <w:szCs w:val="30"/>
              </w:rPr>
            </w:pPr>
            <w:r>
              <w:rPr>
                <w:rFonts w:hint="eastAsia" w:ascii="仿宋_GB2312"/>
                <w:sz w:val="30"/>
                <w:szCs w:val="30"/>
              </w:rPr>
              <w:t>塔顶摆幅</w:t>
            </w:r>
          </w:p>
        </w:tc>
        <w:tc>
          <w:tcPr>
            <w:tcW w:w="1865" w:type="dxa"/>
          </w:tcPr>
          <w:p>
            <w:pPr>
              <w:ind w:firstLine="0" w:firstLineChars="0"/>
              <w:rPr>
                <w:rFonts w:ascii="仿宋_GB2312"/>
                <w:sz w:val="30"/>
                <w:szCs w:val="30"/>
              </w:rPr>
            </w:pPr>
            <w:r>
              <w:rPr>
                <w:rFonts w:hint="eastAsia" w:ascii="仿宋_GB2312"/>
                <w:sz w:val="30"/>
                <w:szCs w:val="30"/>
              </w:rPr>
              <w:t>现场传感器</w:t>
            </w:r>
          </w:p>
        </w:tc>
        <w:tc>
          <w:tcPr>
            <w:tcW w:w="2318" w:type="dxa"/>
          </w:tcPr>
          <w:p>
            <w:pPr>
              <w:ind w:firstLine="0" w:firstLineChars="0"/>
              <w:rPr>
                <w:rFonts w:ascii="仿宋_GB2312"/>
                <w:sz w:val="30"/>
                <w:szCs w:val="30"/>
              </w:rPr>
            </w:pPr>
            <w:r>
              <w:rPr>
                <w:rFonts w:hint="eastAsia" w:ascii="仿宋_GB2312"/>
                <w:sz w:val="30"/>
                <w:szCs w:val="30"/>
              </w:rPr>
              <w:t>判断摆幅是否超过塔器设计极限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86" w:type="dxa"/>
          </w:tcPr>
          <w:p>
            <w:pPr>
              <w:ind w:firstLine="0" w:firstLineChars="0"/>
              <w:jc w:val="center"/>
              <w:rPr>
                <w:rFonts w:cs="Times New Roman"/>
                <w:sz w:val="30"/>
                <w:szCs w:val="30"/>
              </w:rPr>
            </w:pPr>
            <w:r>
              <w:rPr>
                <w:rFonts w:cs="Times New Roman"/>
                <w:szCs w:val="30"/>
              </w:rPr>
              <w:t>3</w:t>
            </w:r>
          </w:p>
        </w:tc>
        <w:tc>
          <w:tcPr>
            <w:tcW w:w="1933" w:type="dxa"/>
          </w:tcPr>
          <w:p>
            <w:pPr>
              <w:ind w:firstLine="0" w:firstLineChars="0"/>
              <w:rPr>
                <w:rFonts w:ascii="仿宋_GB2312"/>
                <w:sz w:val="30"/>
                <w:szCs w:val="30"/>
              </w:rPr>
            </w:pPr>
            <w:r>
              <w:rPr>
                <w:rFonts w:hint="eastAsia" w:ascii="仿宋_GB2312"/>
                <w:sz w:val="30"/>
                <w:szCs w:val="30"/>
              </w:rPr>
              <w:t>盛装液化气体高危害性容器</w:t>
            </w:r>
          </w:p>
        </w:tc>
        <w:tc>
          <w:tcPr>
            <w:tcW w:w="1520" w:type="dxa"/>
          </w:tcPr>
          <w:p>
            <w:pPr>
              <w:ind w:firstLine="0" w:firstLineChars="0"/>
              <w:rPr>
                <w:rFonts w:ascii="仿宋_GB2312"/>
                <w:sz w:val="30"/>
                <w:szCs w:val="30"/>
              </w:rPr>
            </w:pPr>
            <w:r>
              <w:rPr>
                <w:rFonts w:hint="eastAsia" w:ascii="仿宋_GB2312"/>
                <w:sz w:val="30"/>
                <w:szCs w:val="30"/>
              </w:rPr>
              <w:t>液位</w:t>
            </w:r>
          </w:p>
        </w:tc>
        <w:tc>
          <w:tcPr>
            <w:tcW w:w="1865" w:type="dxa"/>
          </w:tcPr>
          <w:p>
            <w:pPr>
              <w:ind w:firstLine="0" w:firstLineChars="0"/>
              <w:rPr>
                <w:rFonts w:ascii="仿宋_GB2312"/>
                <w:sz w:val="30"/>
                <w:szCs w:val="30"/>
              </w:rPr>
            </w:pPr>
            <w:r>
              <w:rPr>
                <w:rFonts w:hint="eastAsia" w:ascii="仿宋_GB2312"/>
                <w:sz w:val="30"/>
                <w:szCs w:val="30"/>
              </w:rPr>
              <w:t>现场传感器</w:t>
            </w:r>
          </w:p>
        </w:tc>
        <w:tc>
          <w:tcPr>
            <w:tcW w:w="2318" w:type="dxa"/>
          </w:tcPr>
          <w:p>
            <w:pPr>
              <w:ind w:firstLine="0" w:firstLineChars="0"/>
              <w:rPr>
                <w:rFonts w:ascii="仿宋_GB2312"/>
                <w:sz w:val="30"/>
                <w:szCs w:val="30"/>
              </w:rPr>
            </w:pPr>
            <w:r>
              <w:rPr>
                <w:rFonts w:hint="eastAsia" w:ascii="仿宋_GB2312"/>
                <w:sz w:val="30"/>
                <w:szCs w:val="30"/>
              </w:rPr>
              <w:t>判断是否超量充装</w:t>
            </w:r>
          </w:p>
        </w:tc>
      </w:tr>
    </w:tbl>
    <w:p>
      <w:pPr>
        <w:pStyle w:val="4"/>
        <w:numPr>
          <w:ilvl w:val="2"/>
          <w:numId w:val="59"/>
        </w:numPr>
        <w:spacing w:before="0" w:after="0" w:line="580" w:lineRule="exact"/>
        <w:ind w:left="0" w:firstLine="640"/>
      </w:pPr>
      <w:bookmarkStart w:id="95" w:name="_Toc16179"/>
      <w:bookmarkStart w:id="96" w:name="_Toc32050"/>
      <w:r>
        <w:rPr>
          <w:rFonts w:hint="eastAsia" w:ascii="楷体_GB2312" w:eastAsia="楷体_GB2312"/>
        </w:rPr>
        <w:t>压力管道风险智控应用场景</w:t>
      </w:r>
      <w:bookmarkEnd w:id="95"/>
      <w:bookmarkEnd w:id="96"/>
    </w:p>
    <w:p>
      <w:pPr>
        <w:pStyle w:val="5"/>
        <w:numPr>
          <w:ilvl w:val="3"/>
          <w:numId w:val="84"/>
        </w:numPr>
        <w:ind w:left="0" w:firstLine="643"/>
        <w:rPr>
          <w:rFonts w:ascii="仿宋_GB2312"/>
          <w:szCs w:val="32"/>
        </w:rPr>
      </w:pPr>
      <w:bookmarkStart w:id="97" w:name="_Toc18642"/>
      <w:bookmarkStart w:id="98" w:name="_Toc17720"/>
      <w:r>
        <w:rPr>
          <w:rFonts w:hint="eastAsia" w:ascii="仿宋_GB2312"/>
          <w:szCs w:val="32"/>
        </w:rPr>
        <w:t>功能描述</w:t>
      </w:r>
      <w:bookmarkEnd w:id="97"/>
      <w:bookmarkEnd w:id="98"/>
    </w:p>
    <w:p>
      <w:pPr>
        <w:numPr>
          <w:ilvl w:val="0"/>
          <w:numId w:val="85"/>
        </w:numPr>
        <w:ind w:left="0" w:firstLine="643"/>
        <w:rPr>
          <w:rFonts w:ascii="仿宋_GB2312" w:hAnsi="仿宋"/>
          <w:szCs w:val="32"/>
        </w:rPr>
      </w:pPr>
      <w:r>
        <w:rPr>
          <w:rFonts w:cs="Times New Roman"/>
          <w:b/>
          <w:bCs/>
          <w:szCs w:val="32"/>
        </w:rPr>
        <w:t>AI</w:t>
      </w:r>
      <w:r>
        <w:rPr>
          <w:rFonts w:hint="eastAsia" w:ascii="仿宋_GB2312" w:hAnsi="仿宋"/>
          <w:b/>
          <w:bCs/>
          <w:szCs w:val="32"/>
        </w:rPr>
        <w:t>智能筛查：</w:t>
      </w:r>
      <w:r>
        <w:rPr>
          <w:rFonts w:hint="eastAsia" w:ascii="仿宋_GB2312" w:hAnsi="仿宋"/>
          <w:szCs w:val="32"/>
        </w:rPr>
        <w:t>自动筛查高危害性压力管道；</w:t>
      </w:r>
    </w:p>
    <w:p>
      <w:pPr>
        <w:numPr>
          <w:ilvl w:val="0"/>
          <w:numId w:val="85"/>
        </w:numPr>
        <w:ind w:left="0" w:firstLine="643"/>
        <w:rPr>
          <w:rFonts w:ascii="仿宋_GB2312" w:hAnsi="仿宋"/>
          <w:szCs w:val="32"/>
        </w:rPr>
      </w:pPr>
      <w:r>
        <w:rPr>
          <w:rFonts w:hint="eastAsia" w:ascii="仿宋_GB2312" w:hAnsi="仿宋"/>
          <w:b/>
          <w:bCs/>
          <w:szCs w:val="32"/>
        </w:rPr>
        <w:t>分布热力图：</w:t>
      </w:r>
      <w:r>
        <w:rPr>
          <w:rFonts w:hint="eastAsia" w:ascii="仿宋_GB2312" w:hAnsi="仿宋"/>
          <w:szCs w:val="32"/>
        </w:rPr>
        <w:t xml:space="preserve">生成全省高、中、低危害性压力管道热力图； </w:t>
      </w:r>
    </w:p>
    <w:p>
      <w:pPr>
        <w:numPr>
          <w:ilvl w:val="0"/>
          <w:numId w:val="85"/>
        </w:numPr>
        <w:ind w:left="0" w:firstLine="643"/>
        <w:rPr>
          <w:rFonts w:ascii="仿宋_GB2312" w:hAnsi="仿宋"/>
          <w:szCs w:val="32"/>
        </w:rPr>
      </w:pPr>
      <w:r>
        <w:rPr>
          <w:rFonts w:hint="eastAsia" w:ascii="仿宋_GB2312" w:hAnsi="仿宋"/>
          <w:b/>
          <w:bCs/>
          <w:szCs w:val="32"/>
        </w:rPr>
        <w:t>智能监控：</w:t>
      </w:r>
      <w:r>
        <w:rPr>
          <w:rFonts w:hint="eastAsia" w:ascii="仿宋_GB2312" w:hAnsi="仿宋"/>
          <w:szCs w:val="32"/>
        </w:rPr>
        <w:t xml:space="preserve">智能监控高风险压力管道检验发现的严重缺陷、安全附件异常、管道泄漏及改造修理情况； </w:t>
      </w:r>
    </w:p>
    <w:p>
      <w:pPr>
        <w:numPr>
          <w:ilvl w:val="0"/>
          <w:numId w:val="85"/>
        </w:numPr>
        <w:ind w:left="0" w:firstLine="643"/>
        <w:rPr>
          <w:rFonts w:ascii="仿宋_GB2312" w:hAnsi="仿宋"/>
          <w:szCs w:val="32"/>
        </w:rPr>
      </w:pPr>
      <w:r>
        <w:rPr>
          <w:rFonts w:hint="eastAsia" w:ascii="仿宋_GB2312" w:hAnsi="仿宋"/>
          <w:b/>
          <w:bCs/>
          <w:szCs w:val="32"/>
        </w:rPr>
        <w:t>应急预警：</w:t>
      </w:r>
      <w:r>
        <w:rPr>
          <w:rFonts w:hint="eastAsia" w:ascii="仿宋_GB2312" w:hAnsi="仿宋"/>
          <w:szCs w:val="32"/>
        </w:rPr>
        <w:t>发现紧急情况（运行参数超限，运行数据异常等），及时通知企业特种安全管理人员；</w:t>
      </w:r>
    </w:p>
    <w:p>
      <w:pPr>
        <w:numPr>
          <w:ilvl w:val="0"/>
          <w:numId w:val="85"/>
        </w:numPr>
        <w:ind w:left="0" w:firstLine="643"/>
        <w:rPr>
          <w:rFonts w:ascii="仿宋_GB2312" w:hAnsi="仿宋"/>
          <w:szCs w:val="32"/>
        </w:rPr>
      </w:pPr>
      <w:r>
        <w:rPr>
          <w:rFonts w:hint="eastAsia" w:ascii="仿宋_GB2312" w:hAnsi="仿宋"/>
          <w:b/>
          <w:bCs/>
          <w:szCs w:val="32"/>
        </w:rPr>
        <w:t>多节点控制：</w:t>
      </w:r>
      <w:r>
        <w:rPr>
          <w:rFonts w:hint="eastAsia" w:ascii="仿宋_GB2312" w:hAnsi="仿宋"/>
          <w:szCs w:val="32"/>
        </w:rPr>
        <w:t>随时查阅高危害性管道安装、检验相关信息，建立健全改造修理相关程序，严防非法改造修理；</w:t>
      </w:r>
    </w:p>
    <w:p>
      <w:pPr>
        <w:pStyle w:val="5"/>
        <w:numPr>
          <w:ilvl w:val="3"/>
          <w:numId w:val="84"/>
        </w:numPr>
        <w:ind w:left="0" w:firstLine="643"/>
        <w:rPr>
          <w:rFonts w:ascii="仿宋_GB2312"/>
          <w:szCs w:val="32"/>
        </w:rPr>
      </w:pPr>
      <w:bookmarkStart w:id="99" w:name="_Toc10779"/>
      <w:bookmarkStart w:id="100" w:name="_Toc15785"/>
      <w:r>
        <w:rPr>
          <w:rFonts w:hint="eastAsia" w:ascii="仿宋_GB2312"/>
          <w:szCs w:val="32"/>
        </w:rPr>
        <w:t>业务内容</w:t>
      </w:r>
      <w:bookmarkEnd w:id="99"/>
      <w:bookmarkEnd w:id="100"/>
    </w:p>
    <w:p>
      <w:pPr>
        <w:ind w:firstLine="640"/>
        <w:rPr>
          <w:rFonts w:ascii="仿宋_GB2312" w:hAnsi="仿宋"/>
          <w:szCs w:val="32"/>
        </w:rPr>
      </w:pPr>
      <w:r>
        <w:rPr>
          <w:rFonts w:hint="eastAsia" w:ascii="仿宋_GB2312" w:hAnsi="仿宋"/>
          <w:szCs w:val="32"/>
        </w:rPr>
        <w:t>智控系统与省局特种设备数据库及浙江省特种设备信息服务平台联网，根据</w:t>
      </w:r>
      <w:r>
        <w:rPr>
          <w:rFonts w:cs="Times New Roman"/>
          <w:szCs w:val="32"/>
        </w:rPr>
        <w:t>DB33/T 2126-2018</w:t>
      </w:r>
      <w:r>
        <w:rPr>
          <w:rFonts w:hint="eastAsia" w:ascii="仿宋_GB2312" w:hAnsi="仿宋"/>
          <w:szCs w:val="32"/>
        </w:rPr>
        <w:t>《特种设备使用安全管理分类评价规范》的分级结果，结合</w:t>
      </w:r>
      <w:r>
        <w:rPr>
          <w:rFonts w:hint="eastAsia"/>
          <w:szCs w:val="32"/>
        </w:rPr>
        <w:t>AI</w:t>
      </w:r>
      <w:r>
        <w:rPr>
          <w:rFonts w:hint="eastAsia" w:ascii="仿宋_GB2312" w:hAnsi="仿宋"/>
          <w:szCs w:val="32"/>
        </w:rPr>
        <w:t>软件的判断，自动筛查高、中、低危害性压力管道；</w:t>
      </w:r>
    </w:p>
    <w:p>
      <w:pPr>
        <w:ind w:firstLine="640"/>
        <w:rPr>
          <w:rFonts w:ascii="仿宋_GB2312" w:hAnsi="仿宋"/>
          <w:szCs w:val="32"/>
        </w:rPr>
      </w:pPr>
      <w:r>
        <w:rPr>
          <w:rFonts w:hint="eastAsia" w:ascii="仿宋_GB2312" w:hAnsi="仿宋"/>
          <w:szCs w:val="32"/>
        </w:rPr>
        <w:t>生成全省高危害性工业管道热力图，直接反应各地级市、区县的高、中、低危害性设备分布情况，明确各属地监察机构任务及责任；</w:t>
      </w:r>
    </w:p>
    <w:p>
      <w:pPr>
        <w:ind w:firstLine="640"/>
        <w:rPr>
          <w:rFonts w:ascii="仿宋_GB2312" w:hAnsi="仿宋"/>
          <w:szCs w:val="32"/>
        </w:rPr>
      </w:pPr>
      <w:r>
        <w:rPr>
          <w:rFonts w:hint="eastAsia" w:ascii="仿宋_GB2312" w:hAnsi="仿宋"/>
          <w:szCs w:val="32"/>
        </w:rPr>
        <w:t xml:space="preserve">依据浙江省特种设备信息服务平台中的信息变化，实时动态更新压力管道风险等级，智能监测企业报送的设备变更情况、如遇到压力管道安全附件异常、管道泄漏、改造修理、带压封堵、事故等重大危险响应，立即通报相关使用单位特种设备安全管理人员、检验机构及监察机构相关人员， </w:t>
      </w:r>
      <w:r>
        <w:rPr>
          <w:rFonts w:hint="eastAsia"/>
          <w:szCs w:val="32"/>
        </w:rPr>
        <w:t>AI</w:t>
      </w:r>
      <w:r>
        <w:rPr>
          <w:rFonts w:hint="eastAsia" w:ascii="仿宋_GB2312" w:hAnsi="仿宋"/>
          <w:szCs w:val="32"/>
        </w:rPr>
        <w:t>系统判断确有必要时通知消防机构、医疗机构；与气象局联网，对发生台风、雷暴、地质灾害等极端恶劣天气地区的高风险压力管得到进行预警推送；根据国内外发生的压力管道安全事故，</w:t>
      </w:r>
      <w:r>
        <w:rPr>
          <w:rFonts w:hint="eastAsia"/>
          <w:szCs w:val="32"/>
        </w:rPr>
        <w:t>AI</w:t>
      </w:r>
      <w:r>
        <w:rPr>
          <w:rFonts w:hint="eastAsia" w:ascii="仿宋_GB2312" w:hAnsi="仿宋"/>
          <w:szCs w:val="32"/>
        </w:rPr>
        <w:t>系统按照运行工况等信息自动筛选省内同类型压力管道，向企业、检验机构和监察机构发出预警；</w:t>
      </w:r>
    </w:p>
    <w:p>
      <w:pPr>
        <w:ind w:firstLine="640"/>
        <w:rPr>
          <w:rFonts w:ascii="仿宋_GB2312" w:hAnsi="仿宋"/>
          <w:szCs w:val="32"/>
        </w:rPr>
      </w:pPr>
      <w:r>
        <w:rPr>
          <w:rFonts w:hint="eastAsia" w:ascii="仿宋_GB2312" w:hAnsi="仿宋"/>
          <w:szCs w:val="32"/>
        </w:rPr>
        <w:t>通过智控系统与检验系统、浙江省特种设备企业服务平台联网，压力管道的安装竣工资料、检验数据以及关联的安全附件仪表的检验信息直接同步至智控系统中的对应设备中，可以随时查阅各压力管道设计参数、图纸、设备本体检验信息、安全附件及仪表检验信息等。建立压力管道安装、维修、改造专项法规政策解读帮扶功能，引导企业合法合规、安全有效地完成压力管道的维修改造，完成后上传完整相关资料备查，严防非法改造及修理；</w:t>
      </w:r>
    </w:p>
    <w:p>
      <w:pPr>
        <w:ind w:firstLine="640"/>
      </w:pPr>
    </w:p>
    <w:p>
      <w:pPr>
        <w:pStyle w:val="5"/>
        <w:numPr>
          <w:ilvl w:val="3"/>
          <w:numId w:val="84"/>
        </w:numPr>
        <w:ind w:left="0" w:firstLine="643"/>
        <w:rPr>
          <w:rFonts w:ascii="仿宋_GB2312"/>
          <w:szCs w:val="32"/>
        </w:rPr>
      </w:pPr>
      <w:bookmarkStart w:id="101" w:name="_Toc11480"/>
      <w:bookmarkStart w:id="102" w:name="_Toc21187"/>
      <w:r>
        <w:rPr>
          <w:rFonts w:hint="eastAsia" w:ascii="仿宋_GB2312"/>
          <w:szCs w:val="32"/>
        </w:rPr>
        <w:t>统一标准规范</w:t>
      </w:r>
      <w:bookmarkEnd w:id="101"/>
      <w:bookmarkEnd w:id="102"/>
    </w:p>
    <w:p>
      <w:pPr>
        <w:pStyle w:val="6"/>
        <w:numPr>
          <w:ilvl w:val="0"/>
          <w:numId w:val="86"/>
        </w:numPr>
        <w:ind w:left="0" w:firstLine="640"/>
        <w:rPr>
          <w:rFonts w:ascii="仿宋_GB2312"/>
          <w:szCs w:val="32"/>
        </w:rPr>
      </w:pPr>
      <w:r>
        <w:rPr>
          <w:rFonts w:hint="eastAsia" w:ascii="仿宋_GB2312"/>
          <w:szCs w:val="32"/>
        </w:rPr>
        <w:t>业务对象</w:t>
      </w:r>
    </w:p>
    <w:p>
      <w:pPr>
        <w:ind w:firstLine="960" w:firstLineChars="300"/>
        <w:rPr>
          <w:rFonts w:ascii="仿宋_GB2312" w:hAnsi="仿宋"/>
          <w:szCs w:val="32"/>
        </w:rPr>
      </w:pPr>
      <w:r>
        <w:rPr>
          <w:rFonts w:hint="eastAsia" w:ascii="仿宋_GB2312" w:hAnsi="仿宋"/>
          <w:szCs w:val="32"/>
        </w:rPr>
        <w:t>所有登记在省局数据库内的压力管道</w:t>
      </w:r>
    </w:p>
    <w:p>
      <w:pPr>
        <w:pStyle w:val="6"/>
        <w:numPr>
          <w:ilvl w:val="0"/>
          <w:numId w:val="86"/>
        </w:numPr>
        <w:ind w:left="0" w:firstLine="640"/>
        <w:rPr>
          <w:rFonts w:ascii="仿宋_GB2312"/>
          <w:szCs w:val="32"/>
        </w:rPr>
      </w:pPr>
      <w:r>
        <w:rPr>
          <w:rFonts w:hint="eastAsia" w:ascii="仿宋_GB2312"/>
          <w:szCs w:val="32"/>
        </w:rPr>
        <w:t>技术手段及具体要求</w:t>
      </w:r>
    </w:p>
    <w:p>
      <w:pPr>
        <w:pStyle w:val="33"/>
        <w:ind w:firstLine="640"/>
        <w:rPr>
          <w:rFonts w:ascii="仿宋_GB2312" w:hAnsi="仿宋"/>
          <w:szCs w:val="32"/>
        </w:rPr>
      </w:pPr>
      <w:r>
        <w:rPr>
          <w:rFonts w:hint="eastAsia" w:ascii="仿宋_GB2312" w:hAnsi="仿宋"/>
          <w:szCs w:val="32"/>
        </w:rPr>
        <w:t>基于</w:t>
      </w:r>
      <w:r>
        <w:rPr>
          <w:rFonts w:cs="Times New Roman"/>
          <w:szCs w:val="32"/>
        </w:rPr>
        <w:t>DB33 T2126-2018</w:t>
      </w:r>
      <w:r>
        <w:rPr>
          <w:rFonts w:hint="eastAsia" w:ascii="仿宋_GB2312" w:hAnsi="仿宋"/>
          <w:szCs w:val="32"/>
        </w:rPr>
        <w:t>《特种设备使用安全管理分类评价规范》对压力管道进行分级管控，同时对省局特种设备数据库进行数据挖掘，获取压力管道的工作压力、工作温度、管径、壁厚、材质、介质、使用年限、长度等技术参数，从压力管道风险发生概率、风险发生后果两个方面对数据库中的高中低风险压力管道进行识别；</w:t>
      </w:r>
    </w:p>
    <w:p>
      <w:pPr>
        <w:pStyle w:val="33"/>
        <w:numPr>
          <w:ilvl w:val="0"/>
          <w:numId w:val="87"/>
        </w:numPr>
        <w:ind w:left="0" w:firstLine="640"/>
        <w:rPr>
          <w:rFonts w:ascii="仿宋_GB2312" w:hAnsi="仿宋"/>
          <w:szCs w:val="32"/>
        </w:rPr>
      </w:pPr>
      <w:r>
        <w:rPr>
          <w:rFonts w:hint="eastAsia" w:ascii="仿宋_GB2312" w:hAnsi="仿宋"/>
          <w:szCs w:val="32"/>
        </w:rPr>
        <w:t>低风险：低风险设备为状态较好的设备，采取较低关注度依法监管的措施。</w:t>
      </w:r>
    </w:p>
    <w:p>
      <w:pPr>
        <w:pStyle w:val="33"/>
        <w:numPr>
          <w:ilvl w:val="0"/>
          <w:numId w:val="87"/>
        </w:numPr>
        <w:ind w:left="0" w:firstLine="640"/>
        <w:rPr>
          <w:rFonts w:ascii="仿宋_GB2312" w:hAnsi="仿宋"/>
          <w:szCs w:val="32"/>
        </w:rPr>
      </w:pPr>
      <w:r>
        <w:rPr>
          <w:rFonts w:hint="eastAsia" w:ascii="仿宋_GB2312" w:hAnsi="仿宋"/>
          <w:szCs w:val="32"/>
        </w:rPr>
        <w:t>中风险：中风险设备为状态较好，但存在较低风险缺陷或使用场所具有风险的设备，采取一定关注度依法监管的措施，并相应向使用单位推送隐患词条，要求使用单位加强相应隐患排查力度并反馈系统。</w:t>
      </w:r>
    </w:p>
    <w:p>
      <w:pPr>
        <w:pStyle w:val="33"/>
        <w:numPr>
          <w:ilvl w:val="0"/>
          <w:numId w:val="87"/>
        </w:numPr>
        <w:ind w:left="0" w:firstLine="640"/>
        <w:rPr>
          <w:rFonts w:ascii="仿宋_GB2312" w:hAnsi="仿宋"/>
          <w:szCs w:val="32"/>
        </w:rPr>
      </w:pPr>
      <w:r>
        <w:rPr>
          <w:rFonts w:hint="eastAsia" w:ascii="仿宋_GB2312" w:hAnsi="仿宋"/>
          <w:szCs w:val="32"/>
        </w:rPr>
        <w:t>高风险：高风险设备为运行风险较高，且可能存在使用场所具有风险的设备，当初定为高风险时，需进一步通过细化评估最终评定，评定结果仍为高风险时，需采取较大关注度依法监管的措施。</w:t>
      </w:r>
    </w:p>
    <w:p>
      <w:pPr>
        <w:pStyle w:val="33"/>
        <w:ind w:firstLine="640"/>
        <w:rPr>
          <w:rFonts w:ascii="仿宋_GB2312" w:hAnsi="仿宋"/>
          <w:szCs w:val="32"/>
        </w:rPr>
      </w:pPr>
      <w:r>
        <w:rPr>
          <w:rFonts w:hint="eastAsia" w:ascii="仿宋_GB2312" w:hAnsi="仿宋"/>
          <w:szCs w:val="32"/>
        </w:rPr>
        <w:t>利用前述采集的高风险设备大数据库，对高风险设备进行定位，生成全省高、中、低风险压力管道热力云图，直观反应各地高风险压力管道分布情况，对突发状况的设备位置、情况一目了然，为监管部门、检验部门、消防及医疗部门合理分配人力物力提供依据；</w:t>
      </w:r>
    </w:p>
    <w:p>
      <w:pPr>
        <w:pStyle w:val="33"/>
        <w:ind w:firstLine="640"/>
        <w:rPr>
          <w:rFonts w:ascii="仿宋_GB2312" w:hAnsi="仿宋"/>
          <w:szCs w:val="32"/>
        </w:rPr>
      </w:pPr>
      <w:r>
        <w:rPr>
          <w:rFonts w:hint="eastAsia" w:ascii="仿宋_GB2312" w:hAnsi="仿宋"/>
          <w:szCs w:val="32"/>
        </w:rPr>
        <w:t>利用“互联网+物联网”技术，实时读取省局特种设备数据库及浙江省特种设备信息服务平台的数据变化：从省局特种设备数据库中读取管道使用周期，对使用超</w:t>
      </w:r>
      <w:r>
        <w:rPr>
          <w:rFonts w:cs="Times New Roman"/>
          <w:szCs w:val="32"/>
        </w:rPr>
        <w:t>20</w:t>
      </w:r>
      <w:r>
        <w:rPr>
          <w:rFonts w:hint="eastAsia" w:ascii="仿宋_GB2312" w:hAnsi="仿宋"/>
          <w:szCs w:val="32"/>
        </w:rPr>
        <w:t xml:space="preserve">年的压力管道进行风险预警；企业按要求填报浙江省特种设备信息服务平台，对企业维护保养填报不到位、企业自查上报工况发生异常、进行重大改造维修的设备进行重点监管，必须要时系统报送给相关检验机构和监察机构； </w:t>
      </w:r>
    </w:p>
    <w:p>
      <w:pPr>
        <w:pStyle w:val="33"/>
        <w:ind w:firstLine="640"/>
        <w:rPr>
          <w:rFonts w:ascii="仿宋_GB2312" w:hAnsi="仿宋"/>
          <w:szCs w:val="32"/>
        </w:rPr>
      </w:pPr>
      <w:r>
        <w:rPr>
          <w:rFonts w:hint="eastAsia" w:ascii="仿宋_GB2312" w:hAnsi="仿宋"/>
          <w:szCs w:val="32"/>
        </w:rPr>
        <w:t>与气象局数据库进行智慧联网，对发生台风、雷暴、地质灾害等极端恶劣天气地区的高风险设备如连接高塔的压力管道、盛装易燃易爆介质等压力管道进行预警推送。监测到发生事故的压力管道，系统立即向使用单位、检验机构及监察机构进行通报，利用智控系统综合分析压力管道的地理位置信息、长度、管径、介质类别、周围人员密度、风向等信息，判断事故的失效后果、环境影响等，为消防机构灭火及抢险提供较为专业的指导建议，为医疗救援机构的救援提供需要的信息；</w:t>
      </w:r>
    </w:p>
    <w:p>
      <w:pPr>
        <w:pStyle w:val="33"/>
        <w:ind w:firstLine="640"/>
        <w:rPr>
          <w:rFonts w:ascii="仿宋_GB2312" w:hAnsi="仿宋"/>
          <w:szCs w:val="32"/>
        </w:rPr>
      </w:pPr>
      <w:r>
        <w:rPr>
          <w:rFonts w:hint="eastAsia" w:ascii="仿宋_GB2312" w:hAnsi="仿宋"/>
          <w:szCs w:val="32"/>
        </w:rPr>
        <w:t>对高风险压力管道进行全流程管理，依托大数据库随时查阅高风险设备设计参数、管道本体及安全附件和仪表检验信息等信息，设计企业操作人员接口，及时更新高风险压力管道维护保养、重大维修及改造、带压密封等重要信息，维修改造流程必须网上审核、备案及上传合格的竣工资料后闭环，为现场监察及检验提供依据，严防非法改造维修导致的特种设备事故；</w:t>
      </w:r>
    </w:p>
    <w:p>
      <w:pPr>
        <w:pStyle w:val="33"/>
        <w:ind w:firstLine="640"/>
        <w:rPr>
          <w:rFonts w:ascii="仿宋_GB2312" w:hAnsi="仿宋"/>
          <w:szCs w:val="32"/>
        </w:rPr>
      </w:pPr>
      <w:r>
        <w:rPr>
          <w:rFonts w:hint="eastAsia" w:ascii="仿宋_GB2312" w:hAnsi="仿宋"/>
          <w:szCs w:val="32"/>
        </w:rPr>
        <w:t>省局牵头成立事故隐患跟踪综合治理专家组，及时搜寻公开报道的国内外各类压力管道事故隐患，进行压力管道的运行风险和事故情况大数据统计，对类似事故压力管道的工艺、设备进行智能预警，指导使用单位、检验机构和监察机构进行针对性的事故预防和风险等级区分；</w:t>
      </w:r>
    </w:p>
    <w:p>
      <w:pPr>
        <w:pStyle w:val="6"/>
        <w:numPr>
          <w:ilvl w:val="0"/>
          <w:numId w:val="86"/>
        </w:numPr>
        <w:ind w:left="0" w:firstLine="640"/>
        <w:rPr>
          <w:rFonts w:ascii="仿宋_GB2312"/>
          <w:szCs w:val="32"/>
        </w:rPr>
      </w:pPr>
      <w:r>
        <w:rPr>
          <w:rFonts w:hint="eastAsia" w:ascii="仿宋_GB2312"/>
          <w:szCs w:val="32"/>
        </w:rPr>
        <w:t>责任划分</w:t>
      </w:r>
    </w:p>
    <w:p>
      <w:pPr>
        <w:pStyle w:val="33"/>
        <w:numPr>
          <w:ilvl w:val="0"/>
          <w:numId w:val="88"/>
        </w:numPr>
        <w:ind w:firstLine="640"/>
        <w:rPr>
          <w:rFonts w:ascii="仿宋_GB2312" w:hAnsi="仿宋"/>
          <w:szCs w:val="32"/>
        </w:rPr>
      </w:pPr>
      <w:r>
        <w:rPr>
          <w:rFonts w:hint="eastAsia" w:ascii="仿宋_GB2312" w:hAnsi="仿宋"/>
          <w:szCs w:val="32"/>
        </w:rPr>
        <w:t>省局及各地市市场监管局特种设备科负责督促企业及检验机构对省局特种设备数据进行梳理和完善，为智控系统打好基础；</w:t>
      </w:r>
    </w:p>
    <w:p>
      <w:pPr>
        <w:pStyle w:val="33"/>
        <w:numPr>
          <w:ilvl w:val="0"/>
          <w:numId w:val="88"/>
        </w:numPr>
        <w:ind w:firstLine="640"/>
        <w:rPr>
          <w:rFonts w:ascii="仿宋_GB2312" w:hAnsi="仿宋"/>
          <w:szCs w:val="32"/>
        </w:rPr>
      </w:pPr>
      <w:r>
        <w:rPr>
          <w:rFonts w:hint="eastAsia" w:ascii="仿宋_GB2312" w:hAnsi="仿宋"/>
          <w:szCs w:val="32"/>
        </w:rPr>
        <w:t>技术支持单位负责搭建智控系统，编写</w:t>
      </w:r>
      <w:r>
        <w:rPr>
          <w:rFonts w:cs="Times New Roman"/>
          <w:szCs w:val="32"/>
        </w:rPr>
        <w:t>AI</w:t>
      </w:r>
      <w:r>
        <w:rPr>
          <w:rFonts w:hint="eastAsia" w:ascii="仿宋_GB2312" w:hAnsi="仿宋"/>
          <w:szCs w:val="32"/>
        </w:rPr>
        <w:t>筛查及判断程序；</w:t>
      </w:r>
    </w:p>
    <w:p>
      <w:pPr>
        <w:pStyle w:val="33"/>
        <w:numPr>
          <w:ilvl w:val="0"/>
          <w:numId w:val="88"/>
        </w:numPr>
        <w:ind w:firstLine="640"/>
        <w:rPr>
          <w:rFonts w:ascii="仿宋_GB2312" w:hAnsi="仿宋"/>
          <w:szCs w:val="32"/>
        </w:rPr>
      </w:pPr>
      <w:r>
        <w:rPr>
          <w:rFonts w:hint="eastAsia" w:ascii="仿宋_GB2312" w:hAnsi="仿宋"/>
          <w:szCs w:val="32"/>
        </w:rPr>
        <w:t>地方检验机构及计量机构开放数据接口，为数据库完善高风险设备检验及计量数据；</w:t>
      </w:r>
    </w:p>
    <w:p>
      <w:pPr>
        <w:pStyle w:val="33"/>
        <w:numPr>
          <w:ilvl w:val="0"/>
          <w:numId w:val="88"/>
        </w:numPr>
        <w:ind w:firstLine="640"/>
        <w:rPr>
          <w:rFonts w:ascii="仿宋_GB2312" w:hAnsi="仿宋"/>
          <w:szCs w:val="32"/>
        </w:rPr>
      </w:pPr>
      <w:r>
        <w:rPr>
          <w:rFonts w:hint="eastAsia" w:ascii="仿宋_GB2312" w:hAnsi="仿宋"/>
          <w:szCs w:val="32"/>
        </w:rPr>
        <w:t>省局负责与应急管理、气象局、医疗等相关机构进行沟通协调，共建智控系统。</w:t>
      </w:r>
    </w:p>
    <w:p>
      <w:pPr>
        <w:pStyle w:val="6"/>
        <w:numPr>
          <w:ilvl w:val="0"/>
          <w:numId w:val="86"/>
        </w:numPr>
        <w:ind w:left="0" w:firstLine="640"/>
        <w:rPr>
          <w:rFonts w:ascii="仿宋_GB2312"/>
          <w:szCs w:val="32"/>
        </w:rPr>
      </w:pPr>
      <w:r>
        <w:rPr>
          <w:rFonts w:hint="eastAsia" w:ascii="仿宋_GB2312"/>
          <w:szCs w:val="32"/>
        </w:rPr>
        <w:t>管理流程</w:t>
      </w:r>
    </w:p>
    <w:p>
      <w:pPr>
        <w:pStyle w:val="7"/>
        <w:numPr>
          <w:ilvl w:val="0"/>
          <w:numId w:val="89"/>
        </w:numPr>
        <w:ind w:firstLine="643"/>
      </w:pPr>
      <w:r>
        <w:rPr>
          <w:rFonts w:hint="eastAsia"/>
        </w:rPr>
        <w:t>压力管道智控系统总体流程图</w:t>
      </w:r>
    </w:p>
    <w:p>
      <w:pPr>
        <w:pStyle w:val="7"/>
        <w:numPr>
          <w:ilvl w:val="0"/>
          <w:numId w:val="89"/>
        </w:numPr>
        <w:ind w:firstLine="643"/>
      </w:pPr>
      <w:r>
        <w:rPr>
          <w:rFonts w:hint="eastAsia"/>
        </w:rPr>
        <w:drawing>
          <wp:anchor distT="0" distB="0" distL="0" distR="0" simplePos="0" relativeHeight="251639808" behindDoc="0" locked="0" layoutInCell="1" allowOverlap="1">
            <wp:simplePos x="0" y="0"/>
            <wp:positionH relativeFrom="column">
              <wp:posOffset>425450</wp:posOffset>
            </wp:positionH>
            <wp:positionV relativeFrom="paragraph">
              <wp:posOffset>78105</wp:posOffset>
            </wp:positionV>
            <wp:extent cx="4506595" cy="2806065"/>
            <wp:effectExtent l="0" t="0" r="4445" b="13335"/>
            <wp:wrapTopAndBottom/>
            <wp:docPr id="6" name="图片 6" descr="C:\Users\Administrator\AppData\Roaming\Tencent\Users\35227883\QQ\WinTemp\RichOle\V64[5{%P2F{%1G2R`9INE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Administrator\AppData\Roaming\Tencent\Users\35227883\QQ\WinTemp\RichOle\V64[5{%P2F{%1G2R`9INEIO.png"/>
                    <pic:cNvPicPr>
                      <a:picLocks noChangeAspect="1" noChangeArrowheads="1"/>
                    </pic:cNvPicPr>
                  </pic:nvPicPr>
                  <pic:blipFill>
                    <a:blip r:embed="rId36"/>
                    <a:srcRect/>
                    <a:stretch>
                      <a:fillRect/>
                    </a:stretch>
                  </pic:blipFill>
                  <pic:spPr>
                    <a:xfrm>
                      <a:off x="0" y="0"/>
                      <a:ext cx="4506595" cy="2806065"/>
                    </a:xfrm>
                    <a:prstGeom prst="rect">
                      <a:avLst/>
                    </a:prstGeom>
                    <a:noFill/>
                    <a:ln w="9525">
                      <a:noFill/>
                      <a:miter lim="800000"/>
                      <a:headEnd/>
                      <a:tailEnd/>
                    </a:ln>
                  </pic:spPr>
                </pic:pic>
              </a:graphicData>
            </a:graphic>
          </wp:anchor>
        </w:drawing>
      </w:r>
      <w:r>
        <w:rPr>
          <w:rFonts w:hint="eastAsia"/>
        </w:rPr>
        <w:t>风险评估流程</w:t>
      </w:r>
    </w:p>
    <w:p>
      <w:pPr>
        <w:ind w:firstLine="640"/>
      </w:pPr>
      <w:r>
        <w:rPr>
          <w:kern w:val="0"/>
        </w:rPr>
        <w:drawing>
          <wp:anchor distT="0" distB="0" distL="0" distR="0" simplePos="0" relativeHeight="251641856" behindDoc="1" locked="0" layoutInCell="1" allowOverlap="1">
            <wp:simplePos x="0" y="0"/>
            <wp:positionH relativeFrom="column">
              <wp:posOffset>462915</wp:posOffset>
            </wp:positionH>
            <wp:positionV relativeFrom="page">
              <wp:posOffset>6563995</wp:posOffset>
            </wp:positionV>
            <wp:extent cx="2399665" cy="2950210"/>
            <wp:effectExtent l="0" t="0" r="8255" b="6350"/>
            <wp:wrapThrough wrapText="bothSides">
              <wp:wrapPolygon>
                <wp:start x="0" y="0"/>
                <wp:lineTo x="0" y="21535"/>
                <wp:lineTo x="21400" y="21535"/>
                <wp:lineTo x="21400" y="0"/>
                <wp:lineTo x="0" y="0"/>
              </wp:wrapPolygon>
            </wp:wrapThrough>
            <wp:docPr id="4" name="图片 4" descr="C:\Users\Administrator\AppData\Roaming\Tencent\Users\35227883\QQ\WinTemp\RichOle\[U88CH2KHIMIJQIKP3PIGQ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Administrator\AppData\Roaming\Tencent\Users\35227883\QQ\WinTemp\RichOle\[U88CH2KHIMIJQIKP3PIGQJ.png"/>
                    <pic:cNvPicPr>
                      <a:picLocks noChangeAspect="1" noChangeArrowheads="1"/>
                    </pic:cNvPicPr>
                  </pic:nvPicPr>
                  <pic:blipFill>
                    <a:blip r:embed="rId35"/>
                    <a:srcRect/>
                    <a:stretch>
                      <a:fillRect/>
                    </a:stretch>
                  </pic:blipFill>
                  <pic:spPr>
                    <a:xfrm>
                      <a:off x="0" y="0"/>
                      <a:ext cx="2399665" cy="2950210"/>
                    </a:xfrm>
                    <a:prstGeom prst="rect">
                      <a:avLst/>
                    </a:prstGeom>
                    <a:noFill/>
                    <a:ln w="9525">
                      <a:noFill/>
                      <a:miter lim="800000"/>
                      <a:headEnd/>
                      <a:tailEnd/>
                    </a:ln>
                  </pic:spPr>
                </pic:pic>
              </a:graphicData>
            </a:graphic>
          </wp:anchor>
        </w:drawing>
      </w:r>
    </w:p>
    <w:p>
      <w:pPr>
        <w:ind w:firstLine="0" w:firstLineChars="0"/>
        <w:rPr>
          <w:kern w:val="0"/>
        </w:rPr>
      </w:pPr>
    </w:p>
    <w:p>
      <w:pPr>
        <w:pStyle w:val="7"/>
        <w:numPr>
          <w:ilvl w:val="0"/>
          <w:numId w:val="89"/>
        </w:numPr>
        <w:ind w:firstLine="643"/>
        <w:rPr>
          <w:rFonts w:ascii="仿宋" w:hAnsi="仿宋" w:eastAsia="仿宋"/>
          <w:sz w:val="28"/>
          <w:szCs w:val="28"/>
        </w:rPr>
      </w:pPr>
      <w:r>
        <w:rPr>
          <w:rFonts w:hint="eastAsia"/>
        </w:rPr>
        <w:t>平台架构树</w:t>
      </w:r>
    </w:p>
    <w:p>
      <w:pPr>
        <w:pStyle w:val="5"/>
        <w:numPr>
          <w:ilvl w:val="3"/>
          <w:numId w:val="84"/>
        </w:numPr>
        <w:ind w:left="0" w:firstLine="562"/>
        <w:rPr>
          <w:rFonts w:ascii="仿宋_GB2312"/>
          <w:szCs w:val="32"/>
        </w:rPr>
      </w:pPr>
      <w:bookmarkStart w:id="103" w:name="_Toc24183"/>
      <w:bookmarkStart w:id="104" w:name="_Toc1271"/>
      <w:r>
        <w:rPr>
          <w:rFonts w:ascii="仿宋" w:hAnsi="仿宋" w:eastAsia="仿宋"/>
          <w:sz w:val="28"/>
        </w:rPr>
        <w:drawing>
          <wp:anchor distT="0" distB="0" distL="0" distR="0" simplePos="0" relativeHeight="251640832" behindDoc="1" locked="0" layoutInCell="1" allowOverlap="1">
            <wp:simplePos x="0" y="0"/>
            <wp:positionH relativeFrom="column">
              <wp:posOffset>94615</wp:posOffset>
            </wp:positionH>
            <wp:positionV relativeFrom="paragraph">
              <wp:posOffset>89535</wp:posOffset>
            </wp:positionV>
            <wp:extent cx="5274310" cy="3103245"/>
            <wp:effectExtent l="0" t="0" r="13970" b="5715"/>
            <wp:wrapThrough wrapText="bothSides">
              <wp:wrapPolygon>
                <wp:start x="0" y="0"/>
                <wp:lineTo x="0" y="21534"/>
                <wp:lineTo x="21532" y="21534"/>
                <wp:lineTo x="21532" y="0"/>
                <wp:lineTo x="0" y="0"/>
              </wp:wrapPolygon>
            </wp:wrapThrough>
            <wp:docPr id="5" name="图片 1" descr="C:\Users\ThinkPad\AppData\Roaming\DingTalk\77806160_v2\ImageFiles\7465377\1783088201_17972982021_CCC8EB9A-8D76-45e1-B4CB-A928FA0E078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C:\Users\ThinkPad\AppData\Roaming\DingTalk\77806160_v2\ImageFiles\7465377\1783088201_17972982021_CCC8EB9A-8D76-45e1-B4CB-A928FA0E078D.png"/>
                    <pic:cNvPicPr>
                      <a:picLocks noChangeAspect="1" noChangeArrowheads="1"/>
                    </pic:cNvPicPr>
                  </pic:nvPicPr>
                  <pic:blipFill>
                    <a:blip r:embed="rId34" cstate="print"/>
                    <a:srcRect/>
                    <a:stretch>
                      <a:fillRect/>
                    </a:stretch>
                  </pic:blipFill>
                  <pic:spPr>
                    <a:xfrm>
                      <a:off x="0" y="0"/>
                      <a:ext cx="5274310" cy="3103481"/>
                    </a:xfrm>
                    <a:prstGeom prst="rect">
                      <a:avLst/>
                    </a:prstGeom>
                    <a:noFill/>
                    <a:ln w="9525">
                      <a:noFill/>
                      <a:miter lim="800000"/>
                      <a:headEnd/>
                      <a:tailEnd/>
                    </a:ln>
                  </pic:spPr>
                </pic:pic>
              </a:graphicData>
            </a:graphic>
          </wp:anchor>
        </w:drawing>
      </w:r>
      <w:r>
        <w:rPr>
          <w:rFonts w:hint="eastAsia" w:ascii="仿宋_GB2312"/>
          <w:szCs w:val="32"/>
        </w:rPr>
        <w:t>整合数据资源</w:t>
      </w:r>
      <w:bookmarkEnd w:id="103"/>
      <w:bookmarkEnd w:id="104"/>
    </w:p>
    <w:p>
      <w:pPr>
        <w:ind w:firstLine="640"/>
        <w:rPr>
          <w:rFonts w:ascii="仿宋_GB2312" w:hAnsi="仿宋"/>
          <w:szCs w:val="32"/>
        </w:rPr>
      </w:pPr>
      <w:r>
        <w:rPr>
          <w:rFonts w:hint="eastAsia" w:ascii="仿宋_GB2312" w:hAnsi="仿宋"/>
          <w:szCs w:val="32"/>
        </w:rPr>
        <w:t>数据有压力管道的本质风险数据、特种设备检验机构数据、监察机构数据、应急管理等其他部门数据。</w:t>
      </w:r>
    </w:p>
    <w:p>
      <w:pPr>
        <w:pStyle w:val="6"/>
        <w:numPr>
          <w:ilvl w:val="0"/>
          <w:numId w:val="90"/>
        </w:numPr>
        <w:ind w:left="0" w:firstLine="640"/>
        <w:rPr>
          <w:rFonts w:ascii="仿宋_GB2312"/>
          <w:szCs w:val="32"/>
        </w:rPr>
      </w:pPr>
      <w:r>
        <w:rPr>
          <w:rFonts w:hint="eastAsia" w:ascii="仿宋_GB2312"/>
          <w:szCs w:val="32"/>
        </w:rPr>
        <w:t>对接的数据梳理</w:t>
      </w:r>
    </w:p>
    <w:p>
      <w:pPr>
        <w:numPr>
          <w:ilvl w:val="0"/>
          <w:numId w:val="91"/>
        </w:numPr>
        <w:ind w:left="0" w:firstLine="640"/>
        <w:rPr>
          <w:rFonts w:ascii="仿宋_GB2312"/>
          <w:szCs w:val="32"/>
        </w:rPr>
      </w:pPr>
      <w:r>
        <w:rPr>
          <w:rFonts w:hint="eastAsia" w:ascii="仿宋_GB2312"/>
          <w:szCs w:val="32"/>
        </w:rPr>
        <w:t>压力管道本质风险数据根据设备情况由各辖区监察机构判定；</w:t>
      </w:r>
    </w:p>
    <w:p>
      <w:pPr>
        <w:numPr>
          <w:ilvl w:val="0"/>
          <w:numId w:val="91"/>
        </w:numPr>
        <w:ind w:left="0" w:firstLine="640"/>
        <w:rPr>
          <w:rFonts w:ascii="仿宋_GB2312"/>
          <w:szCs w:val="32"/>
        </w:rPr>
      </w:pPr>
      <w:r>
        <w:rPr>
          <w:rFonts w:hint="eastAsia" w:ascii="仿宋_GB2312"/>
          <w:szCs w:val="32"/>
        </w:rPr>
        <w:t>维护保养数据来自企业填报；</w:t>
      </w:r>
    </w:p>
    <w:p>
      <w:pPr>
        <w:numPr>
          <w:ilvl w:val="0"/>
          <w:numId w:val="91"/>
        </w:numPr>
        <w:ind w:left="0" w:firstLine="640"/>
        <w:rPr>
          <w:rFonts w:ascii="仿宋_GB2312"/>
          <w:szCs w:val="32"/>
        </w:rPr>
      </w:pPr>
      <w:r>
        <w:rPr>
          <w:rFonts w:hint="eastAsia" w:ascii="仿宋_GB2312"/>
          <w:szCs w:val="32"/>
        </w:rPr>
        <w:t>检验检测数据来自检验机构；</w:t>
      </w:r>
    </w:p>
    <w:p>
      <w:pPr>
        <w:numPr>
          <w:ilvl w:val="0"/>
          <w:numId w:val="91"/>
        </w:numPr>
        <w:ind w:left="0" w:firstLine="640"/>
        <w:rPr>
          <w:rFonts w:ascii="仿宋_GB2312"/>
          <w:szCs w:val="32"/>
        </w:rPr>
      </w:pPr>
      <w:r>
        <w:rPr>
          <w:rFonts w:hint="eastAsia" w:ascii="仿宋_GB2312"/>
          <w:szCs w:val="32"/>
        </w:rPr>
        <w:t>监督检查数据来自监察机构；</w:t>
      </w:r>
    </w:p>
    <w:p>
      <w:pPr>
        <w:numPr>
          <w:ilvl w:val="0"/>
          <w:numId w:val="91"/>
        </w:numPr>
        <w:ind w:left="0" w:firstLine="640"/>
        <w:rPr>
          <w:rFonts w:ascii="仿宋_GB2312"/>
          <w:szCs w:val="32"/>
        </w:rPr>
      </w:pPr>
      <w:r>
        <w:rPr>
          <w:rFonts w:hint="eastAsia" w:ascii="仿宋_GB2312"/>
          <w:szCs w:val="32"/>
        </w:rPr>
        <w:t>同类设备运行情况预警来自各类事故分析报告等；</w:t>
      </w:r>
    </w:p>
    <w:p>
      <w:pPr>
        <w:numPr>
          <w:ilvl w:val="0"/>
          <w:numId w:val="91"/>
        </w:numPr>
        <w:ind w:left="0" w:firstLine="640"/>
        <w:rPr>
          <w:rFonts w:ascii="仿宋_GB2312"/>
          <w:szCs w:val="32"/>
        </w:rPr>
      </w:pPr>
      <w:r>
        <w:rPr>
          <w:rFonts w:hint="eastAsia" w:ascii="仿宋_GB2312"/>
          <w:szCs w:val="32"/>
        </w:rPr>
        <w:t>相同法人不同企业的安全状况等大数据分析取自国家企业信息系统。</w:t>
      </w:r>
    </w:p>
    <w:p>
      <w:pPr>
        <w:pStyle w:val="6"/>
        <w:numPr>
          <w:ilvl w:val="0"/>
          <w:numId w:val="90"/>
        </w:numPr>
        <w:ind w:left="0" w:firstLine="640"/>
        <w:rPr>
          <w:rFonts w:ascii="仿宋_GB2312"/>
          <w:szCs w:val="32"/>
        </w:rPr>
      </w:pPr>
      <w:r>
        <w:rPr>
          <w:rFonts w:eastAsia="宋体" w:cs="Times New Roman"/>
          <w:szCs w:val="32"/>
        </w:rPr>
        <w:t>AI</w:t>
      </w:r>
      <w:r>
        <w:rPr>
          <w:rFonts w:hint="eastAsia" w:ascii="仿宋_GB2312"/>
          <w:szCs w:val="32"/>
        </w:rPr>
        <w:t>程序在数据库中挖掘数据列表</w:t>
      </w:r>
    </w:p>
    <w:tbl>
      <w:tblPr>
        <w:tblStyle w:val="27"/>
        <w:tblW w:w="8667"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104"/>
        <w:gridCol w:w="2003"/>
        <w:gridCol w:w="3540"/>
        <w:gridCol w:w="202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104" w:type="dxa"/>
          </w:tcPr>
          <w:p>
            <w:pPr>
              <w:ind w:firstLine="0" w:firstLineChars="0"/>
              <w:jc w:val="center"/>
              <w:rPr>
                <w:rFonts w:ascii="仿宋_GB2312"/>
                <w:sz w:val="30"/>
                <w:szCs w:val="30"/>
              </w:rPr>
            </w:pPr>
            <w:r>
              <w:rPr>
                <w:rFonts w:hint="eastAsia" w:ascii="仿宋_GB2312"/>
                <w:sz w:val="30"/>
                <w:szCs w:val="30"/>
              </w:rPr>
              <w:t>序号</w:t>
            </w:r>
          </w:p>
        </w:tc>
        <w:tc>
          <w:tcPr>
            <w:tcW w:w="2003" w:type="dxa"/>
          </w:tcPr>
          <w:p>
            <w:pPr>
              <w:ind w:firstLine="0" w:firstLineChars="0"/>
              <w:jc w:val="center"/>
              <w:rPr>
                <w:rFonts w:ascii="仿宋_GB2312"/>
                <w:sz w:val="30"/>
                <w:szCs w:val="30"/>
              </w:rPr>
            </w:pPr>
            <w:r>
              <w:rPr>
                <w:rFonts w:hint="eastAsia" w:ascii="仿宋_GB2312"/>
                <w:sz w:val="30"/>
                <w:szCs w:val="30"/>
              </w:rPr>
              <w:t>数据名称</w:t>
            </w:r>
          </w:p>
        </w:tc>
        <w:tc>
          <w:tcPr>
            <w:tcW w:w="3540" w:type="dxa"/>
          </w:tcPr>
          <w:p>
            <w:pPr>
              <w:ind w:firstLine="0" w:firstLineChars="0"/>
              <w:jc w:val="center"/>
              <w:rPr>
                <w:rFonts w:ascii="仿宋_GB2312"/>
                <w:sz w:val="30"/>
                <w:szCs w:val="30"/>
              </w:rPr>
            </w:pPr>
            <w:r>
              <w:rPr>
                <w:rFonts w:hint="eastAsia" w:ascii="仿宋_GB2312"/>
                <w:sz w:val="30"/>
                <w:szCs w:val="30"/>
              </w:rPr>
              <w:t>数据用途</w:t>
            </w:r>
          </w:p>
        </w:tc>
        <w:tc>
          <w:tcPr>
            <w:tcW w:w="2020" w:type="dxa"/>
          </w:tcPr>
          <w:p>
            <w:pPr>
              <w:ind w:firstLine="0" w:firstLineChars="0"/>
              <w:jc w:val="center"/>
              <w:rPr>
                <w:rFonts w:ascii="仿宋_GB2312"/>
                <w:sz w:val="30"/>
                <w:szCs w:val="30"/>
              </w:rPr>
            </w:pPr>
            <w:r>
              <w:rPr>
                <w:rFonts w:hint="eastAsia" w:ascii="仿宋_GB2312"/>
                <w:sz w:val="30"/>
                <w:szCs w:val="30"/>
              </w:rPr>
              <w:t>数据代号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104" w:type="dxa"/>
          </w:tcPr>
          <w:p>
            <w:pPr>
              <w:ind w:firstLine="0" w:firstLineChars="0"/>
              <w:jc w:val="center"/>
              <w:rPr>
                <w:rFonts w:cs="Times New Roman"/>
                <w:sz w:val="30"/>
                <w:szCs w:val="30"/>
              </w:rPr>
            </w:pPr>
            <w:r>
              <w:rPr>
                <w:rFonts w:cs="Times New Roman"/>
                <w:szCs w:val="30"/>
              </w:rPr>
              <w:t>1</w:t>
            </w:r>
          </w:p>
        </w:tc>
        <w:tc>
          <w:tcPr>
            <w:tcW w:w="2003" w:type="dxa"/>
          </w:tcPr>
          <w:p>
            <w:pPr>
              <w:ind w:firstLine="0" w:firstLineChars="0"/>
              <w:rPr>
                <w:rFonts w:ascii="仿宋_GB2312"/>
                <w:sz w:val="30"/>
                <w:szCs w:val="30"/>
              </w:rPr>
            </w:pPr>
            <w:r>
              <w:rPr>
                <w:rFonts w:hint="eastAsia" w:ascii="仿宋_GB2312"/>
                <w:sz w:val="30"/>
                <w:szCs w:val="30"/>
              </w:rPr>
              <w:t>设计压力</w:t>
            </w:r>
          </w:p>
        </w:tc>
        <w:tc>
          <w:tcPr>
            <w:tcW w:w="3540" w:type="dxa"/>
          </w:tcPr>
          <w:p>
            <w:pPr>
              <w:ind w:firstLine="0" w:firstLineChars="0"/>
              <w:rPr>
                <w:rFonts w:ascii="仿宋_GB2312"/>
                <w:sz w:val="30"/>
                <w:szCs w:val="30"/>
              </w:rPr>
            </w:pPr>
            <w:r>
              <w:rPr>
                <w:rFonts w:hint="eastAsia" w:ascii="仿宋_GB2312"/>
                <w:sz w:val="30"/>
                <w:szCs w:val="30"/>
              </w:rPr>
              <w:t>基础参数</w:t>
            </w:r>
          </w:p>
        </w:tc>
        <w:tc>
          <w:tcPr>
            <w:tcW w:w="2020" w:type="dxa"/>
          </w:tcPr>
          <w:p>
            <w:pPr>
              <w:ind w:firstLine="0" w:firstLineChars="0"/>
              <w:rPr>
                <w:rFonts w:cs="Times New Roman"/>
                <w:sz w:val="30"/>
                <w:szCs w:val="30"/>
              </w:rPr>
            </w:pPr>
            <w:r>
              <w:rPr>
                <w:rFonts w:cs="Times New Roman"/>
                <w:szCs w:val="30"/>
              </w:rPr>
              <w:t>PD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104" w:type="dxa"/>
          </w:tcPr>
          <w:p>
            <w:pPr>
              <w:ind w:firstLine="0" w:firstLineChars="0"/>
              <w:jc w:val="center"/>
              <w:rPr>
                <w:rFonts w:cs="Times New Roman"/>
                <w:sz w:val="30"/>
                <w:szCs w:val="30"/>
              </w:rPr>
            </w:pPr>
            <w:r>
              <w:rPr>
                <w:rFonts w:cs="Times New Roman"/>
                <w:szCs w:val="30"/>
              </w:rPr>
              <w:t>2</w:t>
            </w:r>
          </w:p>
        </w:tc>
        <w:tc>
          <w:tcPr>
            <w:tcW w:w="2003" w:type="dxa"/>
          </w:tcPr>
          <w:p>
            <w:pPr>
              <w:ind w:firstLine="0" w:firstLineChars="0"/>
              <w:rPr>
                <w:rFonts w:ascii="仿宋_GB2312"/>
                <w:sz w:val="30"/>
                <w:szCs w:val="30"/>
              </w:rPr>
            </w:pPr>
            <w:r>
              <w:rPr>
                <w:rFonts w:hint="eastAsia" w:ascii="仿宋_GB2312"/>
                <w:sz w:val="30"/>
                <w:szCs w:val="30"/>
              </w:rPr>
              <w:t>设计温度</w:t>
            </w:r>
          </w:p>
        </w:tc>
        <w:tc>
          <w:tcPr>
            <w:tcW w:w="3540" w:type="dxa"/>
          </w:tcPr>
          <w:p>
            <w:pPr>
              <w:ind w:firstLine="0" w:firstLineChars="0"/>
              <w:rPr>
                <w:rFonts w:ascii="仿宋_GB2312"/>
                <w:sz w:val="30"/>
                <w:szCs w:val="30"/>
              </w:rPr>
            </w:pPr>
            <w:r>
              <w:rPr>
                <w:rFonts w:hint="eastAsia" w:ascii="仿宋_GB2312"/>
                <w:sz w:val="30"/>
                <w:szCs w:val="30"/>
              </w:rPr>
              <w:t>基础参数</w:t>
            </w:r>
          </w:p>
        </w:tc>
        <w:tc>
          <w:tcPr>
            <w:tcW w:w="2020" w:type="dxa"/>
          </w:tcPr>
          <w:p>
            <w:pPr>
              <w:ind w:firstLine="0" w:firstLineChars="0"/>
              <w:rPr>
                <w:rFonts w:cs="Times New Roman"/>
                <w:sz w:val="30"/>
                <w:szCs w:val="30"/>
              </w:rPr>
            </w:pPr>
            <w:r>
              <w:rPr>
                <w:rFonts w:cs="Times New Roman"/>
                <w:szCs w:val="30"/>
              </w:rPr>
              <w:t>TD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104" w:type="dxa"/>
          </w:tcPr>
          <w:p>
            <w:pPr>
              <w:ind w:firstLine="0" w:firstLineChars="0"/>
              <w:jc w:val="center"/>
              <w:rPr>
                <w:rFonts w:cs="Times New Roman"/>
                <w:sz w:val="30"/>
                <w:szCs w:val="30"/>
              </w:rPr>
            </w:pPr>
            <w:r>
              <w:rPr>
                <w:rFonts w:cs="Times New Roman"/>
                <w:szCs w:val="30"/>
              </w:rPr>
              <w:t>3</w:t>
            </w:r>
          </w:p>
        </w:tc>
        <w:tc>
          <w:tcPr>
            <w:tcW w:w="2003" w:type="dxa"/>
          </w:tcPr>
          <w:p>
            <w:pPr>
              <w:ind w:firstLine="0" w:firstLineChars="0"/>
              <w:rPr>
                <w:rFonts w:ascii="仿宋_GB2312"/>
                <w:sz w:val="30"/>
                <w:szCs w:val="30"/>
              </w:rPr>
            </w:pPr>
            <w:r>
              <w:rPr>
                <w:rFonts w:hint="eastAsia" w:ascii="仿宋_GB2312"/>
                <w:sz w:val="30"/>
                <w:szCs w:val="30"/>
              </w:rPr>
              <w:t>工作压力</w:t>
            </w:r>
          </w:p>
        </w:tc>
        <w:tc>
          <w:tcPr>
            <w:tcW w:w="3540" w:type="dxa"/>
          </w:tcPr>
          <w:p>
            <w:pPr>
              <w:ind w:firstLine="0" w:firstLineChars="0"/>
              <w:rPr>
                <w:rFonts w:ascii="仿宋_GB2312"/>
                <w:sz w:val="30"/>
                <w:szCs w:val="30"/>
              </w:rPr>
            </w:pPr>
            <w:r>
              <w:rPr>
                <w:rFonts w:hint="eastAsia" w:ascii="仿宋_GB2312"/>
                <w:sz w:val="30"/>
                <w:szCs w:val="30"/>
              </w:rPr>
              <w:t>判断设备是否超压</w:t>
            </w:r>
          </w:p>
        </w:tc>
        <w:tc>
          <w:tcPr>
            <w:tcW w:w="2020" w:type="dxa"/>
          </w:tcPr>
          <w:p>
            <w:pPr>
              <w:ind w:firstLine="0" w:firstLineChars="0"/>
              <w:rPr>
                <w:rFonts w:cs="Times New Roman"/>
                <w:sz w:val="30"/>
                <w:szCs w:val="30"/>
              </w:rPr>
            </w:pPr>
            <w:r>
              <w:rPr>
                <w:rFonts w:cs="Times New Roman"/>
                <w:szCs w:val="30"/>
              </w:rPr>
              <w:t>PW</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104" w:type="dxa"/>
          </w:tcPr>
          <w:p>
            <w:pPr>
              <w:ind w:firstLine="0" w:firstLineChars="0"/>
              <w:jc w:val="center"/>
              <w:rPr>
                <w:rFonts w:cs="Times New Roman"/>
                <w:sz w:val="30"/>
                <w:szCs w:val="30"/>
              </w:rPr>
            </w:pPr>
            <w:r>
              <w:rPr>
                <w:rFonts w:cs="Times New Roman"/>
                <w:szCs w:val="30"/>
              </w:rPr>
              <w:t>4</w:t>
            </w:r>
          </w:p>
        </w:tc>
        <w:tc>
          <w:tcPr>
            <w:tcW w:w="2003" w:type="dxa"/>
          </w:tcPr>
          <w:p>
            <w:pPr>
              <w:ind w:firstLine="0" w:firstLineChars="0"/>
              <w:rPr>
                <w:rFonts w:ascii="仿宋_GB2312"/>
                <w:sz w:val="30"/>
                <w:szCs w:val="30"/>
              </w:rPr>
            </w:pPr>
            <w:r>
              <w:rPr>
                <w:rFonts w:hint="eastAsia" w:ascii="仿宋_GB2312"/>
                <w:sz w:val="30"/>
                <w:szCs w:val="30"/>
              </w:rPr>
              <w:t>工作温度</w:t>
            </w:r>
          </w:p>
        </w:tc>
        <w:tc>
          <w:tcPr>
            <w:tcW w:w="3540" w:type="dxa"/>
          </w:tcPr>
          <w:p>
            <w:pPr>
              <w:ind w:firstLine="0" w:firstLineChars="0"/>
              <w:rPr>
                <w:rFonts w:ascii="仿宋_GB2312"/>
                <w:sz w:val="30"/>
                <w:szCs w:val="30"/>
              </w:rPr>
            </w:pPr>
            <w:r>
              <w:rPr>
                <w:rFonts w:hint="eastAsia" w:ascii="仿宋_GB2312"/>
                <w:sz w:val="30"/>
                <w:szCs w:val="30"/>
              </w:rPr>
              <w:t>判断设备是否超温</w:t>
            </w:r>
          </w:p>
        </w:tc>
        <w:tc>
          <w:tcPr>
            <w:tcW w:w="2020" w:type="dxa"/>
          </w:tcPr>
          <w:p>
            <w:pPr>
              <w:ind w:firstLine="0" w:firstLineChars="0"/>
              <w:rPr>
                <w:rFonts w:cs="Times New Roman"/>
                <w:sz w:val="30"/>
                <w:szCs w:val="30"/>
              </w:rPr>
            </w:pPr>
            <w:r>
              <w:rPr>
                <w:rFonts w:cs="Times New Roman"/>
                <w:szCs w:val="30"/>
              </w:rPr>
              <w:t>TW</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104" w:type="dxa"/>
          </w:tcPr>
          <w:p>
            <w:pPr>
              <w:ind w:firstLine="0" w:firstLineChars="0"/>
              <w:jc w:val="center"/>
              <w:rPr>
                <w:rFonts w:cs="Times New Roman"/>
                <w:sz w:val="30"/>
                <w:szCs w:val="30"/>
              </w:rPr>
            </w:pPr>
            <w:r>
              <w:rPr>
                <w:rFonts w:cs="Times New Roman"/>
                <w:szCs w:val="30"/>
              </w:rPr>
              <w:t>5</w:t>
            </w:r>
          </w:p>
        </w:tc>
        <w:tc>
          <w:tcPr>
            <w:tcW w:w="2003" w:type="dxa"/>
          </w:tcPr>
          <w:p>
            <w:pPr>
              <w:ind w:firstLine="0" w:firstLineChars="0"/>
              <w:rPr>
                <w:rFonts w:ascii="仿宋_GB2312"/>
                <w:sz w:val="30"/>
                <w:szCs w:val="30"/>
              </w:rPr>
            </w:pPr>
            <w:r>
              <w:rPr>
                <w:rFonts w:hint="eastAsia" w:ascii="仿宋_GB2312"/>
                <w:sz w:val="30"/>
                <w:szCs w:val="30"/>
              </w:rPr>
              <w:t>介质</w:t>
            </w:r>
          </w:p>
        </w:tc>
        <w:tc>
          <w:tcPr>
            <w:tcW w:w="3540" w:type="dxa"/>
          </w:tcPr>
          <w:p>
            <w:pPr>
              <w:ind w:firstLine="0" w:firstLineChars="0"/>
              <w:rPr>
                <w:rFonts w:ascii="仿宋_GB2312"/>
                <w:sz w:val="30"/>
                <w:szCs w:val="30"/>
              </w:rPr>
            </w:pPr>
            <w:r>
              <w:rPr>
                <w:rFonts w:hint="eastAsia" w:ascii="仿宋_GB2312"/>
                <w:sz w:val="30"/>
                <w:szCs w:val="30"/>
              </w:rPr>
              <w:t>判断失效后果</w:t>
            </w:r>
          </w:p>
        </w:tc>
        <w:tc>
          <w:tcPr>
            <w:tcW w:w="2020" w:type="dxa"/>
          </w:tcPr>
          <w:p>
            <w:pPr>
              <w:ind w:firstLine="0" w:firstLineChars="0"/>
              <w:rPr>
                <w:rFonts w:cs="Times New Roman"/>
                <w:sz w:val="30"/>
                <w:szCs w:val="30"/>
              </w:rPr>
            </w:pPr>
            <w:r>
              <w:rPr>
                <w:rFonts w:cs="Times New Roman"/>
                <w:szCs w:val="30"/>
              </w:rPr>
              <w:t>Med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104" w:type="dxa"/>
          </w:tcPr>
          <w:p>
            <w:pPr>
              <w:ind w:firstLine="0" w:firstLineChars="0"/>
              <w:jc w:val="center"/>
              <w:rPr>
                <w:rFonts w:cs="Times New Roman"/>
                <w:sz w:val="30"/>
                <w:szCs w:val="30"/>
              </w:rPr>
            </w:pPr>
            <w:r>
              <w:rPr>
                <w:rFonts w:cs="Times New Roman"/>
                <w:szCs w:val="30"/>
              </w:rPr>
              <w:t>6</w:t>
            </w:r>
          </w:p>
        </w:tc>
        <w:tc>
          <w:tcPr>
            <w:tcW w:w="2003" w:type="dxa"/>
          </w:tcPr>
          <w:p>
            <w:pPr>
              <w:ind w:firstLine="0" w:firstLineChars="0"/>
              <w:rPr>
                <w:rFonts w:ascii="仿宋_GB2312"/>
                <w:sz w:val="30"/>
                <w:szCs w:val="30"/>
              </w:rPr>
            </w:pPr>
            <w:r>
              <w:rPr>
                <w:rFonts w:hint="eastAsia" w:ascii="仿宋_GB2312"/>
                <w:sz w:val="30"/>
                <w:szCs w:val="30"/>
              </w:rPr>
              <w:t>长度</w:t>
            </w:r>
          </w:p>
        </w:tc>
        <w:tc>
          <w:tcPr>
            <w:tcW w:w="3540" w:type="dxa"/>
          </w:tcPr>
          <w:p>
            <w:pPr>
              <w:ind w:firstLine="0" w:firstLineChars="0"/>
              <w:rPr>
                <w:rFonts w:ascii="仿宋_GB2312"/>
                <w:sz w:val="30"/>
                <w:szCs w:val="30"/>
              </w:rPr>
            </w:pPr>
            <w:r>
              <w:rPr>
                <w:rFonts w:hint="eastAsia" w:ascii="仿宋_GB2312"/>
                <w:sz w:val="30"/>
                <w:szCs w:val="30"/>
              </w:rPr>
              <w:t>基础参数</w:t>
            </w:r>
          </w:p>
        </w:tc>
        <w:tc>
          <w:tcPr>
            <w:tcW w:w="2020" w:type="dxa"/>
          </w:tcPr>
          <w:p>
            <w:pPr>
              <w:ind w:firstLine="0" w:firstLineChars="0"/>
              <w:rPr>
                <w:rFonts w:cs="Times New Roman"/>
                <w:sz w:val="30"/>
                <w:szCs w:val="30"/>
              </w:rPr>
            </w:pPr>
            <w:r>
              <w:rPr>
                <w:rFonts w:cs="Times New Roman"/>
                <w:szCs w:val="30"/>
              </w:rPr>
              <w:t>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104" w:type="dxa"/>
          </w:tcPr>
          <w:p>
            <w:pPr>
              <w:ind w:firstLine="0" w:firstLineChars="0"/>
              <w:jc w:val="center"/>
              <w:rPr>
                <w:rFonts w:cs="Times New Roman"/>
                <w:sz w:val="30"/>
                <w:szCs w:val="30"/>
              </w:rPr>
            </w:pPr>
            <w:r>
              <w:rPr>
                <w:rFonts w:cs="Times New Roman"/>
                <w:szCs w:val="30"/>
              </w:rPr>
              <w:t>7</w:t>
            </w:r>
          </w:p>
        </w:tc>
        <w:tc>
          <w:tcPr>
            <w:tcW w:w="2003" w:type="dxa"/>
          </w:tcPr>
          <w:p>
            <w:pPr>
              <w:ind w:firstLine="0" w:firstLineChars="0"/>
              <w:rPr>
                <w:rFonts w:ascii="仿宋_GB2312"/>
                <w:sz w:val="30"/>
                <w:szCs w:val="30"/>
              </w:rPr>
            </w:pPr>
            <w:r>
              <w:rPr>
                <w:rFonts w:hint="eastAsia" w:ascii="仿宋_GB2312"/>
                <w:sz w:val="30"/>
                <w:szCs w:val="30"/>
              </w:rPr>
              <w:t>管径</w:t>
            </w:r>
          </w:p>
        </w:tc>
        <w:tc>
          <w:tcPr>
            <w:tcW w:w="3540" w:type="dxa"/>
          </w:tcPr>
          <w:p>
            <w:pPr>
              <w:ind w:firstLine="0" w:firstLineChars="0"/>
              <w:rPr>
                <w:rFonts w:ascii="仿宋_GB2312"/>
                <w:sz w:val="30"/>
                <w:szCs w:val="30"/>
              </w:rPr>
            </w:pPr>
            <w:r>
              <w:rPr>
                <w:rFonts w:hint="eastAsia" w:ascii="仿宋_GB2312"/>
                <w:sz w:val="30"/>
                <w:szCs w:val="30"/>
              </w:rPr>
              <w:t>基础参数</w:t>
            </w:r>
          </w:p>
        </w:tc>
        <w:tc>
          <w:tcPr>
            <w:tcW w:w="2020" w:type="dxa"/>
          </w:tcPr>
          <w:p>
            <w:pPr>
              <w:ind w:firstLine="0" w:firstLineChars="0"/>
              <w:rPr>
                <w:rFonts w:cs="Times New Roman"/>
                <w:sz w:val="30"/>
                <w:szCs w:val="30"/>
              </w:rPr>
            </w:pPr>
            <w:r>
              <w:rPr>
                <w:rFonts w:cs="Times New Roman"/>
                <w:szCs w:val="30"/>
              </w:rPr>
              <w:t>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104" w:type="dxa"/>
          </w:tcPr>
          <w:p>
            <w:pPr>
              <w:ind w:firstLine="0" w:firstLineChars="0"/>
              <w:jc w:val="center"/>
              <w:rPr>
                <w:rFonts w:cs="Times New Roman"/>
                <w:sz w:val="30"/>
                <w:szCs w:val="30"/>
              </w:rPr>
            </w:pPr>
            <w:r>
              <w:rPr>
                <w:rFonts w:cs="Times New Roman"/>
                <w:szCs w:val="30"/>
              </w:rPr>
              <w:t>8</w:t>
            </w:r>
          </w:p>
        </w:tc>
        <w:tc>
          <w:tcPr>
            <w:tcW w:w="2003" w:type="dxa"/>
          </w:tcPr>
          <w:p>
            <w:pPr>
              <w:ind w:firstLine="0" w:firstLineChars="0"/>
              <w:rPr>
                <w:rFonts w:ascii="仿宋_GB2312"/>
                <w:sz w:val="30"/>
                <w:szCs w:val="30"/>
              </w:rPr>
            </w:pPr>
            <w:r>
              <w:rPr>
                <w:rFonts w:hint="eastAsia" w:ascii="仿宋_GB2312"/>
                <w:sz w:val="30"/>
                <w:szCs w:val="30"/>
              </w:rPr>
              <w:t>壁厚</w:t>
            </w:r>
          </w:p>
        </w:tc>
        <w:tc>
          <w:tcPr>
            <w:tcW w:w="3540" w:type="dxa"/>
          </w:tcPr>
          <w:p>
            <w:pPr>
              <w:ind w:firstLine="0" w:firstLineChars="0"/>
              <w:rPr>
                <w:rFonts w:ascii="仿宋_GB2312"/>
                <w:sz w:val="30"/>
                <w:szCs w:val="30"/>
              </w:rPr>
            </w:pPr>
            <w:r>
              <w:rPr>
                <w:rFonts w:hint="eastAsia" w:ascii="仿宋_GB2312"/>
                <w:sz w:val="30"/>
                <w:szCs w:val="30"/>
              </w:rPr>
              <w:t>基础参数</w:t>
            </w:r>
          </w:p>
        </w:tc>
        <w:tc>
          <w:tcPr>
            <w:tcW w:w="2020" w:type="dxa"/>
          </w:tcPr>
          <w:p>
            <w:pPr>
              <w:ind w:firstLine="0" w:firstLineChars="0"/>
              <w:rPr>
                <w:rFonts w:cs="Times New Roman"/>
                <w:sz w:val="30"/>
                <w:szCs w:val="30"/>
              </w:rPr>
            </w:pPr>
            <w:r>
              <w:rPr>
                <w:rFonts w:cs="Times New Roman"/>
                <w:szCs w:val="30"/>
              </w:rPr>
              <w:t>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104" w:type="dxa"/>
          </w:tcPr>
          <w:p>
            <w:pPr>
              <w:ind w:firstLine="0" w:firstLineChars="0"/>
              <w:jc w:val="center"/>
              <w:rPr>
                <w:rFonts w:cs="Times New Roman"/>
                <w:sz w:val="30"/>
                <w:szCs w:val="30"/>
              </w:rPr>
            </w:pPr>
            <w:r>
              <w:rPr>
                <w:rFonts w:cs="Times New Roman"/>
                <w:szCs w:val="30"/>
              </w:rPr>
              <w:t>9</w:t>
            </w:r>
          </w:p>
        </w:tc>
        <w:tc>
          <w:tcPr>
            <w:tcW w:w="2003" w:type="dxa"/>
          </w:tcPr>
          <w:p>
            <w:pPr>
              <w:ind w:firstLine="0" w:firstLineChars="0"/>
              <w:rPr>
                <w:rFonts w:ascii="仿宋_GB2312"/>
                <w:sz w:val="30"/>
                <w:szCs w:val="30"/>
              </w:rPr>
            </w:pPr>
            <w:r>
              <w:rPr>
                <w:rFonts w:hint="eastAsia" w:ascii="仿宋_GB2312"/>
                <w:sz w:val="30"/>
                <w:szCs w:val="30"/>
              </w:rPr>
              <w:t>材质</w:t>
            </w:r>
          </w:p>
        </w:tc>
        <w:tc>
          <w:tcPr>
            <w:tcW w:w="3540" w:type="dxa"/>
          </w:tcPr>
          <w:p>
            <w:pPr>
              <w:ind w:firstLine="0" w:firstLineChars="0"/>
              <w:rPr>
                <w:rFonts w:ascii="仿宋_GB2312"/>
                <w:sz w:val="30"/>
                <w:szCs w:val="30"/>
              </w:rPr>
            </w:pPr>
            <w:r>
              <w:rPr>
                <w:rFonts w:hint="eastAsia" w:ascii="仿宋_GB2312"/>
                <w:sz w:val="30"/>
                <w:szCs w:val="30"/>
              </w:rPr>
              <w:t>判断失效机理</w:t>
            </w:r>
          </w:p>
        </w:tc>
        <w:tc>
          <w:tcPr>
            <w:tcW w:w="2020" w:type="dxa"/>
          </w:tcPr>
          <w:p>
            <w:pPr>
              <w:ind w:firstLine="0" w:firstLineChars="0"/>
              <w:rPr>
                <w:rFonts w:cs="Times New Roman"/>
                <w:sz w:val="30"/>
                <w:szCs w:val="30"/>
              </w:rPr>
            </w:pPr>
            <w:r>
              <w:rPr>
                <w:rFonts w:cs="Times New Roman"/>
                <w:szCs w:val="30"/>
              </w:rPr>
              <w:t>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104" w:type="dxa"/>
          </w:tcPr>
          <w:p>
            <w:pPr>
              <w:ind w:firstLine="0" w:firstLineChars="0"/>
              <w:jc w:val="center"/>
              <w:rPr>
                <w:rFonts w:cs="Times New Roman"/>
                <w:sz w:val="30"/>
                <w:szCs w:val="30"/>
              </w:rPr>
            </w:pPr>
            <w:r>
              <w:rPr>
                <w:rFonts w:cs="Times New Roman"/>
                <w:szCs w:val="30"/>
              </w:rPr>
              <w:t>10</w:t>
            </w:r>
          </w:p>
        </w:tc>
        <w:tc>
          <w:tcPr>
            <w:tcW w:w="2003" w:type="dxa"/>
          </w:tcPr>
          <w:p>
            <w:pPr>
              <w:ind w:firstLine="0" w:firstLineChars="0"/>
              <w:rPr>
                <w:rFonts w:ascii="仿宋_GB2312"/>
                <w:sz w:val="30"/>
                <w:szCs w:val="30"/>
              </w:rPr>
            </w:pPr>
            <w:r>
              <w:rPr>
                <w:rFonts w:hint="eastAsia" w:ascii="仿宋_GB2312"/>
                <w:sz w:val="30"/>
                <w:szCs w:val="30"/>
              </w:rPr>
              <w:t>使用年限</w:t>
            </w:r>
          </w:p>
        </w:tc>
        <w:tc>
          <w:tcPr>
            <w:tcW w:w="3540" w:type="dxa"/>
          </w:tcPr>
          <w:p>
            <w:pPr>
              <w:ind w:firstLine="0" w:firstLineChars="0"/>
              <w:rPr>
                <w:rFonts w:ascii="仿宋_GB2312"/>
                <w:sz w:val="30"/>
                <w:szCs w:val="30"/>
              </w:rPr>
            </w:pPr>
            <w:r>
              <w:rPr>
                <w:rFonts w:hint="eastAsia" w:ascii="仿宋_GB2312"/>
                <w:sz w:val="30"/>
                <w:szCs w:val="30"/>
              </w:rPr>
              <w:t>判断失效概率</w:t>
            </w:r>
          </w:p>
        </w:tc>
        <w:tc>
          <w:tcPr>
            <w:tcW w:w="2020" w:type="dxa"/>
          </w:tcPr>
          <w:p>
            <w:pPr>
              <w:ind w:firstLine="0" w:firstLineChars="0"/>
              <w:rPr>
                <w:rFonts w:cs="Times New Roman"/>
                <w:sz w:val="30"/>
                <w:szCs w:val="30"/>
              </w:rPr>
            </w:pPr>
            <w:r>
              <w:rPr>
                <w:rFonts w:cs="Times New Roman"/>
                <w:szCs w:val="30"/>
              </w:rPr>
              <w: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880" w:hRule="atLeast"/>
          <w:jc w:val="center"/>
        </w:trPr>
        <w:tc>
          <w:tcPr>
            <w:tcW w:w="1104" w:type="dxa"/>
          </w:tcPr>
          <w:p>
            <w:pPr>
              <w:ind w:firstLine="0" w:firstLineChars="0"/>
              <w:jc w:val="center"/>
              <w:rPr>
                <w:rFonts w:cs="Times New Roman"/>
                <w:sz w:val="30"/>
                <w:szCs w:val="30"/>
              </w:rPr>
            </w:pPr>
            <w:r>
              <w:rPr>
                <w:rFonts w:cs="Times New Roman"/>
                <w:szCs w:val="30"/>
              </w:rPr>
              <w:t>11</w:t>
            </w:r>
          </w:p>
        </w:tc>
        <w:tc>
          <w:tcPr>
            <w:tcW w:w="2003" w:type="dxa"/>
          </w:tcPr>
          <w:p>
            <w:pPr>
              <w:ind w:firstLine="0" w:firstLineChars="0"/>
              <w:rPr>
                <w:rFonts w:ascii="仿宋_GB2312"/>
                <w:sz w:val="30"/>
                <w:szCs w:val="30"/>
              </w:rPr>
            </w:pPr>
            <w:r>
              <w:rPr>
                <w:rFonts w:hint="eastAsia" w:ascii="仿宋_GB2312"/>
                <w:sz w:val="30"/>
                <w:szCs w:val="30"/>
              </w:rPr>
              <w:t>管道检验信息</w:t>
            </w:r>
          </w:p>
        </w:tc>
        <w:tc>
          <w:tcPr>
            <w:tcW w:w="3540" w:type="dxa"/>
          </w:tcPr>
          <w:p>
            <w:pPr>
              <w:ind w:firstLine="0" w:firstLineChars="0"/>
              <w:rPr>
                <w:rFonts w:ascii="仿宋_GB2312"/>
                <w:sz w:val="30"/>
                <w:szCs w:val="30"/>
              </w:rPr>
            </w:pPr>
            <w:r>
              <w:rPr>
                <w:rFonts w:hint="eastAsia"/>
                <w:szCs w:val="30"/>
              </w:rPr>
              <w:t>1</w:t>
            </w:r>
            <w:r>
              <w:rPr>
                <w:rFonts w:hint="eastAsia" w:ascii="仿宋_GB2312"/>
                <w:sz w:val="30"/>
                <w:szCs w:val="30"/>
              </w:rPr>
              <w:t>、判断是否超期；</w:t>
            </w:r>
            <w:r>
              <w:rPr>
                <w:rFonts w:hint="eastAsia"/>
                <w:szCs w:val="30"/>
              </w:rPr>
              <w:t>2</w:t>
            </w:r>
            <w:r>
              <w:rPr>
                <w:rFonts w:hint="eastAsia" w:ascii="仿宋_GB2312"/>
                <w:sz w:val="30"/>
                <w:szCs w:val="30"/>
              </w:rPr>
              <w:t>、根据历次检验发现的缺陷情况预判风险</w:t>
            </w:r>
          </w:p>
        </w:tc>
        <w:tc>
          <w:tcPr>
            <w:tcW w:w="2020" w:type="dxa"/>
          </w:tcPr>
          <w:p>
            <w:pPr>
              <w:ind w:firstLine="0" w:firstLineChars="0"/>
              <w:rPr>
                <w:rFonts w:ascii="仿宋_GB2312"/>
                <w:sz w:val="30"/>
                <w:szCs w:val="30"/>
              </w:rPr>
            </w:pPr>
            <w:r>
              <w:rPr>
                <w:rFonts w:eastAsia="宋体" w:cs="Times New Roman"/>
                <w:szCs w:val="30"/>
              </w:rPr>
              <w:t>Exp</w:t>
            </w:r>
            <w:r>
              <w:rPr>
                <w:rFonts w:hint="eastAsia" w:ascii="仿宋_GB2312"/>
                <w:sz w:val="30"/>
                <w:szCs w:val="30"/>
              </w:rPr>
              <w:t>本体</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375" w:hRule="atLeast"/>
          <w:jc w:val="center"/>
        </w:trPr>
        <w:tc>
          <w:tcPr>
            <w:tcW w:w="1104" w:type="dxa"/>
          </w:tcPr>
          <w:p>
            <w:pPr>
              <w:ind w:firstLine="0" w:firstLineChars="0"/>
              <w:jc w:val="center"/>
              <w:rPr>
                <w:rFonts w:cs="Times New Roman"/>
                <w:sz w:val="30"/>
                <w:szCs w:val="30"/>
              </w:rPr>
            </w:pPr>
            <w:r>
              <w:rPr>
                <w:rFonts w:cs="Times New Roman"/>
                <w:szCs w:val="30"/>
              </w:rPr>
              <w:t>12</w:t>
            </w:r>
          </w:p>
        </w:tc>
        <w:tc>
          <w:tcPr>
            <w:tcW w:w="2003" w:type="dxa"/>
          </w:tcPr>
          <w:p>
            <w:pPr>
              <w:ind w:firstLine="0" w:firstLineChars="0"/>
              <w:rPr>
                <w:rFonts w:ascii="仿宋_GB2312"/>
                <w:sz w:val="30"/>
                <w:szCs w:val="30"/>
              </w:rPr>
            </w:pPr>
            <w:r>
              <w:rPr>
                <w:rFonts w:hint="eastAsia" w:ascii="仿宋_GB2312"/>
                <w:sz w:val="30"/>
                <w:szCs w:val="30"/>
              </w:rPr>
              <w:t>安全附件检验有效期</w:t>
            </w:r>
          </w:p>
        </w:tc>
        <w:tc>
          <w:tcPr>
            <w:tcW w:w="3540" w:type="dxa"/>
          </w:tcPr>
          <w:p>
            <w:pPr>
              <w:ind w:firstLine="0" w:firstLineChars="0"/>
              <w:rPr>
                <w:rFonts w:ascii="仿宋_GB2312"/>
                <w:sz w:val="30"/>
                <w:szCs w:val="30"/>
              </w:rPr>
            </w:pPr>
            <w:r>
              <w:rPr>
                <w:rFonts w:hint="eastAsia" w:ascii="仿宋_GB2312"/>
                <w:sz w:val="30"/>
                <w:szCs w:val="30"/>
              </w:rPr>
              <w:t>判断是否超期</w:t>
            </w:r>
          </w:p>
        </w:tc>
        <w:tc>
          <w:tcPr>
            <w:tcW w:w="2020" w:type="dxa"/>
          </w:tcPr>
          <w:p>
            <w:pPr>
              <w:ind w:firstLine="0" w:firstLineChars="0"/>
              <w:rPr>
                <w:rFonts w:ascii="仿宋_GB2312"/>
                <w:sz w:val="30"/>
                <w:szCs w:val="30"/>
              </w:rPr>
            </w:pPr>
            <w:r>
              <w:rPr>
                <w:rFonts w:cs="Times New Roman"/>
                <w:szCs w:val="30"/>
              </w:rPr>
              <w:t>Exp</w:t>
            </w:r>
            <w:r>
              <w:rPr>
                <w:rFonts w:hint="eastAsia" w:ascii="仿宋_GB2312"/>
                <w:sz w:val="30"/>
                <w:szCs w:val="30"/>
              </w:rPr>
              <w:t>附件</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60" w:hRule="atLeast"/>
          <w:jc w:val="center"/>
        </w:trPr>
        <w:tc>
          <w:tcPr>
            <w:tcW w:w="1104" w:type="dxa"/>
          </w:tcPr>
          <w:p>
            <w:pPr>
              <w:ind w:firstLine="0" w:firstLineChars="0"/>
              <w:jc w:val="center"/>
              <w:rPr>
                <w:rFonts w:cs="Times New Roman"/>
                <w:sz w:val="30"/>
                <w:szCs w:val="30"/>
              </w:rPr>
            </w:pPr>
            <w:r>
              <w:rPr>
                <w:rFonts w:cs="Times New Roman"/>
                <w:szCs w:val="30"/>
              </w:rPr>
              <w:t>13</w:t>
            </w:r>
          </w:p>
        </w:tc>
        <w:tc>
          <w:tcPr>
            <w:tcW w:w="2003" w:type="dxa"/>
          </w:tcPr>
          <w:p>
            <w:pPr>
              <w:ind w:firstLine="0" w:firstLineChars="0"/>
              <w:rPr>
                <w:rFonts w:ascii="仿宋_GB2312"/>
                <w:sz w:val="30"/>
                <w:szCs w:val="30"/>
              </w:rPr>
            </w:pPr>
            <w:r>
              <w:rPr>
                <w:rFonts w:hint="eastAsia" w:ascii="仿宋_GB2312"/>
                <w:sz w:val="30"/>
                <w:szCs w:val="30"/>
              </w:rPr>
              <w:t>管道类别</w:t>
            </w:r>
          </w:p>
        </w:tc>
        <w:tc>
          <w:tcPr>
            <w:tcW w:w="3540" w:type="dxa"/>
          </w:tcPr>
          <w:p>
            <w:pPr>
              <w:ind w:firstLine="0" w:firstLineChars="0"/>
              <w:rPr>
                <w:rFonts w:ascii="仿宋_GB2312"/>
                <w:sz w:val="30"/>
                <w:szCs w:val="30"/>
              </w:rPr>
            </w:pPr>
            <w:r>
              <w:rPr>
                <w:rFonts w:hint="eastAsia" w:ascii="仿宋_GB2312"/>
                <w:sz w:val="30"/>
                <w:szCs w:val="30"/>
              </w:rPr>
              <w:t>基础参数</w:t>
            </w:r>
          </w:p>
        </w:tc>
        <w:tc>
          <w:tcPr>
            <w:tcW w:w="2020" w:type="dxa"/>
          </w:tcPr>
          <w:p>
            <w:pPr>
              <w:ind w:firstLine="0" w:firstLineChars="0"/>
              <w:rPr>
                <w:rFonts w:ascii="仿宋_GB2312"/>
                <w:sz w:val="30"/>
                <w:szCs w:val="30"/>
              </w:rPr>
            </w:pPr>
            <w:r>
              <w:rPr>
                <w:rFonts w:cs="Times New Roman"/>
                <w:szCs w:val="30"/>
              </w:rPr>
              <w:t>L</w:t>
            </w:r>
          </w:p>
        </w:tc>
      </w:tr>
    </w:tbl>
    <w:p>
      <w:pPr>
        <w:pStyle w:val="6"/>
        <w:numPr>
          <w:ilvl w:val="0"/>
          <w:numId w:val="90"/>
        </w:numPr>
        <w:ind w:left="0" w:firstLine="640"/>
        <w:rPr>
          <w:rFonts w:ascii="仿宋_GB2312"/>
          <w:szCs w:val="32"/>
        </w:rPr>
      </w:pPr>
      <w:r>
        <w:rPr>
          <w:rFonts w:hint="eastAsia" w:ascii="仿宋_GB2312"/>
          <w:szCs w:val="32"/>
        </w:rPr>
        <w:t>高危害性压力管道云监测数据</w:t>
      </w:r>
    </w:p>
    <w:tbl>
      <w:tblPr>
        <w:tblStyle w:val="27"/>
        <w:tblW w:w="8643" w:type="dxa"/>
        <w:tblInd w:w="22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071"/>
        <w:gridCol w:w="2024"/>
        <w:gridCol w:w="2072"/>
        <w:gridCol w:w="347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71" w:type="dxa"/>
          </w:tcPr>
          <w:p>
            <w:pPr>
              <w:ind w:firstLine="0" w:firstLineChars="0"/>
              <w:jc w:val="center"/>
              <w:rPr>
                <w:rFonts w:ascii="仿宋_GB2312"/>
                <w:sz w:val="30"/>
                <w:szCs w:val="30"/>
              </w:rPr>
            </w:pPr>
            <w:r>
              <w:rPr>
                <w:rFonts w:hint="eastAsia" w:ascii="仿宋_GB2312"/>
                <w:sz w:val="30"/>
                <w:szCs w:val="30"/>
              </w:rPr>
              <w:t>序号</w:t>
            </w:r>
          </w:p>
        </w:tc>
        <w:tc>
          <w:tcPr>
            <w:tcW w:w="2024" w:type="dxa"/>
          </w:tcPr>
          <w:p>
            <w:pPr>
              <w:ind w:firstLine="0" w:firstLineChars="0"/>
              <w:jc w:val="center"/>
              <w:rPr>
                <w:rFonts w:ascii="仿宋_GB2312"/>
                <w:sz w:val="30"/>
                <w:szCs w:val="30"/>
              </w:rPr>
            </w:pPr>
            <w:r>
              <w:rPr>
                <w:rFonts w:hint="eastAsia" w:ascii="仿宋_GB2312"/>
                <w:sz w:val="30"/>
                <w:szCs w:val="30"/>
              </w:rPr>
              <w:t>数据名称</w:t>
            </w:r>
          </w:p>
        </w:tc>
        <w:tc>
          <w:tcPr>
            <w:tcW w:w="2072" w:type="dxa"/>
          </w:tcPr>
          <w:p>
            <w:pPr>
              <w:ind w:firstLine="0" w:firstLineChars="0"/>
              <w:jc w:val="center"/>
              <w:rPr>
                <w:rFonts w:ascii="仿宋_GB2312"/>
                <w:sz w:val="30"/>
                <w:szCs w:val="30"/>
              </w:rPr>
            </w:pPr>
            <w:r>
              <w:rPr>
                <w:rFonts w:hint="eastAsia" w:ascii="仿宋_GB2312"/>
                <w:sz w:val="30"/>
                <w:szCs w:val="30"/>
              </w:rPr>
              <w:t>数据来源</w:t>
            </w:r>
          </w:p>
        </w:tc>
        <w:tc>
          <w:tcPr>
            <w:tcW w:w="3476" w:type="dxa"/>
          </w:tcPr>
          <w:p>
            <w:pPr>
              <w:ind w:firstLine="0" w:firstLineChars="0"/>
              <w:jc w:val="center"/>
              <w:rPr>
                <w:rFonts w:ascii="仿宋_GB2312"/>
                <w:sz w:val="30"/>
                <w:szCs w:val="30"/>
              </w:rPr>
            </w:pPr>
            <w:r>
              <w:rPr>
                <w:rFonts w:hint="eastAsia" w:ascii="仿宋_GB2312"/>
                <w:sz w:val="30"/>
                <w:szCs w:val="30"/>
              </w:rPr>
              <w:t>数据用途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71" w:type="dxa"/>
          </w:tcPr>
          <w:p>
            <w:pPr>
              <w:ind w:firstLine="0" w:firstLineChars="0"/>
              <w:jc w:val="center"/>
              <w:rPr>
                <w:rFonts w:cs="Times New Roman"/>
                <w:sz w:val="30"/>
                <w:szCs w:val="30"/>
              </w:rPr>
            </w:pPr>
            <w:r>
              <w:rPr>
                <w:rFonts w:cs="Times New Roman"/>
                <w:szCs w:val="30"/>
              </w:rPr>
              <w:t>1</w:t>
            </w:r>
          </w:p>
        </w:tc>
        <w:tc>
          <w:tcPr>
            <w:tcW w:w="2024" w:type="dxa"/>
          </w:tcPr>
          <w:p>
            <w:pPr>
              <w:ind w:firstLine="0" w:firstLineChars="0"/>
              <w:rPr>
                <w:rFonts w:ascii="仿宋_GB2312"/>
                <w:sz w:val="30"/>
                <w:szCs w:val="30"/>
              </w:rPr>
            </w:pPr>
            <w:r>
              <w:rPr>
                <w:rFonts w:hint="eastAsia" w:ascii="仿宋_GB2312"/>
                <w:sz w:val="30"/>
                <w:szCs w:val="30"/>
              </w:rPr>
              <w:t>压力</w:t>
            </w:r>
          </w:p>
        </w:tc>
        <w:tc>
          <w:tcPr>
            <w:tcW w:w="2072" w:type="dxa"/>
          </w:tcPr>
          <w:p>
            <w:pPr>
              <w:ind w:firstLine="0" w:firstLineChars="0"/>
              <w:rPr>
                <w:rFonts w:ascii="仿宋_GB2312"/>
                <w:sz w:val="30"/>
                <w:szCs w:val="30"/>
              </w:rPr>
            </w:pPr>
            <w:r>
              <w:rPr>
                <w:rFonts w:hint="eastAsia" w:ascii="仿宋_GB2312"/>
                <w:sz w:val="30"/>
                <w:szCs w:val="30"/>
              </w:rPr>
              <w:t>现场传感器</w:t>
            </w:r>
          </w:p>
        </w:tc>
        <w:tc>
          <w:tcPr>
            <w:tcW w:w="3476" w:type="dxa"/>
          </w:tcPr>
          <w:p>
            <w:pPr>
              <w:ind w:firstLine="0" w:firstLineChars="0"/>
              <w:rPr>
                <w:rFonts w:ascii="仿宋_GB2312"/>
                <w:sz w:val="30"/>
                <w:szCs w:val="30"/>
              </w:rPr>
            </w:pPr>
            <w:r>
              <w:rPr>
                <w:rFonts w:hint="eastAsia" w:ascii="仿宋_GB2312"/>
                <w:sz w:val="30"/>
                <w:szCs w:val="30"/>
              </w:rPr>
              <w:t>判断是否工艺稳定</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71" w:type="dxa"/>
          </w:tcPr>
          <w:p>
            <w:pPr>
              <w:ind w:firstLine="0" w:firstLineChars="0"/>
              <w:jc w:val="center"/>
              <w:rPr>
                <w:rFonts w:cs="Times New Roman"/>
                <w:sz w:val="30"/>
                <w:szCs w:val="30"/>
              </w:rPr>
            </w:pPr>
            <w:r>
              <w:rPr>
                <w:rFonts w:cs="Times New Roman"/>
                <w:szCs w:val="30"/>
              </w:rPr>
              <w:t>2</w:t>
            </w:r>
          </w:p>
        </w:tc>
        <w:tc>
          <w:tcPr>
            <w:tcW w:w="2024" w:type="dxa"/>
          </w:tcPr>
          <w:p>
            <w:pPr>
              <w:ind w:firstLine="0" w:firstLineChars="0"/>
              <w:rPr>
                <w:rFonts w:ascii="仿宋_GB2312"/>
                <w:sz w:val="30"/>
                <w:szCs w:val="30"/>
              </w:rPr>
            </w:pPr>
            <w:r>
              <w:rPr>
                <w:rFonts w:hint="eastAsia" w:ascii="仿宋_GB2312"/>
                <w:sz w:val="30"/>
                <w:szCs w:val="30"/>
              </w:rPr>
              <w:t>温度</w:t>
            </w:r>
          </w:p>
        </w:tc>
        <w:tc>
          <w:tcPr>
            <w:tcW w:w="2072" w:type="dxa"/>
          </w:tcPr>
          <w:p>
            <w:pPr>
              <w:ind w:firstLine="0" w:firstLineChars="0"/>
              <w:rPr>
                <w:rFonts w:ascii="仿宋_GB2312"/>
                <w:sz w:val="30"/>
                <w:szCs w:val="30"/>
              </w:rPr>
            </w:pPr>
            <w:r>
              <w:rPr>
                <w:rFonts w:hint="eastAsia" w:ascii="仿宋_GB2312"/>
                <w:sz w:val="30"/>
                <w:szCs w:val="30"/>
              </w:rPr>
              <w:t>现场传感器</w:t>
            </w:r>
          </w:p>
        </w:tc>
        <w:tc>
          <w:tcPr>
            <w:tcW w:w="3476" w:type="dxa"/>
          </w:tcPr>
          <w:p>
            <w:pPr>
              <w:ind w:firstLine="0" w:firstLineChars="0"/>
              <w:rPr>
                <w:rFonts w:ascii="仿宋_GB2312"/>
                <w:sz w:val="30"/>
                <w:szCs w:val="30"/>
              </w:rPr>
            </w:pPr>
            <w:r>
              <w:rPr>
                <w:rFonts w:hint="eastAsia" w:ascii="仿宋_GB2312"/>
                <w:sz w:val="30"/>
                <w:szCs w:val="30"/>
              </w:rPr>
              <w:t>判断是否工艺稳定</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71" w:type="dxa"/>
          </w:tcPr>
          <w:p>
            <w:pPr>
              <w:ind w:firstLine="0" w:firstLineChars="0"/>
              <w:jc w:val="center"/>
              <w:rPr>
                <w:rFonts w:cs="Times New Roman"/>
                <w:sz w:val="30"/>
                <w:szCs w:val="30"/>
              </w:rPr>
            </w:pPr>
            <w:r>
              <w:rPr>
                <w:rFonts w:cs="Times New Roman"/>
                <w:szCs w:val="30"/>
              </w:rPr>
              <w:t>3</w:t>
            </w:r>
          </w:p>
        </w:tc>
        <w:tc>
          <w:tcPr>
            <w:tcW w:w="2024" w:type="dxa"/>
          </w:tcPr>
          <w:p>
            <w:pPr>
              <w:ind w:firstLine="0" w:firstLineChars="0"/>
              <w:rPr>
                <w:rFonts w:ascii="仿宋_GB2312"/>
                <w:sz w:val="30"/>
                <w:szCs w:val="30"/>
              </w:rPr>
            </w:pPr>
            <w:r>
              <w:rPr>
                <w:rFonts w:hint="eastAsia" w:ascii="仿宋_GB2312"/>
                <w:sz w:val="30"/>
                <w:szCs w:val="30"/>
              </w:rPr>
              <w:t>改造和修理</w:t>
            </w:r>
          </w:p>
        </w:tc>
        <w:tc>
          <w:tcPr>
            <w:tcW w:w="2072" w:type="dxa"/>
          </w:tcPr>
          <w:p>
            <w:pPr>
              <w:ind w:firstLine="0" w:firstLineChars="0"/>
              <w:rPr>
                <w:rFonts w:ascii="仿宋_GB2312"/>
                <w:sz w:val="30"/>
                <w:szCs w:val="30"/>
              </w:rPr>
            </w:pPr>
            <w:r>
              <w:rPr>
                <w:rFonts w:hint="eastAsia" w:ascii="仿宋_GB2312"/>
                <w:sz w:val="30"/>
                <w:szCs w:val="30"/>
              </w:rPr>
              <w:t>企业告知情况</w:t>
            </w:r>
          </w:p>
        </w:tc>
        <w:tc>
          <w:tcPr>
            <w:tcW w:w="3476" w:type="dxa"/>
          </w:tcPr>
          <w:p>
            <w:pPr>
              <w:ind w:firstLine="0" w:firstLineChars="0"/>
              <w:rPr>
                <w:rFonts w:ascii="仿宋_GB2312"/>
                <w:sz w:val="30"/>
                <w:szCs w:val="30"/>
              </w:rPr>
            </w:pPr>
            <w:r>
              <w:rPr>
                <w:rFonts w:hint="eastAsia" w:ascii="仿宋_GB2312"/>
                <w:sz w:val="30"/>
                <w:szCs w:val="30"/>
              </w:rPr>
              <w:t>判断管道状态是否变更，变更是否会带来隐患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71" w:type="dxa"/>
          </w:tcPr>
          <w:p>
            <w:pPr>
              <w:ind w:firstLine="0" w:firstLineChars="0"/>
              <w:jc w:val="center"/>
              <w:rPr>
                <w:rFonts w:cs="Times New Roman"/>
                <w:sz w:val="30"/>
                <w:szCs w:val="30"/>
              </w:rPr>
            </w:pPr>
            <w:r>
              <w:rPr>
                <w:rFonts w:cs="Times New Roman"/>
                <w:szCs w:val="30"/>
              </w:rPr>
              <w:t>4</w:t>
            </w:r>
          </w:p>
        </w:tc>
        <w:tc>
          <w:tcPr>
            <w:tcW w:w="2024" w:type="dxa"/>
          </w:tcPr>
          <w:p>
            <w:pPr>
              <w:ind w:firstLine="0" w:firstLineChars="0"/>
              <w:rPr>
                <w:rFonts w:ascii="仿宋_GB2312"/>
                <w:sz w:val="30"/>
                <w:szCs w:val="30"/>
              </w:rPr>
            </w:pPr>
            <w:r>
              <w:rPr>
                <w:rFonts w:hint="eastAsia" w:ascii="仿宋_GB2312"/>
                <w:sz w:val="30"/>
                <w:szCs w:val="30"/>
              </w:rPr>
              <w:t>风向</w:t>
            </w:r>
          </w:p>
        </w:tc>
        <w:tc>
          <w:tcPr>
            <w:tcW w:w="2072" w:type="dxa"/>
          </w:tcPr>
          <w:p>
            <w:pPr>
              <w:ind w:firstLine="0" w:firstLineChars="0"/>
              <w:rPr>
                <w:rFonts w:ascii="仿宋_GB2312"/>
                <w:sz w:val="30"/>
                <w:szCs w:val="30"/>
              </w:rPr>
            </w:pPr>
            <w:r>
              <w:rPr>
                <w:rFonts w:hint="eastAsia" w:ascii="仿宋_GB2312"/>
                <w:sz w:val="30"/>
                <w:szCs w:val="30"/>
              </w:rPr>
              <w:t>气象局大数据平台</w:t>
            </w:r>
          </w:p>
        </w:tc>
        <w:tc>
          <w:tcPr>
            <w:tcW w:w="3476" w:type="dxa"/>
          </w:tcPr>
          <w:p>
            <w:pPr>
              <w:ind w:firstLine="0" w:firstLineChars="0"/>
              <w:rPr>
                <w:rFonts w:ascii="仿宋_GB2312"/>
                <w:sz w:val="30"/>
                <w:szCs w:val="30"/>
              </w:rPr>
            </w:pPr>
            <w:r>
              <w:rPr>
                <w:rFonts w:hint="eastAsia" w:ascii="仿宋_GB2312"/>
                <w:sz w:val="30"/>
                <w:szCs w:val="30"/>
              </w:rPr>
              <w:t>指导发生事故时的疏散</w:t>
            </w:r>
          </w:p>
        </w:tc>
      </w:tr>
    </w:tbl>
    <w:p>
      <w:pPr>
        <w:pStyle w:val="6"/>
        <w:numPr>
          <w:ilvl w:val="0"/>
          <w:numId w:val="90"/>
        </w:numPr>
        <w:ind w:left="0" w:firstLine="640"/>
        <w:rPr>
          <w:rFonts w:ascii="仿宋_GB2312"/>
          <w:szCs w:val="32"/>
        </w:rPr>
      </w:pPr>
      <w:r>
        <w:rPr>
          <w:rFonts w:hint="eastAsia" w:ascii="仿宋_GB2312"/>
          <w:szCs w:val="32"/>
        </w:rPr>
        <w:t>高危害性压力管道中的特殊类别需额外监控的数据</w:t>
      </w:r>
    </w:p>
    <w:tbl>
      <w:tblPr>
        <w:tblStyle w:val="27"/>
        <w:tblW w:w="8658" w:type="dxa"/>
        <w:tblInd w:w="22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079"/>
        <w:gridCol w:w="1421"/>
        <w:gridCol w:w="1500"/>
        <w:gridCol w:w="1869"/>
        <w:gridCol w:w="278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79" w:type="dxa"/>
          </w:tcPr>
          <w:p>
            <w:pPr>
              <w:ind w:firstLine="0" w:firstLineChars="0"/>
              <w:jc w:val="center"/>
              <w:rPr>
                <w:rFonts w:ascii="仿宋_GB2312"/>
                <w:sz w:val="30"/>
                <w:szCs w:val="30"/>
              </w:rPr>
            </w:pPr>
            <w:r>
              <w:rPr>
                <w:rFonts w:hint="eastAsia" w:ascii="仿宋_GB2312"/>
                <w:sz w:val="30"/>
                <w:szCs w:val="30"/>
              </w:rPr>
              <w:t>序号</w:t>
            </w:r>
          </w:p>
        </w:tc>
        <w:tc>
          <w:tcPr>
            <w:tcW w:w="1421" w:type="dxa"/>
          </w:tcPr>
          <w:p>
            <w:pPr>
              <w:ind w:firstLine="0" w:firstLineChars="0"/>
              <w:jc w:val="center"/>
              <w:rPr>
                <w:rFonts w:ascii="仿宋_GB2312"/>
                <w:sz w:val="30"/>
                <w:szCs w:val="30"/>
              </w:rPr>
            </w:pPr>
            <w:r>
              <w:rPr>
                <w:rFonts w:hint="eastAsia" w:ascii="仿宋_GB2312"/>
                <w:sz w:val="30"/>
                <w:szCs w:val="30"/>
              </w:rPr>
              <w:t>特殊类别</w:t>
            </w:r>
          </w:p>
        </w:tc>
        <w:tc>
          <w:tcPr>
            <w:tcW w:w="1500" w:type="dxa"/>
          </w:tcPr>
          <w:p>
            <w:pPr>
              <w:ind w:firstLine="0" w:firstLineChars="0"/>
              <w:jc w:val="center"/>
              <w:rPr>
                <w:rFonts w:ascii="仿宋_GB2312"/>
                <w:sz w:val="30"/>
                <w:szCs w:val="30"/>
              </w:rPr>
            </w:pPr>
            <w:r>
              <w:rPr>
                <w:rFonts w:hint="eastAsia" w:ascii="仿宋_GB2312"/>
                <w:sz w:val="30"/>
                <w:szCs w:val="30"/>
              </w:rPr>
              <w:t>数据名称</w:t>
            </w:r>
          </w:p>
        </w:tc>
        <w:tc>
          <w:tcPr>
            <w:tcW w:w="1869" w:type="dxa"/>
          </w:tcPr>
          <w:p>
            <w:pPr>
              <w:ind w:firstLine="0" w:firstLineChars="0"/>
              <w:jc w:val="center"/>
              <w:rPr>
                <w:rFonts w:ascii="仿宋_GB2312"/>
                <w:sz w:val="30"/>
                <w:szCs w:val="30"/>
              </w:rPr>
            </w:pPr>
            <w:r>
              <w:rPr>
                <w:rFonts w:hint="eastAsia" w:ascii="仿宋_GB2312"/>
                <w:sz w:val="30"/>
                <w:szCs w:val="30"/>
              </w:rPr>
              <w:t>数据来源</w:t>
            </w:r>
          </w:p>
        </w:tc>
        <w:tc>
          <w:tcPr>
            <w:tcW w:w="2789" w:type="dxa"/>
          </w:tcPr>
          <w:p>
            <w:pPr>
              <w:ind w:firstLine="0" w:firstLineChars="0"/>
              <w:jc w:val="center"/>
              <w:rPr>
                <w:rFonts w:ascii="仿宋_GB2312"/>
                <w:sz w:val="30"/>
                <w:szCs w:val="30"/>
              </w:rPr>
            </w:pPr>
            <w:r>
              <w:rPr>
                <w:rFonts w:hint="eastAsia" w:ascii="仿宋_GB2312"/>
                <w:sz w:val="30"/>
                <w:szCs w:val="30"/>
              </w:rPr>
              <w:t>数据用途</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79" w:type="dxa"/>
          </w:tcPr>
          <w:p>
            <w:pPr>
              <w:ind w:firstLine="0" w:firstLineChars="0"/>
              <w:jc w:val="center"/>
              <w:rPr>
                <w:rFonts w:ascii="仿宋_GB2312"/>
                <w:sz w:val="30"/>
                <w:szCs w:val="30"/>
              </w:rPr>
            </w:pPr>
            <w:r>
              <w:rPr>
                <w:rFonts w:cs="Times New Roman"/>
                <w:szCs w:val="30"/>
              </w:rPr>
              <w:t>1</w:t>
            </w:r>
          </w:p>
        </w:tc>
        <w:tc>
          <w:tcPr>
            <w:tcW w:w="1421" w:type="dxa"/>
          </w:tcPr>
          <w:p>
            <w:pPr>
              <w:ind w:firstLine="0" w:firstLineChars="0"/>
              <w:rPr>
                <w:rFonts w:ascii="仿宋_GB2312"/>
                <w:sz w:val="30"/>
                <w:szCs w:val="30"/>
              </w:rPr>
            </w:pPr>
            <w:r>
              <w:rPr>
                <w:rFonts w:hint="eastAsia" w:ascii="仿宋_GB2312"/>
                <w:sz w:val="30"/>
                <w:szCs w:val="30"/>
              </w:rPr>
              <w:t>泄漏情况检测</w:t>
            </w:r>
          </w:p>
        </w:tc>
        <w:tc>
          <w:tcPr>
            <w:tcW w:w="1500" w:type="dxa"/>
          </w:tcPr>
          <w:p>
            <w:pPr>
              <w:ind w:firstLine="0" w:firstLineChars="0"/>
              <w:rPr>
                <w:rFonts w:ascii="仿宋_GB2312"/>
                <w:sz w:val="30"/>
                <w:szCs w:val="30"/>
              </w:rPr>
            </w:pPr>
            <w:r>
              <w:rPr>
                <w:rFonts w:hint="eastAsia" w:ascii="仿宋_GB2312"/>
                <w:sz w:val="30"/>
                <w:szCs w:val="30"/>
              </w:rPr>
              <w:t>介质泄漏</w:t>
            </w:r>
          </w:p>
        </w:tc>
        <w:tc>
          <w:tcPr>
            <w:tcW w:w="1869" w:type="dxa"/>
          </w:tcPr>
          <w:p>
            <w:pPr>
              <w:ind w:firstLine="0" w:firstLineChars="0"/>
              <w:rPr>
                <w:rFonts w:ascii="仿宋_GB2312"/>
                <w:sz w:val="30"/>
                <w:szCs w:val="30"/>
              </w:rPr>
            </w:pPr>
            <w:r>
              <w:rPr>
                <w:rFonts w:hint="eastAsia" w:ascii="仿宋_GB2312"/>
                <w:sz w:val="30"/>
                <w:szCs w:val="30"/>
              </w:rPr>
              <w:t>现场传感器</w:t>
            </w:r>
          </w:p>
        </w:tc>
        <w:tc>
          <w:tcPr>
            <w:tcW w:w="2789" w:type="dxa"/>
          </w:tcPr>
          <w:p>
            <w:pPr>
              <w:ind w:firstLine="0" w:firstLineChars="0"/>
              <w:rPr>
                <w:rFonts w:ascii="仿宋_GB2312"/>
                <w:sz w:val="30"/>
                <w:szCs w:val="30"/>
              </w:rPr>
            </w:pPr>
            <w:r>
              <w:rPr>
                <w:rFonts w:hint="eastAsia" w:ascii="仿宋_GB2312"/>
                <w:sz w:val="30"/>
                <w:szCs w:val="30"/>
              </w:rPr>
              <w:t>判断泄漏介质是否达到设定限</w:t>
            </w:r>
          </w:p>
        </w:tc>
      </w:tr>
    </w:tbl>
    <w:p>
      <w:pPr>
        <w:ind w:firstLine="0" w:firstLineChars="0"/>
      </w:pPr>
    </w:p>
    <w:p>
      <w:pPr>
        <w:pStyle w:val="4"/>
        <w:numPr>
          <w:ilvl w:val="2"/>
          <w:numId w:val="59"/>
        </w:numPr>
        <w:spacing w:before="0" w:after="0" w:line="580" w:lineRule="exact"/>
        <w:ind w:left="0" w:firstLine="640"/>
        <w:rPr>
          <w:rFonts w:ascii="楷体_GB2312" w:eastAsia="楷体_GB2312"/>
        </w:rPr>
      </w:pPr>
      <w:bookmarkStart w:id="105" w:name="_Toc17997"/>
      <w:bookmarkStart w:id="106" w:name="_Toc7395"/>
      <w:r>
        <w:rPr>
          <w:rFonts w:hint="eastAsia" w:ascii="楷体_GB2312" w:eastAsia="楷体_GB2312"/>
        </w:rPr>
        <w:t>电梯风险智控应用场景</w:t>
      </w:r>
      <w:bookmarkEnd w:id="105"/>
      <w:bookmarkEnd w:id="106"/>
    </w:p>
    <w:p>
      <w:pPr>
        <w:pStyle w:val="5"/>
        <w:numPr>
          <w:ilvl w:val="3"/>
          <w:numId w:val="92"/>
        </w:numPr>
        <w:ind w:left="0" w:firstLine="643"/>
        <w:rPr>
          <w:rFonts w:ascii="仿宋_GB2312"/>
          <w:szCs w:val="32"/>
        </w:rPr>
      </w:pPr>
      <w:bookmarkStart w:id="107" w:name="_Toc25793"/>
      <w:bookmarkStart w:id="108" w:name="_Toc27211"/>
      <w:r>
        <w:rPr>
          <w:rFonts w:hint="eastAsia" w:ascii="仿宋_GB2312"/>
          <w:szCs w:val="32"/>
        </w:rPr>
        <w:t>功能描述</w:t>
      </w:r>
      <w:bookmarkEnd w:id="107"/>
      <w:bookmarkEnd w:id="108"/>
    </w:p>
    <w:p>
      <w:pPr>
        <w:ind w:firstLine="640"/>
        <w:rPr>
          <w:rFonts w:ascii="仿宋_GB2312" w:hAnsi="仿宋"/>
          <w:szCs w:val="32"/>
        </w:rPr>
      </w:pPr>
      <w:r>
        <w:rPr>
          <w:rFonts w:hint="eastAsia" w:ascii="仿宋_GB2312" w:hAnsi="仿宋"/>
          <w:szCs w:val="32"/>
        </w:rPr>
        <w:t>运用物联网、人工智能、大数据等现代信息技术，及时掌握电梯的安全状况，推进电梯智能救援、按需维保、风险预判等工作，增加电梯安全监管工作效率，提高电梯使用安全性能，提升电梯维保质量和服务水平。</w:t>
      </w:r>
    </w:p>
    <w:p>
      <w:pPr>
        <w:pStyle w:val="5"/>
        <w:numPr>
          <w:ilvl w:val="3"/>
          <w:numId w:val="92"/>
        </w:numPr>
        <w:ind w:left="0" w:firstLine="643"/>
        <w:rPr>
          <w:rFonts w:ascii="仿宋_GB2312"/>
          <w:szCs w:val="32"/>
        </w:rPr>
      </w:pPr>
      <w:bookmarkStart w:id="109" w:name="_Toc29379"/>
      <w:bookmarkStart w:id="110" w:name="_Toc16235"/>
      <w:r>
        <w:rPr>
          <w:rFonts w:hint="eastAsia" w:ascii="仿宋_GB2312"/>
          <w:szCs w:val="32"/>
        </w:rPr>
        <w:t>业务内容</w:t>
      </w:r>
      <w:bookmarkEnd w:id="109"/>
      <w:bookmarkEnd w:id="110"/>
    </w:p>
    <w:p>
      <w:pPr>
        <w:pStyle w:val="6"/>
        <w:numPr>
          <w:ilvl w:val="0"/>
          <w:numId w:val="93"/>
        </w:numPr>
        <w:ind w:left="0" w:firstLine="640"/>
        <w:rPr>
          <w:rFonts w:ascii="仿宋_GB2312"/>
          <w:szCs w:val="32"/>
        </w:rPr>
      </w:pPr>
      <w:r>
        <w:rPr>
          <w:rFonts w:hint="eastAsia" w:ascii="仿宋_GB2312"/>
          <w:szCs w:val="32"/>
        </w:rPr>
        <w:t>智慧救援</w:t>
      </w:r>
    </w:p>
    <w:p>
      <w:pPr>
        <w:ind w:firstLine="640"/>
        <w:rPr>
          <w:rFonts w:ascii="仿宋_GB2312" w:hAnsi="仿宋"/>
          <w:szCs w:val="32"/>
        </w:rPr>
      </w:pPr>
      <w:r>
        <w:rPr>
          <w:rFonts w:hint="eastAsia" w:ascii="仿宋_GB2312" w:hAnsi="仿宋"/>
          <w:szCs w:val="32"/>
        </w:rPr>
        <w:t>通过电梯物联网技术，实时采集电梯状态数据，判断电梯是否正常运行，一旦检测到电梯出现故障，分析故障类型，同时将故障信息自动推送到电梯所在区域的特种设备应急处置中心，如果当地无应急处置中心，则推送给电梯维保公司和使用单位，后续跟踪处置情况。</w:t>
      </w:r>
    </w:p>
    <w:p>
      <w:pPr>
        <w:pStyle w:val="6"/>
        <w:numPr>
          <w:ilvl w:val="0"/>
          <w:numId w:val="93"/>
        </w:numPr>
        <w:ind w:left="0" w:firstLine="640"/>
        <w:rPr>
          <w:rFonts w:ascii="仿宋_GB2312"/>
          <w:szCs w:val="32"/>
        </w:rPr>
      </w:pPr>
      <w:r>
        <w:rPr>
          <w:rFonts w:hint="eastAsia" w:ascii="仿宋_GB2312"/>
          <w:szCs w:val="32"/>
        </w:rPr>
        <w:t>风险预警</w:t>
      </w:r>
    </w:p>
    <w:p>
      <w:pPr>
        <w:ind w:firstLine="640"/>
        <w:rPr>
          <w:rFonts w:ascii="仿宋_GB2312" w:hAnsi="仿宋"/>
          <w:szCs w:val="32"/>
        </w:rPr>
      </w:pPr>
      <w:r>
        <w:rPr>
          <w:rFonts w:hint="eastAsia" w:ascii="仿宋_GB2312" w:hAnsi="仿宋"/>
          <w:szCs w:val="32"/>
        </w:rPr>
        <w:t>通过电梯运行历史数据、检验检测信息、电梯基本信息以及电力部门供电信息和气象部门天气预告信息等，分析判断电梯发生事故和故障的概率。与行政执法平台、浙政钉、浙里办、微信等信息平台联动，推送风险信息至监管部门、维保单位、使用单位、乘梯人，按照不同的风险类型和程度分级分类处置和预警</w:t>
      </w:r>
      <w:r>
        <w:rPr>
          <w:rFonts w:ascii="仿宋_GB2312" w:hAnsi="仿宋"/>
          <w:szCs w:val="32"/>
        </w:rPr>
        <w:t>。</w:t>
      </w:r>
    </w:p>
    <w:p>
      <w:pPr>
        <w:pStyle w:val="6"/>
        <w:numPr>
          <w:ilvl w:val="0"/>
          <w:numId w:val="93"/>
        </w:numPr>
        <w:ind w:left="0" w:firstLine="640"/>
        <w:rPr>
          <w:rFonts w:ascii="仿宋_GB2312"/>
          <w:szCs w:val="32"/>
        </w:rPr>
      </w:pPr>
      <w:r>
        <w:rPr>
          <w:rFonts w:hint="eastAsia" w:ascii="仿宋_GB2312"/>
          <w:szCs w:val="32"/>
        </w:rPr>
        <w:t>维保质量评价</w:t>
      </w:r>
    </w:p>
    <w:p>
      <w:pPr>
        <w:ind w:firstLine="640"/>
        <w:rPr>
          <w:rFonts w:ascii="仿宋_GB2312" w:hAnsi="仿宋"/>
          <w:szCs w:val="32"/>
        </w:rPr>
      </w:pPr>
      <w:r>
        <w:rPr>
          <w:rFonts w:hint="eastAsia" w:ascii="仿宋_GB2312" w:hAnsi="仿宋"/>
          <w:szCs w:val="32"/>
        </w:rPr>
        <w:t>利用电梯物联网历史数据和基本信息，计算电梯不同类型的困人故障率和非困人故障率。以结果为导向，直接使用电梯故障率评价维保质量，指导维保单位科学开展按需维保工作，提升维保效率和质量。</w:t>
      </w:r>
    </w:p>
    <w:p>
      <w:pPr>
        <w:pStyle w:val="6"/>
        <w:numPr>
          <w:ilvl w:val="0"/>
          <w:numId w:val="93"/>
        </w:numPr>
        <w:ind w:left="0" w:firstLine="640"/>
        <w:rPr>
          <w:rFonts w:ascii="仿宋_GB2312"/>
          <w:szCs w:val="32"/>
        </w:rPr>
      </w:pPr>
      <w:r>
        <w:rPr>
          <w:rFonts w:hint="eastAsia" w:ascii="仿宋_GB2312"/>
          <w:szCs w:val="32"/>
        </w:rPr>
        <w:t>电梯信息公示查询</w:t>
      </w:r>
    </w:p>
    <w:p>
      <w:pPr>
        <w:ind w:firstLine="640"/>
        <w:rPr>
          <w:rFonts w:ascii="仿宋_GB2312" w:hAnsi="仿宋"/>
          <w:szCs w:val="32"/>
        </w:rPr>
      </w:pPr>
      <w:r>
        <w:rPr>
          <w:rFonts w:hint="eastAsia" w:ascii="仿宋_GB2312" w:hAnsi="仿宋"/>
          <w:szCs w:val="32"/>
        </w:rPr>
        <w:t>通过微信平台向乘梯人提供电梯信息查询功能，便于乘梯人掌握了解电梯运行状态，提高乘梯人参与电梯安全管理的意愿和积极性。供查询的内容包括电梯的注册代码、型号、主要参数、使用单位、制造单位、维保单位、承保情况、风险状态、维保记录、故障信息、检验检测报告、处罚情况等信息。</w:t>
      </w:r>
    </w:p>
    <w:p>
      <w:pPr>
        <w:pStyle w:val="5"/>
        <w:numPr>
          <w:ilvl w:val="3"/>
          <w:numId w:val="92"/>
        </w:numPr>
        <w:ind w:left="0" w:firstLine="643"/>
        <w:rPr>
          <w:rFonts w:ascii="仿宋_GB2312"/>
          <w:szCs w:val="32"/>
        </w:rPr>
      </w:pPr>
      <w:bookmarkStart w:id="111" w:name="_Toc14945"/>
      <w:bookmarkStart w:id="112" w:name="_Toc32118"/>
      <w:r>
        <w:rPr>
          <w:rFonts w:hint="eastAsia" w:ascii="仿宋_GB2312"/>
          <w:szCs w:val="32"/>
        </w:rPr>
        <w:t>统一标准规范</w:t>
      </w:r>
      <w:bookmarkEnd w:id="111"/>
      <w:bookmarkEnd w:id="112"/>
    </w:p>
    <w:p>
      <w:pPr>
        <w:ind w:firstLine="640"/>
        <w:rPr>
          <w:rFonts w:ascii="仿宋_GB2312" w:hAnsi="仿宋"/>
          <w:szCs w:val="32"/>
        </w:rPr>
      </w:pPr>
      <w:r>
        <w:rPr>
          <w:rFonts w:hint="eastAsia" w:ascii="仿宋_GB2312" w:hAnsi="仿宋"/>
          <w:szCs w:val="32"/>
        </w:rPr>
        <w:t>电梯风险智控应用场景设计依托特种设备风险防范预警系统（以下简称预警系统）实现。</w:t>
      </w:r>
    </w:p>
    <w:p>
      <w:pPr>
        <w:pStyle w:val="6"/>
        <w:numPr>
          <w:ilvl w:val="0"/>
          <w:numId w:val="94"/>
        </w:numPr>
        <w:ind w:left="0" w:firstLine="640"/>
        <w:rPr>
          <w:rFonts w:ascii="仿宋_GB2312"/>
          <w:szCs w:val="32"/>
        </w:rPr>
      </w:pPr>
      <w:r>
        <w:rPr>
          <w:rFonts w:hint="eastAsia" w:ascii="仿宋_GB2312"/>
          <w:szCs w:val="32"/>
        </w:rPr>
        <w:t>业务对象</w:t>
      </w:r>
    </w:p>
    <w:p>
      <w:pPr>
        <w:ind w:firstLine="640"/>
        <w:rPr>
          <w:rFonts w:ascii="仿宋_GB2312" w:hAnsi="仿宋"/>
          <w:szCs w:val="32"/>
        </w:rPr>
      </w:pPr>
      <w:r>
        <w:rPr>
          <w:rFonts w:hint="eastAsia" w:ascii="仿宋_GB2312" w:hAnsi="仿宋"/>
          <w:szCs w:val="32"/>
        </w:rPr>
        <w:t>浙江省所有各级电梯监管部门、使用单位、维保单位、乘梯人。</w:t>
      </w:r>
    </w:p>
    <w:p>
      <w:pPr>
        <w:pStyle w:val="6"/>
        <w:numPr>
          <w:ilvl w:val="0"/>
          <w:numId w:val="94"/>
        </w:numPr>
        <w:ind w:left="0" w:firstLine="640"/>
        <w:rPr>
          <w:rFonts w:ascii="仿宋_GB2312"/>
          <w:szCs w:val="32"/>
        </w:rPr>
      </w:pPr>
      <w:r>
        <w:rPr>
          <w:rFonts w:hint="eastAsia" w:ascii="仿宋_GB2312"/>
          <w:szCs w:val="32"/>
        </w:rPr>
        <w:t>技术手段</w:t>
      </w:r>
    </w:p>
    <w:p>
      <w:pPr>
        <w:ind w:firstLine="640"/>
        <w:rPr>
          <w:rFonts w:ascii="仿宋_GB2312" w:hAnsi="仿宋"/>
          <w:szCs w:val="32"/>
        </w:rPr>
      </w:pPr>
      <w:r>
        <w:rPr>
          <w:rFonts w:hint="eastAsia" w:ascii="仿宋_GB2312" w:hAnsi="仿宋"/>
          <w:szCs w:val="32"/>
        </w:rPr>
        <w:t>运用物联网技术实时获取电梯运行信息和故障情况。利用大数据存储分析技术保存物联网数据，并结合数据库中其他信息分析判断电梯运行状态。通过人工智能技术建立电梯风险预测模型，实现电梯风险预警功能。</w:t>
      </w:r>
    </w:p>
    <w:p>
      <w:pPr>
        <w:pStyle w:val="6"/>
        <w:numPr>
          <w:ilvl w:val="0"/>
          <w:numId w:val="94"/>
        </w:numPr>
        <w:ind w:left="0" w:firstLine="640"/>
        <w:rPr>
          <w:rFonts w:ascii="仿宋_GB2312"/>
          <w:szCs w:val="32"/>
        </w:rPr>
      </w:pPr>
      <w:r>
        <w:rPr>
          <w:rFonts w:hint="eastAsia" w:ascii="仿宋_GB2312"/>
          <w:szCs w:val="32"/>
        </w:rPr>
        <w:t>具体要求</w:t>
      </w:r>
    </w:p>
    <w:p>
      <w:pPr>
        <w:pStyle w:val="7"/>
        <w:numPr>
          <w:ilvl w:val="0"/>
          <w:numId w:val="95"/>
        </w:numPr>
        <w:ind w:firstLine="643"/>
      </w:pPr>
      <w:r>
        <w:rPr>
          <w:rFonts w:hint="eastAsia"/>
        </w:rPr>
        <w:t>电梯物联智控装置功能要求</w:t>
      </w:r>
    </w:p>
    <w:p>
      <w:pPr>
        <w:ind w:firstLine="640"/>
        <w:rPr>
          <w:rFonts w:ascii="仿宋_GB2312" w:hAnsi="仿宋"/>
          <w:szCs w:val="32"/>
        </w:rPr>
      </w:pPr>
      <w:r>
        <w:rPr>
          <w:rFonts w:hint="eastAsia" w:ascii="仿宋_GB2312" w:hAnsi="仿宋"/>
          <w:szCs w:val="32"/>
        </w:rPr>
        <w:t>电梯物联智控装置必须能够实时采集并传输以下电梯运行参数和</w:t>
      </w:r>
      <w:bookmarkStart w:id="113" w:name="OLE_LINK9"/>
      <w:r>
        <w:rPr>
          <w:rFonts w:hint="eastAsia" w:ascii="仿宋_GB2312" w:hAnsi="仿宋"/>
          <w:szCs w:val="32"/>
        </w:rPr>
        <w:t>电梯故障数据</w:t>
      </w:r>
      <w:bookmarkEnd w:id="113"/>
      <w:r>
        <w:rPr>
          <w:rFonts w:hint="eastAsia" w:ascii="仿宋_GB2312" w:hAnsi="仿宋"/>
          <w:szCs w:val="32"/>
        </w:rPr>
        <w:t>：</w:t>
      </w:r>
      <w:bookmarkStart w:id="114" w:name="OLE_LINK6"/>
      <w:bookmarkStart w:id="115" w:name="OLE_LINK5"/>
      <w:r>
        <w:rPr>
          <w:rFonts w:hint="eastAsia" w:ascii="仿宋_GB2312" w:hAnsi="仿宋"/>
          <w:szCs w:val="32"/>
        </w:rPr>
        <w:t>电梯运行参数包括轿厢运行状态、电梯当前楼层、轿门开闭状态、轿厢内是否有人、物联智控装置在线状态、电梯累计运行次数等数据；电梯故障数据包括困人故障、开门运行故障、急停故障、开关门故障、超速运行故障、其他故障。</w:t>
      </w:r>
      <w:bookmarkEnd w:id="114"/>
      <w:bookmarkEnd w:id="115"/>
    </w:p>
    <w:p>
      <w:pPr>
        <w:pStyle w:val="7"/>
        <w:numPr>
          <w:ilvl w:val="0"/>
          <w:numId w:val="95"/>
        </w:numPr>
        <w:ind w:firstLine="643"/>
      </w:pPr>
      <w:r>
        <w:rPr>
          <w:rFonts w:hint="eastAsia"/>
        </w:rPr>
        <w:t>电梯风险预警计算模型要求</w:t>
      </w:r>
    </w:p>
    <w:p>
      <w:pPr>
        <w:ind w:firstLine="640"/>
        <w:rPr>
          <w:rFonts w:ascii="仿宋_GB2312" w:hAnsi="仿宋"/>
          <w:szCs w:val="32"/>
        </w:rPr>
      </w:pPr>
      <w:r>
        <w:rPr>
          <w:rFonts w:hint="eastAsia" w:ascii="仿宋_GB2312" w:hAnsi="仿宋"/>
          <w:szCs w:val="32"/>
        </w:rPr>
        <w:t>电梯的风险预警模型分为简单计算模型和综合计算模型两种。简单计算模型根据单一的因素判断风险指数。简单计算模型分为三种，缺陷风险、断电风险和极端天气风险。缺陷风险是特定型号电梯固有缺陷带来的系统性风险，一般通过检验信息、事故鉴定信息发现；断电风险是电梯供电出现问题导致的风险，通过分析判断电力部门的供电信息发现；极端天气风险是如高温、雷电、台风等极端天气对电梯或者乘梯人造成的损害的风险，通过分析判断气象部门天气预告信息发现。</w:t>
      </w:r>
    </w:p>
    <w:p>
      <w:pPr>
        <w:ind w:firstLine="640"/>
        <w:rPr>
          <w:rFonts w:ascii="仿宋_GB2312" w:hAnsi="仿宋"/>
          <w:szCs w:val="32"/>
        </w:rPr>
      </w:pPr>
      <w:r>
        <w:rPr>
          <w:rFonts w:hint="eastAsia" w:ascii="仿宋_GB2312" w:hAnsi="仿宋"/>
          <w:szCs w:val="32"/>
        </w:rPr>
        <w:t>综合计算模型不能通过简单的数值比较得出结果，需要综合考虑多方面数据。将电梯事故率和故障率作为输出数值，其他电梯相关数据作为输入值，采用人工智能技术构建预警模型，预测每台电梯的事故和故障发生概率，按照概率高低分为高中低三档风险。</w:t>
      </w:r>
    </w:p>
    <w:p>
      <w:pPr>
        <w:pStyle w:val="7"/>
        <w:numPr>
          <w:ilvl w:val="0"/>
          <w:numId w:val="95"/>
        </w:numPr>
        <w:ind w:firstLine="643"/>
      </w:pPr>
      <w:r>
        <w:rPr>
          <w:rFonts w:hint="eastAsia"/>
        </w:rPr>
        <w:t>电梯故障识别率要求</w:t>
      </w:r>
    </w:p>
    <w:p>
      <w:pPr>
        <w:ind w:firstLine="640"/>
        <w:rPr>
          <w:rFonts w:ascii="仿宋_GB2312" w:hAnsi="仿宋"/>
          <w:szCs w:val="32"/>
        </w:rPr>
      </w:pPr>
      <w:r>
        <w:rPr>
          <w:rFonts w:hint="eastAsia" w:ascii="仿宋_GB2312" w:hAnsi="仿宋"/>
          <w:szCs w:val="32"/>
        </w:rPr>
        <w:t>电梯物联网技术目前并不能完全准确判断电梯故障，而电梯故障漏报和误报都会带来不小的安全和经济问题，需要分析计算每台电梯的物联网技术故障识别率。通过电梯救援数据与故障识别数据进行比较，分析电梯物联设备的漏报率，根据维保人员的反馈与故障识别数据进行对比，分析误报率。漏报率和误报率都不能高于</w:t>
      </w:r>
      <w:r>
        <w:rPr>
          <w:rFonts w:cs="Times New Roman"/>
          <w:szCs w:val="32"/>
        </w:rPr>
        <w:t>10</w:t>
      </w:r>
      <w:r>
        <w:rPr>
          <w:rFonts w:hint="eastAsia" w:ascii="仿宋_GB2312" w:hAnsi="仿宋"/>
          <w:szCs w:val="32"/>
        </w:rPr>
        <w:t>%。</w:t>
      </w:r>
    </w:p>
    <w:p>
      <w:pPr>
        <w:pStyle w:val="6"/>
        <w:numPr>
          <w:ilvl w:val="0"/>
          <w:numId w:val="94"/>
        </w:numPr>
        <w:ind w:left="0" w:firstLine="640"/>
        <w:rPr>
          <w:rFonts w:ascii="仿宋_GB2312"/>
          <w:szCs w:val="32"/>
        </w:rPr>
      </w:pPr>
      <w:r>
        <w:rPr>
          <w:rFonts w:hint="eastAsia" w:ascii="仿宋_GB2312"/>
          <w:szCs w:val="32"/>
        </w:rPr>
        <w:t>管理模式</w:t>
      </w:r>
    </w:p>
    <w:p>
      <w:pPr>
        <w:ind w:firstLine="640"/>
        <w:rPr>
          <w:rFonts w:ascii="仿宋_GB2312" w:hAnsi="仿宋"/>
          <w:szCs w:val="32"/>
        </w:rPr>
      </w:pPr>
      <w:r>
        <w:pict>
          <v:shape id="_x0000_s1027" o:spid="_x0000_s1027" o:spt="75" type="#_x0000_t75" style="position:absolute;left:0pt;margin-left:32.75pt;margin-top:357.35pt;height:243.3pt;width:339.2pt;mso-wrap-distance-bottom:0pt;mso-wrap-distance-top:0pt;z-index:251680768;mso-width-relative:page;mso-height-relative:page;" filled="f" o:preferrelative="t" stroked="f" coordsize="21600,21600">
            <v:path/>
            <v:fill on="f" focussize="0,0"/>
            <v:stroke on="f" joinstyle="miter"/>
            <v:imagedata r:id="rId37" o:title=""/>
            <o:lock v:ext="edit" aspectratio="t"/>
            <w10:wrap type="topAndBottom"/>
          </v:shape>
        </w:pict>
      </w:r>
      <w:r>
        <w:rPr>
          <w:rFonts w:hint="eastAsia" w:ascii="仿宋_GB2312" w:hAnsi="仿宋"/>
          <w:szCs w:val="32"/>
        </w:rPr>
        <w:t>电梯风险智控的信息流转全部在线上完成。线下主要处理救援、应急准备、风险核查等事宜。信息流转结构如下图所示。实现电梯风险智控应用场景需要多个信息系统协同合作。预警系统采集特种设备安全监管基础数据、电梯物联网数据、电力部门和气象部门等数据。通过分析计算，将处理后的信息向其他各个软件系统推送。综合风险信息向行政执法平台推送，行政执法平台对高风险电梯自动建立核查任务，提高中风险电梯双随机抽查比例；浙政钉平台供监管人员使用，自动关联监管范围内的电梯，主动向监管人员推送风险预警等信息；</w:t>
      </w:r>
      <w:r>
        <w:rPr>
          <w:rFonts w:hint="eastAsia" w:ascii="仿宋_GB2312" w:hAnsi="仿宋"/>
          <w:b/>
          <w:bCs/>
          <w:szCs w:val="32"/>
        </w:rPr>
        <w:t>浙里办平台</w:t>
      </w:r>
      <w:r>
        <w:rPr>
          <w:rFonts w:hint="eastAsia" w:ascii="仿宋_GB2312" w:hAnsi="仿宋"/>
          <w:szCs w:val="32"/>
        </w:rPr>
        <w:t>供维保单位和使用单位使用，能够自动关联相关电梯，主动推送预警信息和部分救援信息；</w:t>
      </w:r>
      <w:r>
        <w:rPr>
          <w:rFonts w:hint="eastAsia" w:ascii="仿宋_GB2312" w:hAnsi="仿宋"/>
          <w:b/>
          <w:bCs/>
          <w:szCs w:val="32"/>
        </w:rPr>
        <w:t>微信平台</w:t>
      </w:r>
      <w:r>
        <w:rPr>
          <w:rFonts w:hint="eastAsia" w:ascii="仿宋_GB2312" w:hAnsi="仿宋"/>
          <w:szCs w:val="32"/>
        </w:rPr>
        <w:t>供乘梯人使用，提供电梯信息查询功能；推送救援信息至</w:t>
      </w:r>
      <w:r>
        <w:rPr>
          <w:rFonts w:hint="eastAsia" w:ascii="仿宋_GB2312" w:hAnsi="仿宋"/>
          <w:b/>
          <w:bCs/>
          <w:szCs w:val="32"/>
        </w:rPr>
        <w:t>特种设备应急处置平台</w:t>
      </w:r>
      <w:r>
        <w:rPr>
          <w:rFonts w:hint="eastAsia" w:ascii="仿宋_GB2312" w:hAnsi="仿宋"/>
          <w:szCs w:val="32"/>
        </w:rPr>
        <w:t>。</w:t>
      </w:r>
    </w:p>
    <w:p>
      <w:pPr>
        <w:pStyle w:val="6"/>
        <w:numPr>
          <w:ilvl w:val="0"/>
          <w:numId w:val="94"/>
        </w:numPr>
        <w:ind w:left="0" w:firstLine="640"/>
        <w:rPr>
          <w:rFonts w:ascii="仿宋_GB2312"/>
          <w:szCs w:val="32"/>
        </w:rPr>
      </w:pPr>
      <w:r>
        <w:rPr>
          <w:rFonts w:hint="eastAsia" w:ascii="仿宋_GB2312"/>
          <w:szCs w:val="32"/>
        </w:rPr>
        <w:t>管理流程</w:t>
      </w:r>
    </w:p>
    <w:p>
      <w:pPr>
        <w:pStyle w:val="7"/>
        <w:numPr>
          <w:ilvl w:val="0"/>
          <w:numId w:val="96"/>
        </w:numPr>
        <w:ind w:firstLine="643"/>
      </w:pPr>
      <w:r>
        <w:rPr>
          <w:rFonts w:hint="eastAsia"/>
        </w:rPr>
        <w:t>智慧救援流程</w:t>
      </w:r>
    </w:p>
    <w:p>
      <w:pPr>
        <w:numPr>
          <w:ilvl w:val="0"/>
          <w:numId w:val="97"/>
        </w:numPr>
        <w:ind w:left="0" w:firstLine="640"/>
        <w:rPr>
          <w:rFonts w:ascii="仿宋_GB2312"/>
          <w:szCs w:val="32"/>
        </w:rPr>
      </w:pPr>
      <w:r>
        <w:rPr>
          <w:rFonts w:hint="eastAsia" w:ascii="仿宋_GB2312"/>
          <w:szCs w:val="32"/>
        </w:rPr>
        <w:t>故障判定</w:t>
      </w:r>
    </w:p>
    <w:p>
      <w:pPr>
        <w:ind w:firstLine="640"/>
      </w:pPr>
      <w:r>
        <w:pict>
          <v:shape id="_x0000_s1028" o:spid="_x0000_s1028" o:spt="75" type="#_x0000_t75" style="position:absolute;left:0pt;margin-left:79.9pt;margin-top:213.85pt;height:321.6pt;width:303.5pt;mso-wrap-distance-bottom:0pt;mso-wrap-distance-top:0pt;z-index:251681792;mso-width-relative:page;mso-height-relative:page;" filled="f" o:preferrelative="t" stroked="f" coordsize="21600,21600">
            <v:path/>
            <v:fill on="f" focussize="0,0"/>
            <v:stroke on="f" joinstyle="miter"/>
            <v:imagedata r:id="rId38" o:title=""/>
            <o:lock v:ext="edit" aspectratio="t"/>
            <w10:wrap type="topAndBottom"/>
          </v:shape>
        </w:pict>
      </w:r>
      <w:r>
        <w:rPr>
          <w:rFonts w:hint="eastAsia" w:ascii="仿宋_GB2312" w:hAnsi="仿宋"/>
          <w:szCs w:val="32"/>
        </w:rPr>
        <w:t>预警系统实时监控物联网数据，轿厢运行状态、电梯当前楼层、轿门开闭状态、轿厢内是否有人信息。当轿厢运动过程中，轿门处于开启状态，则判定为故障。当轿厢停止运动，未处于平层状态，则认为电梯出现停梯故障，如果此时轿厢内有人，则进一步判定为困人故障。当轿厢停止运动，处于平层状态，但是轿门开启时间超过一定时长，也判定为电梯出现停梯故障。整体流程如下图所示。</w:t>
      </w:r>
    </w:p>
    <w:p>
      <w:pPr>
        <w:numPr>
          <w:ilvl w:val="0"/>
          <w:numId w:val="97"/>
        </w:numPr>
        <w:ind w:left="0" w:firstLine="640"/>
        <w:rPr>
          <w:rFonts w:ascii="仿宋_GB2312"/>
          <w:szCs w:val="32"/>
        </w:rPr>
      </w:pPr>
      <w:r>
        <w:rPr>
          <w:rFonts w:hint="eastAsia" w:ascii="仿宋_GB2312"/>
          <w:szCs w:val="32"/>
        </w:rPr>
        <w:t>信息推送</w:t>
      </w:r>
    </w:p>
    <w:p>
      <w:pPr>
        <w:ind w:firstLine="640"/>
        <w:rPr>
          <w:rFonts w:ascii="仿宋_GB2312" w:hAnsi="仿宋"/>
          <w:szCs w:val="32"/>
        </w:rPr>
      </w:pPr>
      <w:r>
        <w:rPr>
          <w:rFonts w:hint="eastAsia" w:ascii="仿宋_GB2312" w:hAnsi="仿宋"/>
          <w:szCs w:val="32"/>
        </w:rPr>
        <w:t>如果故障电梯所在区域有特种设备应急处置平台，则</w:t>
      </w:r>
      <w:bookmarkStart w:id="116" w:name="OLE_LINK13"/>
      <w:bookmarkStart w:id="117" w:name="OLE_LINK12"/>
      <w:r>
        <w:rPr>
          <w:rFonts w:hint="eastAsia" w:ascii="仿宋_GB2312" w:hAnsi="仿宋"/>
          <w:szCs w:val="32"/>
        </w:rPr>
        <w:t>将电梯故障信息</w:t>
      </w:r>
      <w:bookmarkEnd w:id="116"/>
      <w:bookmarkEnd w:id="117"/>
      <w:r>
        <w:rPr>
          <w:rFonts w:hint="eastAsia" w:ascii="仿宋_GB2312" w:hAnsi="仿宋"/>
          <w:szCs w:val="32"/>
        </w:rPr>
        <w:t>推送到应急处置平台，由应急处置平台处理后续流程，预警系统通过实时数据自动判断是否恢复正常。</w:t>
      </w:r>
    </w:p>
    <w:p>
      <w:pPr>
        <w:ind w:firstLine="640"/>
        <w:rPr>
          <w:rFonts w:ascii="仿宋_GB2312" w:hAnsi="仿宋"/>
          <w:szCs w:val="32"/>
        </w:rPr>
      </w:pPr>
      <w:r>
        <w:rPr>
          <w:rFonts w:hint="eastAsia" w:ascii="仿宋_GB2312" w:hAnsi="仿宋"/>
          <w:szCs w:val="32"/>
        </w:rPr>
        <w:t>如果故障电梯所在区域没有应急处置平台，则将电梯故障信息通过浙里办推送至电梯维保单位和使用单位，由维保单位组织实施救援排障。</w:t>
      </w:r>
    </w:p>
    <w:p>
      <w:pPr>
        <w:numPr>
          <w:ilvl w:val="0"/>
          <w:numId w:val="97"/>
        </w:numPr>
        <w:ind w:left="0" w:firstLine="640"/>
        <w:rPr>
          <w:rFonts w:ascii="仿宋_GB2312"/>
          <w:szCs w:val="32"/>
        </w:rPr>
      </w:pPr>
      <w:r>
        <w:rPr>
          <w:rFonts w:hint="eastAsia" w:ascii="仿宋_GB2312"/>
          <w:szCs w:val="32"/>
        </w:rPr>
        <w:t>现场处置</w:t>
      </w:r>
    </w:p>
    <w:p>
      <w:pPr>
        <w:ind w:firstLine="640"/>
        <w:rPr>
          <w:rFonts w:ascii="仿宋_GB2312" w:hAnsi="仿宋"/>
          <w:szCs w:val="32"/>
        </w:rPr>
      </w:pPr>
      <w:r>
        <w:rPr>
          <w:rFonts w:hint="eastAsia" w:ascii="仿宋_GB2312" w:hAnsi="仿宋"/>
          <w:szCs w:val="32"/>
        </w:rPr>
        <w:t>如果经应急处置中心或是维保公司现场比对，发现是故障误报，则通过浙里办通知维保公司查明误报原因，排查物联智控系统问题，预警系统修正故障数据,不记录故障数量。</w:t>
      </w:r>
    </w:p>
    <w:p>
      <w:pPr>
        <w:ind w:firstLine="640"/>
        <w:rPr>
          <w:rFonts w:ascii="仿宋_GB2312" w:hAnsi="仿宋"/>
          <w:szCs w:val="32"/>
        </w:rPr>
      </w:pPr>
      <w:r>
        <w:rPr>
          <w:rFonts w:hint="eastAsia" w:ascii="仿宋_GB2312" w:hAnsi="仿宋"/>
          <w:szCs w:val="32"/>
        </w:rPr>
        <w:t>在故障信息发出后，持续不断监控电梯状态，一旦电梯恢复正常，将数据发送到应急处置中心或者是电梯维保单位和使用单位，避免误报或者是电梯自动恢复导致维保单位增加救援成本。</w:t>
      </w:r>
    </w:p>
    <w:p>
      <w:pPr>
        <w:pStyle w:val="7"/>
        <w:numPr>
          <w:ilvl w:val="0"/>
          <w:numId w:val="80"/>
        </w:numPr>
        <w:ind w:firstLine="643"/>
      </w:pPr>
      <w:r>
        <w:rPr>
          <w:rFonts w:hint="eastAsia"/>
        </w:rPr>
        <w:t>风险预警流程</w:t>
      </w:r>
    </w:p>
    <w:p>
      <w:pPr>
        <w:ind w:firstLine="640"/>
        <w:rPr>
          <w:rFonts w:ascii="仿宋_GB2312" w:hAnsi="仿宋"/>
          <w:szCs w:val="32"/>
        </w:rPr>
      </w:pPr>
      <w:r>
        <w:rPr>
          <w:rFonts w:hint="eastAsia" w:ascii="仿宋_GB2312" w:hAnsi="仿宋"/>
          <w:szCs w:val="32"/>
        </w:rPr>
        <w:t>对于电梯综合风险，预警系统根据库内历史数据，结合综合计算模型，每天计算一次所有接入电梯的风险程度，同时将风险信息发送至行政执法平台，由执法平台做后续处理。</w:t>
      </w:r>
    </w:p>
    <w:p>
      <w:pPr>
        <w:ind w:firstLine="640"/>
        <w:rPr>
          <w:rFonts w:ascii="仿宋_GB2312" w:hAnsi="仿宋"/>
          <w:szCs w:val="32"/>
        </w:rPr>
      </w:pPr>
      <w:r>
        <w:rPr>
          <w:rFonts w:hint="eastAsia" w:ascii="仿宋_GB2312" w:hAnsi="仿宋"/>
          <w:szCs w:val="32"/>
        </w:rPr>
        <w:t>对于其他三项风险，通过相应的平台向监管人员、维保单位、使用单位推送。</w:t>
      </w:r>
    </w:p>
    <w:p>
      <w:pPr>
        <w:pStyle w:val="7"/>
        <w:numPr>
          <w:ilvl w:val="0"/>
          <w:numId w:val="80"/>
        </w:numPr>
        <w:ind w:firstLine="643"/>
      </w:pPr>
      <w:r>
        <w:rPr>
          <w:rFonts w:hint="eastAsia"/>
        </w:rPr>
        <w:t>维保质量评价流程</w:t>
      </w:r>
    </w:p>
    <w:p>
      <w:pPr>
        <w:ind w:firstLine="640"/>
        <w:rPr>
          <w:rFonts w:ascii="仿宋_GB2312" w:hAnsi="仿宋"/>
          <w:szCs w:val="32"/>
        </w:rPr>
      </w:pPr>
      <w:r>
        <w:rPr>
          <w:rFonts w:hint="eastAsia" w:ascii="仿宋_GB2312" w:hAnsi="仿宋"/>
          <w:szCs w:val="32"/>
        </w:rPr>
        <w:t>根据一年内的历史数据，分别计算停梯故障率和困人故障率，统计方法分别采用按时间和按次数两种方法。计算公式如下表所示</w:t>
      </w:r>
      <w:r>
        <w:rPr>
          <w:rFonts w:ascii="仿宋_GB2312" w:hAnsi="仿宋"/>
          <w:szCs w:val="32"/>
        </w:rPr>
        <w:t>：</w:t>
      </w:r>
    </w:p>
    <w:tbl>
      <w:tblPr>
        <w:tblStyle w:val="28"/>
        <w:tblW w:w="8640" w:type="dxa"/>
        <w:tblInd w:w="29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48"/>
        <w:gridCol w:w="3288"/>
        <w:gridCol w:w="35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8" w:type="dxa"/>
          </w:tcPr>
          <w:p>
            <w:pPr>
              <w:ind w:firstLine="600"/>
              <w:rPr>
                <w:rFonts w:ascii="仿宋_GB2312" w:hAnsi="仿宋"/>
                <w:sz w:val="30"/>
                <w:szCs w:val="30"/>
              </w:rPr>
            </w:pPr>
          </w:p>
        </w:tc>
        <w:tc>
          <w:tcPr>
            <w:tcW w:w="3288" w:type="dxa"/>
          </w:tcPr>
          <w:p>
            <w:pPr>
              <w:ind w:firstLine="0" w:firstLineChars="0"/>
              <w:rPr>
                <w:rFonts w:ascii="仿宋_GB2312" w:hAnsi="仿宋"/>
                <w:sz w:val="30"/>
                <w:szCs w:val="30"/>
              </w:rPr>
            </w:pPr>
            <w:r>
              <w:rPr>
                <w:rFonts w:hint="eastAsia" w:ascii="仿宋_GB2312" w:hAnsi="仿宋"/>
                <w:sz w:val="30"/>
                <w:szCs w:val="30"/>
              </w:rPr>
              <w:t>停梯故障率</w:t>
            </w:r>
          </w:p>
        </w:tc>
        <w:tc>
          <w:tcPr>
            <w:tcW w:w="3504" w:type="dxa"/>
          </w:tcPr>
          <w:p>
            <w:pPr>
              <w:ind w:firstLine="0" w:firstLineChars="0"/>
              <w:rPr>
                <w:rFonts w:ascii="仿宋_GB2312" w:hAnsi="仿宋"/>
                <w:sz w:val="30"/>
                <w:szCs w:val="30"/>
              </w:rPr>
            </w:pPr>
            <w:r>
              <w:rPr>
                <w:rFonts w:hint="eastAsia" w:ascii="仿宋_GB2312" w:hAnsi="仿宋"/>
                <w:sz w:val="30"/>
                <w:szCs w:val="30"/>
              </w:rPr>
              <w:t>困人故障率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8" w:type="dxa"/>
          </w:tcPr>
          <w:p>
            <w:pPr>
              <w:ind w:firstLine="0" w:firstLineChars="0"/>
              <w:rPr>
                <w:rFonts w:ascii="仿宋_GB2312" w:hAnsi="仿宋"/>
                <w:sz w:val="30"/>
                <w:szCs w:val="30"/>
              </w:rPr>
            </w:pPr>
            <w:r>
              <w:rPr>
                <w:rFonts w:hint="eastAsia" w:ascii="仿宋_GB2312" w:hAnsi="仿宋"/>
                <w:sz w:val="30"/>
                <w:szCs w:val="30"/>
              </w:rPr>
              <w:t>按时间</w:t>
            </w:r>
          </w:p>
        </w:tc>
        <w:tc>
          <w:tcPr>
            <w:tcW w:w="3288" w:type="dxa"/>
          </w:tcPr>
          <w:p>
            <w:pPr>
              <w:ind w:firstLine="0" w:firstLineChars="0"/>
              <w:rPr>
                <w:rFonts w:ascii="仿宋_GB2312" w:hAnsi="仿宋"/>
                <w:sz w:val="30"/>
                <w:szCs w:val="30"/>
              </w:rPr>
            </w:pPr>
            <w:r>
              <w:rPr>
                <w:rFonts w:hint="eastAsia" w:ascii="仿宋_GB2312" w:hAnsi="仿宋"/>
                <w:sz w:val="30"/>
                <w:szCs w:val="30"/>
              </w:rPr>
              <w:t>停梯故障数/运行时间</w:t>
            </w:r>
          </w:p>
        </w:tc>
        <w:tc>
          <w:tcPr>
            <w:tcW w:w="3504" w:type="dxa"/>
          </w:tcPr>
          <w:p>
            <w:pPr>
              <w:ind w:firstLine="0" w:firstLineChars="0"/>
              <w:rPr>
                <w:rFonts w:ascii="仿宋_GB2312" w:hAnsi="仿宋"/>
                <w:sz w:val="30"/>
                <w:szCs w:val="30"/>
              </w:rPr>
            </w:pPr>
            <w:r>
              <w:rPr>
                <w:rFonts w:hint="eastAsia" w:ascii="仿宋_GB2312" w:hAnsi="仿宋"/>
                <w:sz w:val="30"/>
                <w:szCs w:val="30"/>
              </w:rPr>
              <w:t>困人故障数/运行时间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8" w:type="dxa"/>
          </w:tcPr>
          <w:p>
            <w:pPr>
              <w:ind w:firstLine="0" w:firstLineChars="0"/>
              <w:rPr>
                <w:rFonts w:ascii="仿宋_GB2312" w:hAnsi="仿宋"/>
                <w:sz w:val="30"/>
                <w:szCs w:val="30"/>
              </w:rPr>
            </w:pPr>
            <w:r>
              <w:rPr>
                <w:rFonts w:hint="eastAsia" w:ascii="仿宋_GB2312" w:hAnsi="仿宋"/>
                <w:sz w:val="30"/>
                <w:szCs w:val="30"/>
              </w:rPr>
              <w:t>按次分析</w:t>
            </w:r>
          </w:p>
        </w:tc>
        <w:tc>
          <w:tcPr>
            <w:tcW w:w="3288" w:type="dxa"/>
          </w:tcPr>
          <w:p>
            <w:pPr>
              <w:ind w:firstLine="0" w:firstLineChars="0"/>
              <w:rPr>
                <w:rFonts w:ascii="仿宋_GB2312" w:hAnsi="仿宋"/>
                <w:sz w:val="30"/>
                <w:szCs w:val="30"/>
              </w:rPr>
            </w:pPr>
            <w:r>
              <w:rPr>
                <w:rFonts w:hint="eastAsia" w:ascii="仿宋_GB2312" w:hAnsi="仿宋"/>
                <w:sz w:val="30"/>
                <w:szCs w:val="30"/>
              </w:rPr>
              <w:t>停梯故障数/累计运行次数</w:t>
            </w:r>
          </w:p>
        </w:tc>
        <w:tc>
          <w:tcPr>
            <w:tcW w:w="3504" w:type="dxa"/>
          </w:tcPr>
          <w:p>
            <w:pPr>
              <w:ind w:firstLine="0" w:firstLineChars="0"/>
              <w:rPr>
                <w:rFonts w:ascii="仿宋_GB2312" w:hAnsi="仿宋"/>
                <w:sz w:val="30"/>
                <w:szCs w:val="30"/>
              </w:rPr>
            </w:pPr>
            <w:r>
              <w:rPr>
                <w:rFonts w:hint="eastAsia" w:ascii="仿宋_GB2312" w:hAnsi="仿宋"/>
                <w:sz w:val="30"/>
                <w:szCs w:val="30"/>
              </w:rPr>
              <w:t>困人故障数/累计运行次数</w:t>
            </w:r>
          </w:p>
        </w:tc>
      </w:tr>
    </w:tbl>
    <w:p>
      <w:pPr>
        <w:ind w:firstLine="640"/>
        <w:rPr>
          <w:rFonts w:ascii="仿宋_GB2312" w:hAnsi="仿宋"/>
          <w:szCs w:val="32"/>
        </w:rPr>
      </w:pPr>
      <w:r>
        <w:rPr>
          <w:rFonts w:hint="eastAsia" w:ascii="仿宋_GB2312" w:hAnsi="仿宋"/>
          <w:szCs w:val="32"/>
        </w:rPr>
        <w:t>每天更新接入电梯的故障率，供监管人员查询。故障率必须达到一定指标的电梯才允许申请按需维保，并且按照故障率确定维保周期。引入退出机制，已经处于按需维保的电梯，故障率过高将调整维保周期，甚至停止按需维保。</w:t>
      </w:r>
    </w:p>
    <w:p>
      <w:pPr>
        <w:pStyle w:val="7"/>
        <w:numPr>
          <w:ilvl w:val="0"/>
          <w:numId w:val="80"/>
        </w:numPr>
        <w:ind w:firstLine="643"/>
      </w:pPr>
      <w:r>
        <w:rPr>
          <w:rFonts w:hint="eastAsia"/>
        </w:rPr>
        <w:t>电梯信息公示查询流程</w:t>
      </w:r>
    </w:p>
    <w:p>
      <w:pPr>
        <w:ind w:firstLine="640"/>
        <w:rPr>
          <w:rFonts w:ascii="仿宋_GB2312" w:hAnsi="仿宋"/>
          <w:szCs w:val="32"/>
        </w:rPr>
      </w:pPr>
      <w:r>
        <w:rPr>
          <w:rFonts w:hint="eastAsia" w:ascii="仿宋_GB2312" w:hAnsi="仿宋"/>
          <w:szCs w:val="32"/>
        </w:rPr>
        <w:t>通过微信平台，向乘梯人提供电梯公开信息的查询功能。可以通过地理位置、输入电梯注册码、扫描二维码等形式定位电梯。选择感兴趣的信息内容，查询具体信息。</w:t>
      </w:r>
    </w:p>
    <w:p>
      <w:pPr>
        <w:pStyle w:val="6"/>
        <w:numPr>
          <w:ilvl w:val="0"/>
          <w:numId w:val="94"/>
        </w:numPr>
        <w:ind w:left="0" w:firstLine="640"/>
        <w:rPr>
          <w:rFonts w:ascii="仿宋_GB2312"/>
          <w:szCs w:val="32"/>
        </w:rPr>
      </w:pPr>
      <w:r>
        <w:rPr>
          <w:rFonts w:hint="eastAsia" w:ascii="仿宋_GB2312"/>
          <w:szCs w:val="32"/>
        </w:rPr>
        <w:t>责任划分</w:t>
      </w:r>
    </w:p>
    <w:p>
      <w:pPr>
        <w:ind w:firstLine="640"/>
        <w:rPr>
          <w:rFonts w:ascii="仿宋_GB2312" w:hAnsi="仿宋"/>
          <w:szCs w:val="32"/>
        </w:rPr>
      </w:pPr>
      <w:r>
        <w:rPr>
          <w:rFonts w:hint="eastAsia" w:ascii="仿宋_GB2312" w:hAnsi="仿宋"/>
          <w:szCs w:val="32"/>
        </w:rPr>
        <w:t>省局统一建设电梯风险智控系统，负责组织开发相关相对应软件系统，协调数据接入。</w:t>
      </w:r>
    </w:p>
    <w:p>
      <w:pPr>
        <w:ind w:firstLine="640"/>
        <w:rPr>
          <w:rFonts w:ascii="仿宋_GB2312" w:hAnsi="仿宋"/>
          <w:szCs w:val="32"/>
        </w:rPr>
      </w:pPr>
      <w:r>
        <w:rPr>
          <w:rFonts w:hint="eastAsia" w:ascii="仿宋_GB2312" w:hAnsi="仿宋"/>
          <w:szCs w:val="32"/>
        </w:rPr>
        <w:t>各市局做好自己地区电梯物联网数据接入工作，督促已经按照物联智控装置的电梯将数据按照要求传输至信息系统，打击私自拆除、停用物联智控装置，做好风险处置闭环工作。</w:t>
      </w:r>
    </w:p>
    <w:p>
      <w:pPr>
        <w:ind w:firstLine="640"/>
        <w:rPr>
          <w:rFonts w:ascii="仿宋_GB2312" w:hAnsi="仿宋"/>
          <w:szCs w:val="32"/>
        </w:rPr>
      </w:pPr>
      <w:r>
        <w:rPr>
          <w:rFonts w:hint="eastAsia" w:ascii="仿宋_GB2312" w:hAnsi="仿宋"/>
          <w:szCs w:val="32"/>
        </w:rPr>
        <w:t>各电梯相关的维保单位和使用单位，安装浙里办应用，时刻关注推送信息，做好相应的救援、应急准备等工作。</w:t>
      </w:r>
    </w:p>
    <w:p>
      <w:pPr>
        <w:pStyle w:val="5"/>
        <w:numPr>
          <w:ilvl w:val="3"/>
          <w:numId w:val="92"/>
        </w:numPr>
        <w:ind w:left="0" w:firstLine="643"/>
        <w:rPr>
          <w:rFonts w:ascii="仿宋_GB2312"/>
          <w:szCs w:val="32"/>
        </w:rPr>
      </w:pPr>
      <w:bookmarkStart w:id="118" w:name="_Toc2130"/>
      <w:bookmarkStart w:id="119" w:name="_Toc11451"/>
      <w:r>
        <w:rPr>
          <w:rFonts w:hint="eastAsia" w:ascii="仿宋_GB2312"/>
          <w:szCs w:val="32"/>
        </w:rPr>
        <w:t>整合数据资源</w:t>
      </w:r>
      <w:bookmarkEnd w:id="118"/>
      <w:bookmarkEnd w:id="119"/>
    </w:p>
    <w:p>
      <w:pPr>
        <w:pStyle w:val="6"/>
        <w:numPr>
          <w:ilvl w:val="0"/>
          <w:numId w:val="98"/>
        </w:numPr>
        <w:ind w:left="0" w:firstLine="640"/>
        <w:rPr>
          <w:rFonts w:ascii="仿宋_GB2312"/>
          <w:szCs w:val="32"/>
        </w:rPr>
      </w:pPr>
      <w:r>
        <w:rPr>
          <w:rFonts w:hint="eastAsia" w:ascii="仿宋_GB2312"/>
          <w:szCs w:val="32"/>
        </w:rPr>
        <w:t>对接局内系统情况</w:t>
      </w:r>
    </w:p>
    <w:p>
      <w:pPr>
        <w:ind w:left="640" w:leftChars="200" w:firstLine="0" w:firstLineChars="0"/>
        <w:rPr>
          <w:rFonts w:ascii="仿宋_GB2312" w:hAnsi="仿宋"/>
          <w:szCs w:val="32"/>
        </w:rPr>
      </w:pPr>
      <w:r>
        <w:rPr>
          <w:rFonts w:hint="eastAsia" w:ascii="仿宋_GB2312" w:hAnsi="仿宋"/>
          <w:szCs w:val="32"/>
        </w:rPr>
        <w:t>行政执法平台，接口形式对接。</w:t>
      </w:r>
    </w:p>
    <w:p>
      <w:pPr>
        <w:pStyle w:val="6"/>
        <w:numPr>
          <w:ilvl w:val="0"/>
          <w:numId w:val="98"/>
        </w:numPr>
        <w:ind w:left="0" w:firstLine="640"/>
        <w:rPr>
          <w:rFonts w:ascii="仿宋_GB2312"/>
          <w:szCs w:val="32"/>
        </w:rPr>
      </w:pPr>
      <w:r>
        <w:rPr>
          <w:rFonts w:hint="eastAsia" w:ascii="仿宋_GB2312"/>
          <w:szCs w:val="32"/>
        </w:rPr>
        <w:t>其他部门系统情况</w:t>
      </w:r>
    </w:p>
    <w:p>
      <w:pPr>
        <w:ind w:left="640" w:leftChars="200" w:firstLine="0" w:firstLineChars="0"/>
        <w:rPr>
          <w:rFonts w:ascii="仿宋_GB2312" w:hAnsi="仿宋"/>
          <w:szCs w:val="32"/>
        </w:rPr>
      </w:pPr>
      <w:r>
        <w:rPr>
          <w:rFonts w:hint="eastAsia" w:ascii="仿宋_GB2312" w:hAnsi="仿宋"/>
          <w:szCs w:val="32"/>
        </w:rPr>
        <w:t>气象预告系统，接口形式对接。</w:t>
      </w:r>
    </w:p>
    <w:p>
      <w:pPr>
        <w:ind w:left="640" w:leftChars="200" w:firstLine="0" w:firstLineChars="0"/>
        <w:rPr>
          <w:rFonts w:ascii="仿宋_GB2312" w:hAnsi="仿宋"/>
          <w:szCs w:val="32"/>
        </w:rPr>
      </w:pPr>
      <w:r>
        <w:rPr>
          <w:rFonts w:hint="eastAsia" w:ascii="仿宋_GB2312" w:hAnsi="仿宋"/>
          <w:szCs w:val="32"/>
        </w:rPr>
        <w:t>电力信息发布系统，接口形式对接。</w:t>
      </w:r>
    </w:p>
    <w:p>
      <w:pPr>
        <w:pStyle w:val="4"/>
        <w:numPr>
          <w:ilvl w:val="2"/>
          <w:numId w:val="59"/>
        </w:numPr>
        <w:spacing w:before="0" w:after="0" w:line="580" w:lineRule="exact"/>
        <w:ind w:left="0" w:firstLine="640"/>
        <w:rPr>
          <w:rFonts w:ascii="楷体_GB2312" w:eastAsia="楷体_GB2312"/>
        </w:rPr>
      </w:pPr>
      <w:bookmarkStart w:id="120" w:name="_Toc18279"/>
      <w:bookmarkStart w:id="121" w:name="_Toc3892"/>
      <w:bookmarkStart w:id="122" w:name="_Toc48060215"/>
      <w:r>
        <w:rPr>
          <w:rFonts w:hint="eastAsia" w:ascii="楷体_GB2312" w:eastAsia="楷体_GB2312"/>
        </w:rPr>
        <w:t>起重机械风险智控应用场景</w:t>
      </w:r>
      <w:bookmarkEnd w:id="120"/>
      <w:bookmarkEnd w:id="121"/>
    </w:p>
    <w:p>
      <w:pPr>
        <w:pStyle w:val="5"/>
        <w:numPr>
          <w:ilvl w:val="3"/>
          <w:numId w:val="99"/>
        </w:numPr>
        <w:ind w:left="0" w:firstLine="643"/>
        <w:rPr>
          <w:rFonts w:ascii="仿宋_GB2312"/>
          <w:szCs w:val="32"/>
        </w:rPr>
      </w:pPr>
      <w:bookmarkStart w:id="123" w:name="_Toc7214"/>
      <w:bookmarkStart w:id="124" w:name="_Toc26824"/>
      <w:r>
        <w:rPr>
          <w:rFonts w:hint="eastAsia" w:ascii="仿宋_GB2312"/>
          <w:szCs w:val="32"/>
        </w:rPr>
        <w:t>功能描述</w:t>
      </w:r>
      <w:bookmarkEnd w:id="123"/>
      <w:bookmarkEnd w:id="124"/>
    </w:p>
    <w:p>
      <w:pPr>
        <w:ind w:firstLine="640"/>
        <w:rPr>
          <w:rFonts w:ascii="仿宋_GB2312" w:hAnsi="仿宋"/>
          <w:szCs w:val="32"/>
        </w:rPr>
      </w:pPr>
      <w:r>
        <w:rPr>
          <w:rFonts w:hint="eastAsia" w:ascii="仿宋_GB2312" w:hAnsi="仿宋"/>
          <w:szCs w:val="32"/>
        </w:rPr>
        <w:t>通过对起重机械基本信息、安全数据、环境因素、隐患缺陷的网络采集，智能判定起重机械及其使用单位的风险等级，形成风险预警信息。建设起重机械智控平台，实施起重机械风险分级管控及隐患排查治理，建立起重机械安全监察的“双重预防”机制。</w:t>
      </w:r>
    </w:p>
    <w:p>
      <w:pPr>
        <w:pStyle w:val="5"/>
        <w:numPr>
          <w:ilvl w:val="3"/>
          <w:numId w:val="99"/>
        </w:numPr>
        <w:ind w:left="0" w:firstLine="643"/>
        <w:rPr>
          <w:rFonts w:ascii="仿宋_GB2312"/>
          <w:szCs w:val="32"/>
        </w:rPr>
      </w:pPr>
      <w:bookmarkStart w:id="125" w:name="_Toc11339"/>
      <w:bookmarkStart w:id="126" w:name="_Toc3036"/>
      <w:r>
        <w:rPr>
          <w:rFonts w:hint="eastAsia" w:ascii="仿宋_GB2312"/>
          <w:szCs w:val="32"/>
        </w:rPr>
        <w:t>业务内容</w:t>
      </w:r>
      <w:bookmarkEnd w:id="125"/>
      <w:bookmarkEnd w:id="126"/>
    </w:p>
    <w:p>
      <w:pPr>
        <w:pStyle w:val="6"/>
        <w:numPr>
          <w:ilvl w:val="0"/>
          <w:numId w:val="100"/>
        </w:numPr>
        <w:ind w:left="0" w:firstLine="640"/>
        <w:rPr>
          <w:rFonts w:ascii="仿宋_GB2312"/>
          <w:szCs w:val="32"/>
        </w:rPr>
      </w:pPr>
      <w:r>
        <w:rPr>
          <w:rFonts w:hint="eastAsia" w:ascii="仿宋_GB2312"/>
          <w:szCs w:val="32"/>
        </w:rPr>
        <w:t>动态智能预警</w:t>
      </w:r>
    </w:p>
    <w:p>
      <w:pPr>
        <w:ind w:firstLine="640"/>
        <w:rPr>
          <w:rFonts w:ascii="仿宋_GB2312" w:hAnsi="仿宋"/>
          <w:szCs w:val="32"/>
        </w:rPr>
      </w:pPr>
      <w:r>
        <w:rPr>
          <w:rFonts w:hint="eastAsia" w:ascii="仿宋_GB2312" w:hAnsi="仿宋"/>
          <w:szCs w:val="32"/>
        </w:rPr>
        <w:t>通过物联网技术采集大型起重机械、重点区域起重机械的参数与位置信息，通过算法程序对违规作业的信息进行记录并发送预警信息给设备管理人员及监察人员。</w:t>
      </w:r>
    </w:p>
    <w:p>
      <w:pPr>
        <w:pStyle w:val="7"/>
        <w:numPr>
          <w:ilvl w:val="0"/>
          <w:numId w:val="101"/>
        </w:numPr>
        <w:ind w:firstLine="643"/>
      </w:pPr>
      <w:r>
        <w:rPr>
          <w:rFonts w:hint="eastAsia"/>
        </w:rPr>
        <w:t>超载违规智能预警</w:t>
      </w:r>
    </w:p>
    <w:p>
      <w:pPr>
        <w:tabs>
          <w:tab w:val="left" w:pos="312"/>
        </w:tabs>
        <w:ind w:firstLine="640"/>
        <w:rPr>
          <w:rFonts w:ascii="仿宋_GB2312" w:hAnsi="仿宋"/>
          <w:szCs w:val="32"/>
        </w:rPr>
      </w:pPr>
      <w:r>
        <w:rPr>
          <w:rFonts w:hint="eastAsia" w:ascii="仿宋_GB2312" w:hAnsi="仿宋"/>
          <w:szCs w:val="32"/>
        </w:rPr>
        <w:t>采集大型起重机械上已安装的安全监控系统中载荷信息，用于起重机械违规作业的判定。当起重载荷超过额定载荷时，系统自动发送预警信息给设备安全管理人员；当设备在</w:t>
      </w:r>
      <w:r>
        <w:rPr>
          <w:rFonts w:hint="eastAsia"/>
          <w:szCs w:val="32"/>
        </w:rPr>
        <w:t>3</w:t>
      </w:r>
      <w:r>
        <w:rPr>
          <w:rFonts w:hint="eastAsia" w:ascii="仿宋_GB2312" w:hAnsi="仿宋"/>
          <w:szCs w:val="32"/>
        </w:rPr>
        <w:t>个月内累计超载作业</w:t>
      </w:r>
      <w:r>
        <w:rPr>
          <w:rFonts w:cs="Times New Roman"/>
          <w:szCs w:val="32"/>
        </w:rPr>
        <w:t>5</w:t>
      </w:r>
      <w:r>
        <w:rPr>
          <w:rFonts w:hint="eastAsia" w:ascii="仿宋_GB2312" w:hAnsi="仿宋"/>
          <w:szCs w:val="32"/>
        </w:rPr>
        <w:t>次，系统自动发送预警信息给监察人员，提示增加对设备使用单位的检查频次。</w:t>
      </w:r>
    </w:p>
    <w:p>
      <w:pPr>
        <w:pStyle w:val="7"/>
        <w:numPr>
          <w:ilvl w:val="0"/>
          <w:numId w:val="80"/>
        </w:numPr>
        <w:ind w:firstLine="643"/>
      </w:pPr>
      <w:r>
        <w:rPr>
          <w:rFonts w:hint="eastAsia"/>
        </w:rPr>
        <w:t>超限违规智能预警</w:t>
      </w:r>
    </w:p>
    <w:p>
      <w:pPr>
        <w:tabs>
          <w:tab w:val="left" w:pos="312"/>
        </w:tabs>
        <w:ind w:firstLine="640"/>
        <w:rPr>
          <w:rFonts w:ascii="仿宋_GB2312" w:hAnsi="仿宋"/>
          <w:szCs w:val="32"/>
        </w:rPr>
      </w:pPr>
      <w:r>
        <w:rPr>
          <w:rFonts w:hint="eastAsia" w:ascii="仿宋_GB2312" w:hAnsi="仿宋"/>
          <w:szCs w:val="32"/>
        </w:rPr>
        <w:t>采集大型起重机械上已安装的安全监控系统中风速、载荷信息，用于起重机械违规作业的判定。当环境风速超过允许值且设备仍在作业（采集</w:t>
      </w:r>
      <w:r>
        <w:rPr>
          <w:rFonts w:hint="eastAsia" w:ascii="仿宋_GB2312" w:hAnsi="仿宋"/>
          <w:szCs w:val="32"/>
          <w:lang w:val="en-US" w:eastAsia="zh-CN"/>
        </w:rPr>
        <w:t>运行状态</w:t>
      </w:r>
      <w:r>
        <w:rPr>
          <w:rFonts w:hint="eastAsia" w:ascii="仿宋_GB2312" w:hAnsi="仿宋"/>
          <w:szCs w:val="32"/>
        </w:rPr>
        <w:t>信息作为判定依据）时，系统自动发送预警信息给设备安全管理人员；当设备在</w:t>
      </w:r>
      <w:r>
        <w:rPr>
          <w:rFonts w:hint="eastAsia"/>
          <w:szCs w:val="32"/>
        </w:rPr>
        <w:t>1</w:t>
      </w:r>
      <w:r>
        <w:rPr>
          <w:rFonts w:hint="eastAsia" w:ascii="仿宋_GB2312" w:hAnsi="仿宋"/>
          <w:szCs w:val="32"/>
        </w:rPr>
        <w:t>个月内累计超限作业</w:t>
      </w:r>
      <w:r>
        <w:rPr>
          <w:rFonts w:hint="eastAsia"/>
          <w:szCs w:val="32"/>
        </w:rPr>
        <w:t>5</w:t>
      </w:r>
      <w:r>
        <w:rPr>
          <w:rFonts w:hint="eastAsia" w:ascii="仿宋_GB2312" w:hAnsi="仿宋"/>
          <w:szCs w:val="32"/>
        </w:rPr>
        <w:t>次，系统自动发送预警信息给监察人员，提示增加对设备使用单位的检查频次。</w:t>
      </w:r>
    </w:p>
    <w:p>
      <w:pPr>
        <w:pStyle w:val="7"/>
        <w:numPr>
          <w:ilvl w:val="0"/>
          <w:numId w:val="80"/>
        </w:numPr>
        <w:ind w:firstLine="643"/>
      </w:pPr>
      <w:r>
        <w:rPr>
          <w:rFonts w:hint="eastAsia"/>
        </w:rPr>
        <w:t>防风违规智能预警</w:t>
      </w:r>
    </w:p>
    <w:p>
      <w:pPr>
        <w:tabs>
          <w:tab w:val="left" w:pos="312"/>
        </w:tabs>
        <w:ind w:firstLine="640"/>
        <w:rPr>
          <w:rFonts w:ascii="仿宋_GB2312" w:hAnsi="仿宋"/>
          <w:szCs w:val="32"/>
        </w:rPr>
      </w:pPr>
      <w:r>
        <w:rPr>
          <w:rFonts w:hint="eastAsia" w:ascii="仿宋_GB2312" w:hAnsi="仿宋"/>
          <w:szCs w:val="32"/>
        </w:rPr>
        <w:t>采集大型起重机械上已安装的安全监控系统中防风装置、载荷信息，用于起重机械违规作业的判定。当停机状态（采集</w:t>
      </w:r>
      <w:r>
        <w:rPr>
          <w:rFonts w:hint="eastAsia" w:ascii="仿宋_GB2312" w:hAnsi="仿宋"/>
          <w:szCs w:val="32"/>
          <w:lang w:val="en-US" w:eastAsia="zh-CN"/>
        </w:rPr>
        <w:t>运行状态</w:t>
      </w:r>
      <w:r>
        <w:rPr>
          <w:rFonts w:hint="eastAsia" w:ascii="仿宋_GB2312" w:hAnsi="仿宋"/>
          <w:szCs w:val="32"/>
        </w:rPr>
        <w:t>信息作为判定依据）防风装置未启动时，系统自动发送预警信息给设备安全管理人员；当设备在</w:t>
      </w:r>
      <w:r>
        <w:rPr>
          <w:rFonts w:cs="Times New Roman"/>
          <w:szCs w:val="32"/>
        </w:rPr>
        <w:t>1</w:t>
      </w:r>
      <w:r>
        <w:rPr>
          <w:rFonts w:hint="eastAsia" w:ascii="仿宋_GB2312" w:hAnsi="仿宋"/>
          <w:szCs w:val="32"/>
        </w:rPr>
        <w:t>个月内累计超限作业</w:t>
      </w:r>
      <w:r>
        <w:rPr>
          <w:rFonts w:hint="eastAsia"/>
          <w:szCs w:val="32"/>
        </w:rPr>
        <w:t>5</w:t>
      </w:r>
      <w:r>
        <w:rPr>
          <w:rFonts w:hint="eastAsia" w:ascii="仿宋_GB2312" w:hAnsi="仿宋"/>
          <w:szCs w:val="32"/>
        </w:rPr>
        <w:t>次，系统自动发送预警信息给监察人员，提示增加对设备使用单位的检查频次。</w:t>
      </w:r>
    </w:p>
    <w:p>
      <w:pPr>
        <w:pStyle w:val="7"/>
        <w:numPr>
          <w:ilvl w:val="0"/>
          <w:numId w:val="80"/>
        </w:numPr>
        <w:ind w:firstLine="643"/>
      </w:pPr>
      <w:r>
        <w:rPr>
          <w:rFonts w:hint="eastAsia"/>
        </w:rPr>
        <w:t>区域违规智能预警</w:t>
      </w:r>
    </w:p>
    <w:p>
      <w:pPr>
        <w:tabs>
          <w:tab w:val="left" w:pos="312"/>
        </w:tabs>
        <w:ind w:firstLine="640"/>
        <w:rPr>
          <w:rFonts w:ascii="仿宋_GB2312" w:hAnsi="仿宋"/>
          <w:szCs w:val="32"/>
        </w:rPr>
      </w:pPr>
      <w:r>
        <w:rPr>
          <w:rFonts w:hint="eastAsia" w:ascii="仿宋_GB2312" w:hAnsi="仿宋"/>
          <w:szCs w:val="32"/>
        </w:rPr>
        <w:t>通过在</w:t>
      </w:r>
      <w:r>
        <w:rPr>
          <w:rFonts w:hint="eastAsia" w:ascii="仿宋_GB2312" w:hAnsi="仿宋"/>
          <w:szCs w:val="32"/>
          <w:lang w:val="en-US" w:eastAsia="zh-CN"/>
        </w:rPr>
        <w:t>大型流动式</w:t>
      </w:r>
      <w:r>
        <w:rPr>
          <w:rFonts w:hint="eastAsia" w:ascii="仿宋_GB2312" w:hAnsi="仿宋"/>
          <w:szCs w:val="32"/>
        </w:rPr>
        <w:t>起重机械上加装</w:t>
      </w:r>
      <w:r>
        <w:rPr>
          <w:rFonts w:cs="Times New Roman"/>
          <w:szCs w:val="32"/>
        </w:rPr>
        <w:t>GPS</w:t>
      </w:r>
      <w:r>
        <w:rPr>
          <w:rFonts w:hint="eastAsia" w:ascii="仿宋_GB2312" w:hAnsi="仿宋"/>
          <w:szCs w:val="32"/>
        </w:rPr>
        <w:t>定位，获取设备的位置信息，用于起重机械违规作业的判定。如港口起重机械、化工场所的非防爆起重机进入防爆区域作业，交通工程门式起重机转场后未检验，流动式起重机违规转场等情况。发生上述情况时，系统自动发送预警信息给设备安全管理人员。</w:t>
      </w:r>
    </w:p>
    <w:p>
      <w:pPr>
        <w:pStyle w:val="6"/>
        <w:numPr>
          <w:ilvl w:val="0"/>
          <w:numId w:val="100"/>
        </w:numPr>
        <w:ind w:left="0" w:firstLine="640"/>
        <w:rPr>
          <w:rFonts w:ascii="仿宋_GB2312"/>
          <w:szCs w:val="32"/>
        </w:rPr>
      </w:pPr>
      <w:r>
        <w:rPr>
          <w:rFonts w:hint="eastAsia" w:ascii="仿宋_GB2312"/>
          <w:szCs w:val="32"/>
        </w:rPr>
        <w:t>风险智能分级</w:t>
      </w:r>
    </w:p>
    <w:p>
      <w:pPr>
        <w:ind w:firstLine="640"/>
        <w:rPr>
          <w:rFonts w:ascii="仿宋_GB2312" w:hAnsi="仿宋"/>
          <w:szCs w:val="32"/>
        </w:rPr>
      </w:pPr>
      <w:r>
        <w:rPr>
          <w:rFonts w:hint="eastAsia" w:ascii="仿宋_GB2312" w:hAnsi="仿宋"/>
          <w:szCs w:val="32"/>
        </w:rPr>
        <w:t>风险评级算法主要通过对设备基本信息、安全数据、环境因素、隐患缺陷的网络采集，智能判定起重机械及其使用单位的风险等级。</w:t>
      </w:r>
    </w:p>
    <w:tbl>
      <w:tblPr>
        <w:tblStyle w:val="28"/>
        <w:tblW w:w="0" w:type="auto"/>
        <w:tblInd w:w="0" w:type="dxa"/>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autofit"/>
        <w:tblCellMar>
          <w:top w:w="0" w:type="dxa"/>
          <w:left w:w="108" w:type="dxa"/>
          <w:bottom w:w="0" w:type="dxa"/>
          <w:right w:w="108" w:type="dxa"/>
        </w:tblCellMar>
      </w:tblPr>
      <w:tblGrid>
        <w:gridCol w:w="1154"/>
        <w:gridCol w:w="3159"/>
        <w:gridCol w:w="2783"/>
        <w:gridCol w:w="1426"/>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cantSplit/>
        </w:trPr>
        <w:tc>
          <w:tcPr>
            <w:tcW w:w="1154" w:type="dxa"/>
            <w:tcBorders>
              <w:tl2br w:val="nil"/>
              <w:tr2bl w:val="nil"/>
            </w:tcBorders>
            <w:noWrap w:val="0"/>
            <w:vAlign w:val="top"/>
          </w:tcPr>
          <w:p>
            <w:pPr>
              <w:ind w:left="0" w:leftChars="0" w:firstLine="0" w:firstLineChars="0"/>
              <w:jc w:val="both"/>
              <w:rPr>
                <w:rFonts w:hint="eastAsia" w:ascii="仿宋" w:hAnsi="仿宋" w:eastAsia="仿宋" w:cs="仿宋"/>
                <w:b/>
                <w:bCs/>
                <w:sz w:val="30"/>
                <w:szCs w:val="30"/>
                <w:lang w:val="en-US" w:eastAsia="zh-CN"/>
              </w:rPr>
            </w:pPr>
            <w:r>
              <w:rPr>
                <w:rFonts w:hint="eastAsia" w:ascii="仿宋" w:hAnsi="仿宋" w:eastAsia="仿宋" w:cs="仿宋"/>
                <w:b/>
                <w:bCs/>
                <w:sz w:val="30"/>
                <w:szCs w:val="30"/>
                <w:lang w:val="en-US" w:eastAsia="zh-CN"/>
              </w:rPr>
              <w:t>风险源</w:t>
            </w:r>
          </w:p>
        </w:tc>
        <w:tc>
          <w:tcPr>
            <w:tcW w:w="3159" w:type="dxa"/>
            <w:tcBorders>
              <w:tl2br w:val="nil"/>
              <w:tr2bl w:val="nil"/>
            </w:tcBorders>
            <w:noWrap w:val="0"/>
            <w:vAlign w:val="top"/>
          </w:tcPr>
          <w:p>
            <w:pPr>
              <w:ind w:left="0" w:leftChars="0" w:firstLine="0" w:firstLineChars="0"/>
              <w:jc w:val="both"/>
              <w:rPr>
                <w:rFonts w:hint="default" w:ascii="仿宋" w:hAnsi="仿宋" w:eastAsia="仿宋" w:cs="仿宋"/>
                <w:b/>
                <w:bCs/>
                <w:sz w:val="30"/>
                <w:szCs w:val="30"/>
                <w:lang w:val="en-US" w:eastAsia="zh-CN"/>
              </w:rPr>
            </w:pPr>
            <w:r>
              <w:rPr>
                <w:rFonts w:hint="eastAsia" w:ascii="仿宋" w:hAnsi="仿宋" w:eastAsia="仿宋" w:cs="仿宋"/>
                <w:b/>
                <w:bCs/>
                <w:sz w:val="30"/>
                <w:szCs w:val="30"/>
                <w:lang w:val="en-US" w:eastAsia="zh-CN"/>
              </w:rPr>
              <w:t>判定条件</w:t>
            </w:r>
          </w:p>
        </w:tc>
        <w:tc>
          <w:tcPr>
            <w:tcW w:w="2783" w:type="dxa"/>
            <w:tcBorders>
              <w:tl2br w:val="nil"/>
              <w:tr2bl w:val="nil"/>
            </w:tcBorders>
            <w:noWrap w:val="0"/>
            <w:vAlign w:val="top"/>
          </w:tcPr>
          <w:p>
            <w:pPr>
              <w:ind w:left="0" w:leftChars="0" w:firstLine="0" w:firstLineChars="0"/>
              <w:jc w:val="both"/>
              <w:rPr>
                <w:rFonts w:hint="default" w:ascii="仿宋" w:hAnsi="仿宋" w:eastAsia="仿宋" w:cs="仿宋"/>
                <w:b/>
                <w:bCs/>
                <w:sz w:val="30"/>
                <w:szCs w:val="30"/>
                <w:lang w:val="en-US" w:eastAsia="zh-CN"/>
              </w:rPr>
            </w:pPr>
            <w:r>
              <w:rPr>
                <w:rFonts w:hint="eastAsia" w:ascii="仿宋" w:hAnsi="仿宋" w:eastAsia="仿宋" w:cs="仿宋"/>
                <w:b/>
                <w:bCs/>
                <w:sz w:val="30"/>
                <w:szCs w:val="30"/>
                <w:lang w:val="en-US" w:eastAsia="zh-CN"/>
              </w:rPr>
              <w:t>处理措施</w:t>
            </w:r>
          </w:p>
        </w:tc>
        <w:tc>
          <w:tcPr>
            <w:tcW w:w="1426" w:type="dxa"/>
            <w:tcBorders>
              <w:tl2br w:val="nil"/>
              <w:tr2bl w:val="nil"/>
            </w:tcBorders>
            <w:noWrap w:val="0"/>
            <w:vAlign w:val="top"/>
          </w:tcPr>
          <w:p>
            <w:pPr>
              <w:ind w:left="0" w:leftChars="0" w:firstLine="0" w:firstLineChars="0"/>
              <w:jc w:val="both"/>
              <w:rPr>
                <w:rFonts w:hint="eastAsia" w:ascii="仿宋" w:hAnsi="仿宋" w:eastAsia="仿宋" w:cs="仿宋"/>
                <w:b/>
                <w:bCs/>
                <w:sz w:val="30"/>
                <w:szCs w:val="30"/>
                <w:lang w:val="en-US" w:eastAsia="zh-CN"/>
              </w:rPr>
            </w:pPr>
            <w:r>
              <w:rPr>
                <w:rFonts w:hint="eastAsia" w:ascii="仿宋" w:hAnsi="仿宋" w:eastAsia="仿宋" w:cs="仿宋"/>
                <w:b/>
                <w:bCs/>
                <w:sz w:val="30"/>
                <w:szCs w:val="30"/>
                <w:lang w:val="en-US" w:eastAsia="zh-CN"/>
              </w:rPr>
              <w:t>风险等级</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cantSplit/>
        </w:trPr>
        <w:tc>
          <w:tcPr>
            <w:tcW w:w="1154" w:type="dxa"/>
            <w:vMerge w:val="restart"/>
            <w:tcBorders>
              <w:tl2br w:val="nil"/>
              <w:tr2bl w:val="nil"/>
            </w:tcBorders>
            <w:noWrap w:val="0"/>
            <w:vAlign w:val="center"/>
          </w:tcPr>
          <w:p>
            <w:pPr>
              <w:ind w:left="0" w:leftChars="0" w:firstLine="0" w:firstLineChars="0"/>
              <w:jc w:val="both"/>
              <w:rPr>
                <w:rFonts w:hint="eastAsia" w:ascii="仿宋" w:hAnsi="仿宋" w:eastAsia="仿宋" w:cs="仿宋"/>
                <w:sz w:val="30"/>
                <w:szCs w:val="30"/>
                <w:lang w:val="en-US" w:eastAsia="zh-CN"/>
              </w:rPr>
            </w:pPr>
            <w:r>
              <w:rPr>
                <w:rFonts w:hint="eastAsia" w:ascii="仿宋" w:hAnsi="仿宋" w:eastAsia="仿宋" w:cs="仿宋"/>
                <w:sz w:val="30"/>
                <w:szCs w:val="30"/>
                <w:lang w:val="en-US" w:eastAsia="zh-CN"/>
              </w:rPr>
              <w:t>超载</w:t>
            </w:r>
          </w:p>
          <w:p>
            <w:pPr>
              <w:ind w:left="0" w:leftChars="0" w:firstLine="0" w:firstLineChars="0"/>
              <w:jc w:val="both"/>
              <w:rPr>
                <w:rFonts w:hint="default" w:ascii="仿宋" w:hAnsi="仿宋" w:eastAsia="仿宋" w:cs="仿宋"/>
                <w:sz w:val="30"/>
                <w:szCs w:val="30"/>
                <w:lang w:val="en-US" w:eastAsia="zh-CN"/>
              </w:rPr>
            </w:pPr>
            <w:r>
              <w:rPr>
                <w:rFonts w:hint="eastAsia" w:ascii="仿宋" w:hAnsi="仿宋" w:eastAsia="仿宋" w:cs="仿宋"/>
                <w:sz w:val="30"/>
                <w:szCs w:val="30"/>
                <w:lang w:val="en-US" w:eastAsia="zh-CN"/>
              </w:rPr>
              <w:t>违规</w:t>
            </w:r>
          </w:p>
        </w:tc>
        <w:tc>
          <w:tcPr>
            <w:tcW w:w="3159" w:type="dxa"/>
            <w:tcBorders>
              <w:tl2br w:val="nil"/>
              <w:tr2bl w:val="nil"/>
            </w:tcBorders>
            <w:noWrap w:val="0"/>
            <w:vAlign w:val="top"/>
          </w:tcPr>
          <w:p>
            <w:pPr>
              <w:ind w:left="0" w:leftChars="0" w:firstLine="0" w:firstLineChars="0"/>
              <w:rPr>
                <w:vertAlign w:val="baseline"/>
              </w:rPr>
            </w:pPr>
            <w:r>
              <w:rPr>
                <w:rFonts w:hint="eastAsia" w:ascii="仿宋" w:hAnsi="仿宋" w:eastAsia="仿宋" w:cs="仿宋"/>
                <w:sz w:val="30"/>
                <w:szCs w:val="30"/>
                <w:lang w:val="en-US" w:eastAsia="zh-CN"/>
              </w:rPr>
              <w:t>采集起重量信号，</w:t>
            </w:r>
            <w:r>
              <w:rPr>
                <w:rFonts w:hint="eastAsia" w:ascii="仿宋" w:hAnsi="仿宋" w:eastAsia="仿宋" w:cs="仿宋"/>
                <w:sz w:val="30"/>
                <w:szCs w:val="30"/>
              </w:rPr>
              <w:t>起重机起吊重量达到</w:t>
            </w:r>
            <w:r>
              <w:rPr>
                <w:rFonts w:hint="eastAsia" w:ascii="仿宋" w:hAnsi="仿宋" w:eastAsia="仿宋" w:cs="仿宋"/>
                <w:sz w:val="30"/>
                <w:szCs w:val="30"/>
                <w:lang w:val="en-US" w:eastAsia="zh-CN"/>
              </w:rPr>
              <w:t>1.05—</w:t>
            </w:r>
            <w:r>
              <w:rPr>
                <w:rFonts w:hint="eastAsia" w:ascii="仿宋" w:hAnsi="仿宋" w:eastAsia="仿宋" w:cs="仿宋"/>
                <w:sz w:val="30"/>
                <w:szCs w:val="30"/>
              </w:rPr>
              <w:t>1.</w:t>
            </w:r>
            <w:r>
              <w:rPr>
                <w:rFonts w:hint="eastAsia" w:ascii="仿宋" w:hAnsi="仿宋" w:eastAsia="仿宋" w:cs="仿宋"/>
                <w:sz w:val="30"/>
                <w:szCs w:val="30"/>
                <w:lang w:val="en-US" w:eastAsia="zh-CN"/>
              </w:rPr>
              <w:t>1</w:t>
            </w:r>
            <w:r>
              <w:rPr>
                <w:rFonts w:hint="eastAsia" w:ascii="仿宋" w:hAnsi="仿宋" w:eastAsia="仿宋" w:cs="仿宋"/>
                <w:sz w:val="30"/>
                <w:szCs w:val="30"/>
              </w:rPr>
              <w:t>倍额定起重量</w:t>
            </w:r>
          </w:p>
        </w:tc>
        <w:tc>
          <w:tcPr>
            <w:tcW w:w="2783" w:type="dxa"/>
            <w:tcBorders>
              <w:tl2br w:val="nil"/>
              <w:tr2bl w:val="nil"/>
            </w:tcBorders>
            <w:noWrap w:val="0"/>
            <w:vAlign w:val="top"/>
          </w:tcPr>
          <w:p>
            <w:pPr>
              <w:ind w:left="0" w:leftChars="0" w:firstLine="0" w:firstLineChars="0"/>
              <w:rPr>
                <w:vertAlign w:val="baseline"/>
              </w:rPr>
            </w:pPr>
            <w:r>
              <w:rPr>
                <w:rFonts w:hint="eastAsia" w:ascii="仿宋" w:hAnsi="仿宋" w:eastAsia="仿宋" w:cs="仿宋"/>
                <w:sz w:val="30"/>
                <w:szCs w:val="30"/>
              </w:rPr>
              <w:t>向设备安全管理人员进行报警</w:t>
            </w:r>
          </w:p>
        </w:tc>
        <w:tc>
          <w:tcPr>
            <w:tcW w:w="1426" w:type="dxa"/>
            <w:tcBorders>
              <w:tl2br w:val="nil"/>
              <w:tr2bl w:val="nil"/>
            </w:tcBorders>
            <w:noWrap w:val="0"/>
            <w:vAlign w:val="center"/>
          </w:tcPr>
          <w:p>
            <w:pPr>
              <w:ind w:left="0" w:leftChars="0" w:firstLine="0" w:firstLineChars="0"/>
              <w:jc w:val="center"/>
              <w:rPr>
                <w:rFonts w:hint="eastAsia" w:ascii="仿宋" w:hAnsi="仿宋" w:eastAsia="仿宋" w:cs="仿宋"/>
                <w:sz w:val="30"/>
                <w:szCs w:val="30"/>
                <w:lang w:val="en-US" w:eastAsia="zh-CN"/>
              </w:rPr>
            </w:pPr>
            <w:r>
              <w:rPr>
                <w:rFonts w:hint="eastAsia" w:ascii="仿宋" w:hAnsi="仿宋" w:eastAsia="仿宋" w:cs="仿宋"/>
                <w:sz w:val="30"/>
                <w:szCs w:val="30"/>
                <w:lang w:val="en-US" w:eastAsia="zh-CN"/>
              </w:rPr>
              <w:t>一级</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cantSplit/>
        </w:trPr>
        <w:tc>
          <w:tcPr>
            <w:tcW w:w="1154" w:type="dxa"/>
            <w:vMerge w:val="continue"/>
            <w:tcBorders>
              <w:tl2br w:val="nil"/>
              <w:tr2bl w:val="nil"/>
            </w:tcBorders>
            <w:noWrap w:val="0"/>
            <w:vAlign w:val="top"/>
          </w:tcPr>
          <w:p>
            <w:pPr>
              <w:jc w:val="center"/>
              <w:rPr>
                <w:rFonts w:hint="eastAsia" w:ascii="仿宋" w:hAnsi="仿宋" w:eastAsia="仿宋" w:cs="仿宋"/>
                <w:sz w:val="30"/>
                <w:szCs w:val="30"/>
                <w:lang w:val="en-US" w:eastAsia="zh-CN"/>
              </w:rPr>
            </w:pPr>
          </w:p>
        </w:tc>
        <w:tc>
          <w:tcPr>
            <w:tcW w:w="3159" w:type="dxa"/>
            <w:tcBorders>
              <w:tl2br w:val="nil"/>
              <w:tr2bl w:val="nil"/>
            </w:tcBorders>
            <w:noWrap w:val="0"/>
            <w:vAlign w:val="top"/>
          </w:tcPr>
          <w:p>
            <w:pPr>
              <w:ind w:left="0" w:leftChars="0" w:firstLine="0" w:firstLineChars="0"/>
              <w:rPr>
                <w:rFonts w:hint="eastAsia" w:ascii="仿宋" w:hAnsi="仿宋" w:eastAsia="仿宋" w:cs="仿宋"/>
                <w:sz w:val="30"/>
                <w:szCs w:val="30"/>
                <w:lang w:val="en-US" w:eastAsia="zh-CN"/>
              </w:rPr>
            </w:pPr>
            <w:r>
              <w:rPr>
                <w:rFonts w:hint="eastAsia" w:ascii="仿宋" w:hAnsi="仿宋" w:eastAsia="仿宋" w:cs="仿宋"/>
                <w:sz w:val="30"/>
                <w:szCs w:val="30"/>
                <w:lang w:val="en-US" w:eastAsia="zh-CN"/>
              </w:rPr>
              <w:t>采集起重量信号，起重机起吊重量达到1.1倍额定起重量以上</w:t>
            </w:r>
          </w:p>
        </w:tc>
        <w:tc>
          <w:tcPr>
            <w:tcW w:w="2783" w:type="dxa"/>
            <w:tcBorders>
              <w:tl2br w:val="nil"/>
              <w:tr2bl w:val="nil"/>
            </w:tcBorders>
            <w:noWrap w:val="0"/>
            <w:vAlign w:val="top"/>
          </w:tcPr>
          <w:p>
            <w:pPr>
              <w:ind w:left="0" w:leftChars="0" w:firstLine="0" w:firstLineChars="0"/>
              <w:rPr>
                <w:rFonts w:hint="eastAsia" w:ascii="仿宋" w:hAnsi="仿宋" w:eastAsia="仿宋" w:cs="仿宋"/>
                <w:sz w:val="30"/>
                <w:szCs w:val="30"/>
                <w:lang w:val="en-US" w:eastAsia="zh-CN"/>
              </w:rPr>
            </w:pPr>
            <w:r>
              <w:rPr>
                <w:rFonts w:hint="eastAsia" w:ascii="仿宋" w:hAnsi="仿宋" w:eastAsia="仿宋" w:cs="仿宋"/>
                <w:sz w:val="30"/>
                <w:szCs w:val="30"/>
                <w:lang w:val="en-US" w:eastAsia="zh-CN"/>
              </w:rPr>
              <w:t>向设备安全管理人员进行报警</w:t>
            </w:r>
          </w:p>
        </w:tc>
        <w:tc>
          <w:tcPr>
            <w:tcW w:w="1426" w:type="dxa"/>
            <w:tcBorders>
              <w:tl2br w:val="nil"/>
              <w:tr2bl w:val="nil"/>
            </w:tcBorders>
            <w:noWrap w:val="0"/>
            <w:vAlign w:val="center"/>
          </w:tcPr>
          <w:p>
            <w:pPr>
              <w:ind w:left="0" w:leftChars="0" w:firstLine="0" w:firstLineChars="0"/>
              <w:jc w:val="center"/>
              <w:rPr>
                <w:rFonts w:hint="default" w:ascii="仿宋" w:hAnsi="仿宋" w:eastAsia="仿宋" w:cs="仿宋"/>
                <w:sz w:val="30"/>
                <w:szCs w:val="30"/>
                <w:lang w:val="en-US" w:eastAsia="zh-CN"/>
              </w:rPr>
            </w:pPr>
            <w:r>
              <w:rPr>
                <w:rFonts w:hint="eastAsia" w:ascii="仿宋" w:hAnsi="仿宋" w:eastAsia="仿宋" w:cs="仿宋"/>
                <w:sz w:val="30"/>
                <w:szCs w:val="30"/>
                <w:lang w:val="en-US" w:eastAsia="zh-CN"/>
              </w:rPr>
              <w:t>二级</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cantSplit/>
        </w:trPr>
        <w:tc>
          <w:tcPr>
            <w:tcW w:w="1154" w:type="dxa"/>
            <w:vMerge w:val="continue"/>
            <w:tcBorders>
              <w:tl2br w:val="nil"/>
              <w:tr2bl w:val="nil"/>
            </w:tcBorders>
            <w:noWrap w:val="0"/>
            <w:vAlign w:val="top"/>
          </w:tcPr>
          <w:p>
            <w:pPr>
              <w:jc w:val="center"/>
              <w:rPr>
                <w:rFonts w:hint="eastAsia" w:ascii="仿宋" w:hAnsi="仿宋" w:eastAsia="仿宋" w:cs="仿宋"/>
                <w:sz w:val="30"/>
                <w:szCs w:val="30"/>
                <w:lang w:val="en-US" w:eastAsia="zh-CN"/>
              </w:rPr>
            </w:pPr>
          </w:p>
        </w:tc>
        <w:tc>
          <w:tcPr>
            <w:tcW w:w="3159" w:type="dxa"/>
            <w:tcBorders>
              <w:tl2br w:val="nil"/>
              <w:tr2bl w:val="nil"/>
            </w:tcBorders>
            <w:noWrap w:val="0"/>
            <w:vAlign w:val="top"/>
          </w:tcPr>
          <w:p>
            <w:pPr>
              <w:ind w:left="0" w:leftChars="0" w:firstLine="0" w:firstLineChars="0"/>
              <w:rPr>
                <w:rFonts w:hint="eastAsia" w:ascii="仿宋" w:hAnsi="仿宋" w:eastAsia="仿宋" w:cs="仿宋"/>
                <w:sz w:val="30"/>
                <w:szCs w:val="30"/>
                <w:lang w:val="en-US" w:eastAsia="zh-CN"/>
              </w:rPr>
            </w:pPr>
            <w:r>
              <w:rPr>
                <w:rFonts w:hint="eastAsia" w:ascii="仿宋" w:hAnsi="仿宋" w:eastAsia="仿宋" w:cs="仿宋"/>
                <w:sz w:val="30"/>
                <w:szCs w:val="30"/>
                <w:lang w:val="en-US" w:eastAsia="zh-CN"/>
              </w:rPr>
              <w:t>采集起重量信号，三个月累计5次起重机起吊重量达到1.1倍额定起重量以上</w:t>
            </w:r>
          </w:p>
        </w:tc>
        <w:tc>
          <w:tcPr>
            <w:tcW w:w="2783" w:type="dxa"/>
            <w:tcBorders>
              <w:tl2br w:val="nil"/>
              <w:tr2bl w:val="nil"/>
            </w:tcBorders>
            <w:noWrap w:val="0"/>
            <w:vAlign w:val="top"/>
          </w:tcPr>
          <w:p>
            <w:pPr>
              <w:ind w:left="0" w:leftChars="0" w:firstLine="0" w:firstLineChars="0"/>
              <w:rPr>
                <w:rFonts w:hint="eastAsia" w:ascii="仿宋" w:hAnsi="仿宋" w:eastAsia="仿宋" w:cs="仿宋"/>
                <w:sz w:val="30"/>
                <w:szCs w:val="30"/>
                <w:lang w:val="en-US" w:eastAsia="zh-CN"/>
              </w:rPr>
            </w:pPr>
            <w:r>
              <w:rPr>
                <w:rFonts w:hint="eastAsia" w:ascii="仿宋" w:hAnsi="仿宋" w:eastAsia="仿宋" w:cs="仿宋"/>
                <w:sz w:val="30"/>
                <w:szCs w:val="30"/>
                <w:lang w:val="en-US" w:eastAsia="zh-CN"/>
              </w:rPr>
              <w:t>向监察人员进行报警</w:t>
            </w:r>
          </w:p>
        </w:tc>
        <w:tc>
          <w:tcPr>
            <w:tcW w:w="1426" w:type="dxa"/>
            <w:tcBorders>
              <w:tl2br w:val="nil"/>
              <w:tr2bl w:val="nil"/>
            </w:tcBorders>
            <w:noWrap w:val="0"/>
            <w:vAlign w:val="center"/>
          </w:tcPr>
          <w:p>
            <w:pPr>
              <w:ind w:left="0" w:leftChars="0" w:firstLine="0" w:firstLineChars="0"/>
              <w:jc w:val="center"/>
              <w:rPr>
                <w:rFonts w:hint="default" w:ascii="仿宋" w:hAnsi="仿宋" w:eastAsia="仿宋" w:cs="仿宋"/>
                <w:sz w:val="30"/>
                <w:szCs w:val="30"/>
                <w:lang w:val="en-US" w:eastAsia="zh-CN"/>
              </w:rPr>
            </w:pPr>
            <w:r>
              <w:rPr>
                <w:rFonts w:hint="eastAsia" w:ascii="仿宋" w:hAnsi="仿宋" w:eastAsia="仿宋" w:cs="仿宋"/>
                <w:sz w:val="30"/>
                <w:szCs w:val="30"/>
                <w:lang w:val="en-US" w:eastAsia="zh-CN"/>
              </w:rPr>
              <w:t>三级</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cantSplit/>
          <w:trHeight w:val="1917" w:hRule="atLeast"/>
        </w:trPr>
        <w:tc>
          <w:tcPr>
            <w:tcW w:w="1154" w:type="dxa"/>
            <w:vMerge w:val="restart"/>
            <w:tcBorders>
              <w:tl2br w:val="nil"/>
              <w:tr2bl w:val="nil"/>
            </w:tcBorders>
            <w:noWrap w:val="0"/>
            <w:vAlign w:val="center"/>
          </w:tcPr>
          <w:p>
            <w:pPr>
              <w:ind w:left="0" w:leftChars="0" w:firstLine="0" w:firstLineChars="0"/>
              <w:jc w:val="both"/>
              <w:rPr>
                <w:rFonts w:hint="eastAsia" w:ascii="仿宋" w:hAnsi="仿宋" w:eastAsia="仿宋" w:cs="仿宋"/>
                <w:sz w:val="30"/>
                <w:szCs w:val="30"/>
                <w:lang w:val="en-US" w:eastAsia="zh-CN"/>
              </w:rPr>
            </w:pPr>
            <w:r>
              <w:rPr>
                <w:rFonts w:hint="eastAsia" w:ascii="仿宋" w:hAnsi="仿宋" w:eastAsia="仿宋" w:cs="仿宋"/>
                <w:sz w:val="30"/>
                <w:szCs w:val="30"/>
                <w:lang w:val="en-US" w:eastAsia="zh-CN"/>
              </w:rPr>
              <w:t>超限</w:t>
            </w:r>
          </w:p>
          <w:p>
            <w:pPr>
              <w:ind w:left="0" w:leftChars="0" w:firstLine="0" w:firstLineChars="0"/>
              <w:jc w:val="both"/>
              <w:rPr>
                <w:rFonts w:hint="default" w:ascii="仿宋" w:hAnsi="仿宋" w:eastAsia="仿宋" w:cs="仿宋"/>
                <w:sz w:val="30"/>
                <w:szCs w:val="30"/>
                <w:lang w:val="en-US" w:eastAsia="zh-CN"/>
              </w:rPr>
            </w:pPr>
            <w:r>
              <w:rPr>
                <w:rFonts w:hint="eastAsia" w:ascii="仿宋" w:hAnsi="仿宋" w:eastAsia="仿宋" w:cs="仿宋"/>
                <w:sz w:val="30"/>
                <w:szCs w:val="30"/>
                <w:lang w:val="en-US" w:eastAsia="zh-CN"/>
              </w:rPr>
              <w:t>违规</w:t>
            </w:r>
          </w:p>
        </w:tc>
        <w:tc>
          <w:tcPr>
            <w:tcW w:w="3159" w:type="dxa"/>
            <w:tcBorders>
              <w:tl2br w:val="nil"/>
              <w:tr2bl w:val="nil"/>
            </w:tcBorders>
            <w:noWrap w:val="0"/>
            <w:vAlign w:val="top"/>
          </w:tcPr>
          <w:p>
            <w:pPr>
              <w:ind w:left="0" w:leftChars="0" w:firstLine="0" w:firstLineChars="0"/>
              <w:rPr>
                <w:rFonts w:hint="eastAsia" w:ascii="仿宋" w:hAnsi="仿宋" w:eastAsia="仿宋" w:cs="仿宋"/>
                <w:sz w:val="30"/>
                <w:szCs w:val="30"/>
                <w:lang w:val="en-US" w:eastAsia="zh-CN"/>
              </w:rPr>
            </w:pPr>
            <w:r>
              <w:rPr>
                <w:rFonts w:hint="eastAsia" w:ascii="仿宋" w:hAnsi="仿宋" w:eastAsia="仿宋" w:cs="仿宋"/>
                <w:sz w:val="30"/>
                <w:szCs w:val="30"/>
                <w:lang w:val="en-US" w:eastAsia="zh-CN"/>
              </w:rPr>
              <w:t>采集风速和运行状态信号，起重机在超过允许风速下运行</w:t>
            </w:r>
          </w:p>
        </w:tc>
        <w:tc>
          <w:tcPr>
            <w:tcW w:w="2783" w:type="dxa"/>
            <w:tcBorders>
              <w:tl2br w:val="nil"/>
              <w:tr2bl w:val="nil"/>
            </w:tcBorders>
            <w:noWrap w:val="0"/>
            <w:vAlign w:val="top"/>
          </w:tcPr>
          <w:p>
            <w:pPr>
              <w:ind w:left="0" w:leftChars="0" w:firstLine="0" w:firstLineChars="0"/>
              <w:rPr>
                <w:rFonts w:hint="eastAsia" w:ascii="仿宋" w:hAnsi="仿宋" w:eastAsia="仿宋" w:cs="仿宋"/>
                <w:sz w:val="30"/>
                <w:szCs w:val="30"/>
                <w:lang w:val="en-US" w:eastAsia="zh-CN"/>
              </w:rPr>
            </w:pPr>
            <w:r>
              <w:rPr>
                <w:rFonts w:hint="eastAsia" w:ascii="仿宋" w:hAnsi="仿宋" w:eastAsia="仿宋" w:cs="仿宋"/>
                <w:sz w:val="30"/>
                <w:szCs w:val="30"/>
                <w:lang w:val="en-US" w:eastAsia="zh-CN"/>
              </w:rPr>
              <w:t>向安全管理人员进行报警</w:t>
            </w:r>
          </w:p>
        </w:tc>
        <w:tc>
          <w:tcPr>
            <w:tcW w:w="1426" w:type="dxa"/>
            <w:tcBorders>
              <w:tl2br w:val="nil"/>
              <w:tr2bl w:val="nil"/>
            </w:tcBorders>
            <w:noWrap w:val="0"/>
            <w:vAlign w:val="center"/>
          </w:tcPr>
          <w:p>
            <w:pPr>
              <w:ind w:left="0" w:leftChars="0" w:firstLine="0" w:firstLineChars="0"/>
              <w:jc w:val="center"/>
              <w:rPr>
                <w:rFonts w:hint="default" w:ascii="仿宋" w:hAnsi="仿宋" w:eastAsia="仿宋" w:cs="仿宋"/>
                <w:sz w:val="30"/>
                <w:szCs w:val="30"/>
                <w:lang w:val="en-US" w:eastAsia="zh-CN"/>
              </w:rPr>
            </w:pPr>
            <w:r>
              <w:rPr>
                <w:rFonts w:hint="eastAsia" w:ascii="仿宋" w:hAnsi="仿宋" w:eastAsia="仿宋" w:cs="仿宋"/>
                <w:sz w:val="30"/>
                <w:szCs w:val="30"/>
                <w:lang w:val="en-US" w:eastAsia="zh-CN"/>
              </w:rPr>
              <w:t>二级</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cantSplit/>
          <w:trHeight w:val="1223" w:hRule="atLeast"/>
        </w:trPr>
        <w:tc>
          <w:tcPr>
            <w:tcW w:w="1154" w:type="dxa"/>
            <w:vMerge w:val="continue"/>
            <w:tcBorders>
              <w:tl2br w:val="nil"/>
              <w:tr2bl w:val="nil"/>
            </w:tcBorders>
            <w:noWrap w:val="0"/>
            <w:vAlign w:val="center"/>
          </w:tcPr>
          <w:p>
            <w:pPr>
              <w:jc w:val="center"/>
              <w:rPr>
                <w:rFonts w:hint="eastAsia" w:ascii="仿宋" w:hAnsi="仿宋" w:eastAsia="仿宋" w:cs="仿宋"/>
                <w:sz w:val="30"/>
                <w:szCs w:val="30"/>
                <w:lang w:val="en-US" w:eastAsia="zh-CN"/>
              </w:rPr>
            </w:pPr>
          </w:p>
        </w:tc>
        <w:tc>
          <w:tcPr>
            <w:tcW w:w="3159" w:type="dxa"/>
            <w:tcBorders>
              <w:tl2br w:val="nil"/>
              <w:tr2bl w:val="nil"/>
            </w:tcBorders>
            <w:noWrap w:val="0"/>
            <w:vAlign w:val="top"/>
          </w:tcPr>
          <w:p>
            <w:pPr>
              <w:ind w:left="0" w:leftChars="0" w:firstLine="0" w:firstLineChars="0"/>
              <w:rPr>
                <w:rFonts w:hint="eastAsia" w:ascii="仿宋" w:hAnsi="仿宋" w:eastAsia="仿宋" w:cs="仿宋"/>
                <w:sz w:val="30"/>
                <w:szCs w:val="30"/>
                <w:lang w:val="en-US" w:eastAsia="zh-CN"/>
              </w:rPr>
            </w:pPr>
            <w:r>
              <w:rPr>
                <w:rFonts w:hint="eastAsia" w:ascii="仿宋" w:hAnsi="仿宋" w:eastAsia="仿宋" w:cs="仿宋"/>
                <w:sz w:val="30"/>
                <w:szCs w:val="30"/>
                <w:lang w:val="en-US" w:eastAsia="zh-CN"/>
              </w:rPr>
              <w:t>采集风速和运行状态信号，一个月累计5次起重机在超过允许风速下运行</w:t>
            </w:r>
          </w:p>
        </w:tc>
        <w:tc>
          <w:tcPr>
            <w:tcW w:w="2783" w:type="dxa"/>
            <w:tcBorders>
              <w:tl2br w:val="nil"/>
              <w:tr2bl w:val="nil"/>
            </w:tcBorders>
            <w:noWrap w:val="0"/>
            <w:vAlign w:val="top"/>
          </w:tcPr>
          <w:p>
            <w:pPr>
              <w:ind w:left="0" w:leftChars="0" w:firstLine="0" w:firstLineChars="0"/>
              <w:rPr>
                <w:rFonts w:hint="eastAsia" w:ascii="仿宋" w:hAnsi="仿宋" w:eastAsia="仿宋" w:cs="仿宋"/>
                <w:sz w:val="30"/>
                <w:szCs w:val="30"/>
                <w:lang w:val="en-US" w:eastAsia="zh-CN"/>
              </w:rPr>
            </w:pPr>
            <w:r>
              <w:rPr>
                <w:rFonts w:hint="eastAsia" w:ascii="仿宋" w:hAnsi="仿宋" w:eastAsia="仿宋" w:cs="仿宋"/>
                <w:sz w:val="30"/>
                <w:szCs w:val="30"/>
                <w:lang w:val="en-US" w:eastAsia="zh-CN"/>
              </w:rPr>
              <w:t>向监察人员进行报警。</w:t>
            </w:r>
          </w:p>
        </w:tc>
        <w:tc>
          <w:tcPr>
            <w:tcW w:w="1426" w:type="dxa"/>
            <w:tcBorders>
              <w:tl2br w:val="nil"/>
              <w:tr2bl w:val="nil"/>
            </w:tcBorders>
            <w:noWrap w:val="0"/>
            <w:vAlign w:val="center"/>
          </w:tcPr>
          <w:p>
            <w:pPr>
              <w:ind w:left="0" w:leftChars="0" w:firstLine="0" w:firstLineChars="0"/>
              <w:jc w:val="center"/>
              <w:rPr>
                <w:rFonts w:hint="default" w:ascii="仿宋" w:hAnsi="仿宋" w:eastAsia="仿宋" w:cs="仿宋"/>
                <w:sz w:val="30"/>
                <w:szCs w:val="30"/>
                <w:lang w:val="en-US" w:eastAsia="zh-CN"/>
              </w:rPr>
            </w:pPr>
            <w:r>
              <w:rPr>
                <w:rFonts w:hint="eastAsia" w:ascii="仿宋" w:hAnsi="仿宋" w:eastAsia="仿宋" w:cs="仿宋"/>
                <w:sz w:val="30"/>
                <w:szCs w:val="30"/>
                <w:lang w:val="en-US" w:eastAsia="zh-CN"/>
              </w:rPr>
              <w:t>三级</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cantSplit/>
          <w:trHeight w:val="2108" w:hRule="atLeast"/>
        </w:trPr>
        <w:tc>
          <w:tcPr>
            <w:tcW w:w="1154" w:type="dxa"/>
            <w:vMerge w:val="restart"/>
            <w:tcBorders>
              <w:tl2br w:val="nil"/>
              <w:tr2bl w:val="nil"/>
            </w:tcBorders>
            <w:noWrap w:val="0"/>
            <w:vAlign w:val="center"/>
          </w:tcPr>
          <w:p>
            <w:pPr>
              <w:ind w:left="0" w:leftChars="0" w:firstLine="0" w:firstLineChars="0"/>
              <w:jc w:val="both"/>
              <w:rPr>
                <w:rFonts w:hint="eastAsia" w:ascii="仿宋" w:hAnsi="仿宋" w:eastAsia="仿宋" w:cs="仿宋"/>
                <w:sz w:val="30"/>
                <w:szCs w:val="30"/>
                <w:lang w:val="en-US" w:eastAsia="zh-CN"/>
              </w:rPr>
            </w:pPr>
            <w:r>
              <w:rPr>
                <w:rFonts w:hint="eastAsia" w:ascii="仿宋" w:hAnsi="仿宋" w:eastAsia="仿宋" w:cs="仿宋"/>
                <w:sz w:val="30"/>
                <w:szCs w:val="30"/>
                <w:lang w:val="en-US" w:eastAsia="zh-CN"/>
              </w:rPr>
              <w:t>防风</w:t>
            </w:r>
          </w:p>
          <w:p>
            <w:pPr>
              <w:ind w:left="0" w:leftChars="0" w:firstLine="0" w:firstLineChars="0"/>
              <w:jc w:val="both"/>
              <w:rPr>
                <w:rFonts w:hint="default" w:ascii="仿宋" w:hAnsi="仿宋" w:eastAsia="仿宋" w:cs="仿宋"/>
                <w:sz w:val="30"/>
                <w:szCs w:val="30"/>
                <w:lang w:val="en-US" w:eastAsia="zh-CN"/>
              </w:rPr>
            </w:pPr>
            <w:r>
              <w:rPr>
                <w:rFonts w:hint="eastAsia" w:ascii="仿宋" w:hAnsi="仿宋" w:eastAsia="仿宋" w:cs="仿宋"/>
                <w:sz w:val="30"/>
                <w:szCs w:val="30"/>
                <w:lang w:val="en-US" w:eastAsia="zh-CN"/>
              </w:rPr>
              <w:t>违规</w:t>
            </w:r>
          </w:p>
        </w:tc>
        <w:tc>
          <w:tcPr>
            <w:tcW w:w="3159" w:type="dxa"/>
            <w:tcBorders>
              <w:tl2br w:val="nil"/>
              <w:tr2bl w:val="nil"/>
            </w:tcBorders>
            <w:noWrap w:val="0"/>
            <w:vAlign w:val="top"/>
          </w:tcPr>
          <w:p>
            <w:pPr>
              <w:ind w:left="0" w:leftChars="0" w:firstLine="0" w:firstLineChars="0"/>
              <w:rPr>
                <w:rFonts w:hint="eastAsia" w:ascii="仿宋" w:hAnsi="仿宋" w:eastAsia="仿宋" w:cs="仿宋"/>
                <w:sz w:val="30"/>
                <w:szCs w:val="30"/>
                <w:lang w:val="en-US" w:eastAsia="zh-CN"/>
              </w:rPr>
            </w:pPr>
            <w:r>
              <w:rPr>
                <w:rFonts w:hint="eastAsia" w:ascii="仿宋" w:hAnsi="仿宋" w:eastAsia="仿宋" w:cs="仿宋"/>
                <w:sz w:val="30"/>
                <w:szCs w:val="30"/>
                <w:lang w:val="en-US" w:eastAsia="zh-CN"/>
              </w:rPr>
              <w:t>采集防风装置和运行状态信号，起重机在停机状态下运行，抗风防滑装置未运行</w:t>
            </w:r>
          </w:p>
        </w:tc>
        <w:tc>
          <w:tcPr>
            <w:tcW w:w="2783" w:type="dxa"/>
            <w:tcBorders>
              <w:tl2br w:val="nil"/>
              <w:tr2bl w:val="nil"/>
            </w:tcBorders>
            <w:noWrap w:val="0"/>
            <w:vAlign w:val="top"/>
          </w:tcPr>
          <w:p>
            <w:pPr>
              <w:ind w:left="0" w:leftChars="0" w:firstLine="0" w:firstLineChars="0"/>
              <w:rPr>
                <w:rFonts w:hint="eastAsia" w:ascii="仿宋" w:hAnsi="仿宋" w:eastAsia="仿宋" w:cs="仿宋"/>
                <w:sz w:val="30"/>
                <w:szCs w:val="30"/>
                <w:lang w:val="en-US" w:eastAsia="zh-CN"/>
              </w:rPr>
            </w:pPr>
            <w:r>
              <w:rPr>
                <w:rFonts w:hint="eastAsia" w:ascii="仿宋" w:hAnsi="仿宋" w:eastAsia="仿宋" w:cs="仿宋"/>
                <w:sz w:val="30"/>
                <w:szCs w:val="30"/>
                <w:lang w:val="en-US" w:eastAsia="zh-CN"/>
              </w:rPr>
              <w:t>向安全管理人员进行报警</w:t>
            </w:r>
          </w:p>
        </w:tc>
        <w:tc>
          <w:tcPr>
            <w:tcW w:w="1426" w:type="dxa"/>
            <w:tcBorders>
              <w:tl2br w:val="nil"/>
              <w:tr2bl w:val="nil"/>
            </w:tcBorders>
            <w:noWrap w:val="0"/>
            <w:vAlign w:val="center"/>
          </w:tcPr>
          <w:p>
            <w:pPr>
              <w:ind w:left="0" w:leftChars="0" w:firstLine="0" w:firstLineChars="0"/>
              <w:jc w:val="center"/>
              <w:rPr>
                <w:rFonts w:hint="default" w:ascii="仿宋" w:hAnsi="仿宋" w:eastAsia="仿宋" w:cs="仿宋"/>
                <w:sz w:val="30"/>
                <w:szCs w:val="30"/>
                <w:lang w:val="en-US" w:eastAsia="zh-CN"/>
              </w:rPr>
            </w:pPr>
            <w:r>
              <w:rPr>
                <w:rFonts w:hint="eastAsia" w:ascii="仿宋" w:hAnsi="仿宋" w:eastAsia="仿宋" w:cs="仿宋"/>
                <w:sz w:val="30"/>
                <w:szCs w:val="30"/>
                <w:lang w:val="en-US" w:eastAsia="zh-CN"/>
              </w:rPr>
              <w:t>二级</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cantSplit/>
          <w:trHeight w:val="1022" w:hRule="atLeast"/>
        </w:trPr>
        <w:tc>
          <w:tcPr>
            <w:tcW w:w="1154" w:type="dxa"/>
            <w:vMerge w:val="continue"/>
            <w:tcBorders>
              <w:tl2br w:val="nil"/>
              <w:tr2bl w:val="nil"/>
            </w:tcBorders>
            <w:noWrap w:val="0"/>
            <w:vAlign w:val="center"/>
          </w:tcPr>
          <w:p>
            <w:pPr>
              <w:jc w:val="center"/>
              <w:rPr>
                <w:rFonts w:hint="eastAsia" w:ascii="仿宋" w:hAnsi="仿宋" w:eastAsia="仿宋" w:cs="仿宋"/>
                <w:sz w:val="30"/>
                <w:szCs w:val="30"/>
                <w:lang w:val="en-US" w:eastAsia="zh-CN"/>
              </w:rPr>
            </w:pPr>
          </w:p>
        </w:tc>
        <w:tc>
          <w:tcPr>
            <w:tcW w:w="3159" w:type="dxa"/>
            <w:tcBorders>
              <w:tl2br w:val="nil"/>
              <w:tr2bl w:val="nil"/>
            </w:tcBorders>
            <w:noWrap w:val="0"/>
            <w:vAlign w:val="top"/>
          </w:tcPr>
          <w:p>
            <w:pPr>
              <w:ind w:left="0" w:leftChars="0" w:firstLine="0" w:firstLineChars="0"/>
              <w:rPr>
                <w:rFonts w:hint="eastAsia" w:ascii="仿宋" w:hAnsi="仿宋" w:eastAsia="仿宋" w:cs="仿宋"/>
                <w:sz w:val="30"/>
                <w:szCs w:val="30"/>
                <w:lang w:val="en-US" w:eastAsia="zh-CN"/>
              </w:rPr>
            </w:pPr>
            <w:r>
              <w:rPr>
                <w:rFonts w:hint="eastAsia" w:ascii="仿宋" w:hAnsi="仿宋" w:eastAsia="仿宋" w:cs="仿宋"/>
                <w:sz w:val="30"/>
                <w:szCs w:val="30"/>
                <w:lang w:val="en-US" w:eastAsia="zh-CN"/>
              </w:rPr>
              <w:t>采集防风装置和运行状态信号，一个月累计5次起重机在停机状态下运行，抗风防滑装置未运行</w:t>
            </w:r>
          </w:p>
        </w:tc>
        <w:tc>
          <w:tcPr>
            <w:tcW w:w="2783" w:type="dxa"/>
            <w:tcBorders>
              <w:tl2br w:val="nil"/>
              <w:tr2bl w:val="nil"/>
            </w:tcBorders>
            <w:noWrap w:val="0"/>
            <w:vAlign w:val="top"/>
          </w:tcPr>
          <w:p>
            <w:pPr>
              <w:ind w:left="0" w:leftChars="0" w:firstLine="0" w:firstLineChars="0"/>
              <w:rPr>
                <w:rFonts w:hint="eastAsia" w:ascii="仿宋" w:hAnsi="仿宋" w:eastAsia="仿宋" w:cs="仿宋"/>
                <w:sz w:val="30"/>
                <w:szCs w:val="30"/>
                <w:lang w:val="en-US" w:eastAsia="zh-CN"/>
              </w:rPr>
            </w:pPr>
            <w:r>
              <w:rPr>
                <w:rFonts w:hint="eastAsia" w:ascii="仿宋" w:hAnsi="仿宋" w:eastAsia="仿宋" w:cs="仿宋"/>
                <w:sz w:val="30"/>
                <w:szCs w:val="30"/>
                <w:lang w:val="en-US" w:eastAsia="zh-CN"/>
              </w:rPr>
              <w:t>向监察人员进行报警</w:t>
            </w:r>
          </w:p>
        </w:tc>
        <w:tc>
          <w:tcPr>
            <w:tcW w:w="1426" w:type="dxa"/>
            <w:tcBorders>
              <w:tl2br w:val="nil"/>
              <w:tr2bl w:val="nil"/>
            </w:tcBorders>
            <w:noWrap w:val="0"/>
            <w:vAlign w:val="center"/>
          </w:tcPr>
          <w:p>
            <w:pPr>
              <w:ind w:left="0" w:leftChars="0" w:firstLine="0" w:firstLineChars="0"/>
              <w:jc w:val="center"/>
              <w:rPr>
                <w:rFonts w:hint="default" w:ascii="仿宋" w:hAnsi="仿宋" w:eastAsia="仿宋" w:cs="仿宋"/>
                <w:sz w:val="30"/>
                <w:szCs w:val="30"/>
                <w:lang w:val="en-US" w:eastAsia="zh-CN"/>
              </w:rPr>
            </w:pPr>
            <w:r>
              <w:rPr>
                <w:rFonts w:hint="eastAsia" w:ascii="仿宋" w:hAnsi="仿宋" w:eastAsia="仿宋" w:cs="仿宋"/>
                <w:sz w:val="30"/>
                <w:szCs w:val="30"/>
                <w:lang w:val="en-US" w:eastAsia="zh-CN"/>
              </w:rPr>
              <w:t>三级</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cantSplit/>
        </w:trPr>
        <w:tc>
          <w:tcPr>
            <w:tcW w:w="1154" w:type="dxa"/>
            <w:tcBorders>
              <w:tl2br w:val="nil"/>
              <w:tr2bl w:val="nil"/>
            </w:tcBorders>
            <w:noWrap w:val="0"/>
            <w:vAlign w:val="center"/>
          </w:tcPr>
          <w:p>
            <w:pPr>
              <w:ind w:left="0" w:leftChars="0" w:firstLine="0" w:firstLineChars="0"/>
              <w:jc w:val="both"/>
              <w:rPr>
                <w:rFonts w:hint="eastAsia" w:ascii="仿宋" w:hAnsi="仿宋" w:eastAsia="仿宋" w:cs="仿宋"/>
                <w:sz w:val="30"/>
                <w:szCs w:val="30"/>
                <w:lang w:val="en-US" w:eastAsia="zh-CN"/>
              </w:rPr>
            </w:pPr>
            <w:r>
              <w:rPr>
                <w:rFonts w:hint="eastAsia" w:ascii="仿宋" w:hAnsi="仿宋" w:eastAsia="仿宋" w:cs="仿宋"/>
                <w:sz w:val="30"/>
                <w:szCs w:val="30"/>
                <w:lang w:val="en-US" w:eastAsia="zh-CN"/>
              </w:rPr>
              <w:t>区域</w:t>
            </w:r>
          </w:p>
          <w:p>
            <w:pPr>
              <w:ind w:left="0" w:leftChars="0" w:firstLine="0" w:firstLineChars="0"/>
              <w:jc w:val="both"/>
              <w:rPr>
                <w:rFonts w:hint="default" w:ascii="仿宋" w:hAnsi="仿宋" w:eastAsia="仿宋" w:cs="仿宋"/>
                <w:sz w:val="30"/>
                <w:szCs w:val="30"/>
                <w:lang w:val="en-US" w:eastAsia="zh-CN"/>
              </w:rPr>
            </w:pPr>
            <w:r>
              <w:rPr>
                <w:rFonts w:hint="eastAsia" w:ascii="仿宋" w:hAnsi="仿宋" w:eastAsia="仿宋" w:cs="仿宋"/>
                <w:sz w:val="30"/>
                <w:szCs w:val="30"/>
                <w:lang w:val="en-US" w:eastAsia="zh-CN"/>
              </w:rPr>
              <w:t>违规</w:t>
            </w:r>
          </w:p>
        </w:tc>
        <w:tc>
          <w:tcPr>
            <w:tcW w:w="3159" w:type="dxa"/>
            <w:tcBorders>
              <w:tl2br w:val="nil"/>
              <w:tr2bl w:val="nil"/>
            </w:tcBorders>
            <w:noWrap w:val="0"/>
            <w:vAlign w:val="top"/>
          </w:tcPr>
          <w:p>
            <w:pPr>
              <w:ind w:left="0" w:leftChars="0" w:firstLine="0" w:firstLineChars="0"/>
              <w:rPr>
                <w:rFonts w:hint="default" w:ascii="仿宋" w:hAnsi="仿宋" w:eastAsia="仿宋" w:cs="仿宋"/>
                <w:sz w:val="30"/>
                <w:szCs w:val="30"/>
                <w:lang w:val="en-US" w:eastAsia="zh-CN"/>
              </w:rPr>
            </w:pPr>
            <w:r>
              <w:rPr>
                <w:rFonts w:hint="eastAsia" w:ascii="仿宋" w:hAnsi="仿宋" w:eastAsia="仿宋" w:cs="仿宋"/>
                <w:sz w:val="30"/>
                <w:szCs w:val="30"/>
                <w:lang w:val="en-US" w:eastAsia="zh-CN"/>
              </w:rPr>
              <w:t>采集位置信号，流动式起重机械在转场后未向当地报备</w:t>
            </w:r>
          </w:p>
        </w:tc>
        <w:tc>
          <w:tcPr>
            <w:tcW w:w="2783" w:type="dxa"/>
            <w:tcBorders>
              <w:tl2br w:val="nil"/>
              <w:tr2bl w:val="nil"/>
            </w:tcBorders>
            <w:noWrap w:val="0"/>
            <w:vAlign w:val="top"/>
          </w:tcPr>
          <w:p>
            <w:pPr>
              <w:ind w:left="0" w:leftChars="0" w:firstLine="0" w:firstLineChars="0"/>
              <w:rPr>
                <w:rFonts w:hint="eastAsia" w:ascii="仿宋" w:hAnsi="仿宋" w:eastAsia="仿宋" w:cs="仿宋"/>
                <w:sz w:val="30"/>
                <w:szCs w:val="30"/>
                <w:lang w:val="en-US" w:eastAsia="zh-CN"/>
              </w:rPr>
            </w:pPr>
            <w:r>
              <w:rPr>
                <w:rFonts w:hint="eastAsia" w:ascii="仿宋" w:hAnsi="仿宋" w:eastAsia="仿宋" w:cs="仿宋"/>
                <w:sz w:val="30"/>
                <w:szCs w:val="30"/>
                <w:lang w:val="en-US" w:eastAsia="zh-CN"/>
              </w:rPr>
              <w:t>向安全管理人员进行报警</w:t>
            </w:r>
          </w:p>
        </w:tc>
        <w:tc>
          <w:tcPr>
            <w:tcW w:w="1426" w:type="dxa"/>
            <w:tcBorders>
              <w:tl2br w:val="nil"/>
              <w:tr2bl w:val="nil"/>
            </w:tcBorders>
            <w:noWrap w:val="0"/>
            <w:vAlign w:val="center"/>
          </w:tcPr>
          <w:p>
            <w:pPr>
              <w:ind w:left="0" w:leftChars="0" w:firstLine="0" w:firstLineChars="0"/>
              <w:jc w:val="center"/>
              <w:rPr>
                <w:rFonts w:hint="default" w:ascii="仿宋" w:hAnsi="仿宋" w:eastAsia="仿宋" w:cs="仿宋"/>
                <w:sz w:val="30"/>
                <w:szCs w:val="30"/>
                <w:lang w:val="en-US" w:eastAsia="zh-CN"/>
              </w:rPr>
            </w:pPr>
            <w:r>
              <w:rPr>
                <w:rFonts w:hint="eastAsia" w:ascii="仿宋" w:hAnsi="仿宋" w:eastAsia="仿宋" w:cs="仿宋"/>
                <w:sz w:val="30"/>
                <w:szCs w:val="30"/>
                <w:lang w:val="en-US" w:eastAsia="zh-CN"/>
              </w:rPr>
              <w:t>二级</w:t>
            </w:r>
          </w:p>
        </w:tc>
      </w:tr>
    </w:tbl>
    <w:p>
      <w:pPr>
        <w:ind w:left="0" w:leftChars="0" w:firstLine="0" w:firstLineChars="0"/>
        <w:rPr>
          <w:rFonts w:hint="eastAsia" w:ascii="仿宋_GB2312" w:hAnsi="仿宋"/>
          <w:szCs w:val="32"/>
        </w:rPr>
      </w:pPr>
    </w:p>
    <w:p>
      <w:pPr>
        <w:ind w:firstLine="643"/>
        <w:rPr>
          <w:rFonts w:ascii="仿宋_GB2312" w:hAnsi="仿宋"/>
          <w:szCs w:val="32"/>
        </w:rPr>
      </w:pPr>
    </w:p>
    <w:p>
      <w:pPr>
        <w:pStyle w:val="5"/>
        <w:numPr>
          <w:ilvl w:val="3"/>
          <w:numId w:val="99"/>
        </w:numPr>
        <w:ind w:left="0" w:firstLine="643"/>
        <w:rPr>
          <w:rFonts w:ascii="仿宋_GB2312"/>
          <w:szCs w:val="32"/>
        </w:rPr>
      </w:pPr>
      <w:bookmarkStart w:id="127" w:name="_Toc13763"/>
      <w:bookmarkStart w:id="128" w:name="_Toc706"/>
      <w:r>
        <w:rPr>
          <w:rFonts w:hint="eastAsia" w:ascii="仿宋_GB2312"/>
          <w:szCs w:val="32"/>
        </w:rPr>
        <w:t>统一标准规范</w:t>
      </w:r>
      <w:bookmarkEnd w:id="127"/>
      <w:bookmarkEnd w:id="128"/>
    </w:p>
    <w:p>
      <w:pPr>
        <w:ind w:firstLine="640"/>
        <w:rPr>
          <w:rFonts w:ascii="仿宋_GB2312" w:hAnsi="仿宋"/>
          <w:szCs w:val="32"/>
        </w:rPr>
      </w:pPr>
      <w:r>
        <w:rPr>
          <w:rFonts w:hint="eastAsia" w:ascii="仿宋_GB2312" w:hAnsi="仿宋"/>
          <w:szCs w:val="32"/>
        </w:rPr>
        <w:t>起重机械风险智控应用场景设计依托特种设备风险防范预警系统（以下简称预警系统）实现。</w:t>
      </w:r>
    </w:p>
    <w:p>
      <w:pPr>
        <w:pStyle w:val="6"/>
        <w:numPr>
          <w:ilvl w:val="0"/>
          <w:numId w:val="102"/>
        </w:numPr>
        <w:ind w:left="0" w:firstLine="640"/>
        <w:rPr>
          <w:rFonts w:ascii="仿宋_GB2312"/>
          <w:szCs w:val="32"/>
        </w:rPr>
      </w:pPr>
      <w:r>
        <w:rPr>
          <w:rFonts w:hint="eastAsia" w:ascii="仿宋_GB2312"/>
          <w:szCs w:val="32"/>
        </w:rPr>
        <w:t>业务对象</w:t>
      </w:r>
    </w:p>
    <w:p>
      <w:pPr>
        <w:ind w:firstLine="640"/>
        <w:rPr>
          <w:rFonts w:ascii="仿宋_GB2312" w:hAnsi="仿宋"/>
          <w:szCs w:val="32"/>
        </w:rPr>
      </w:pPr>
      <w:r>
        <w:rPr>
          <w:rFonts w:hint="eastAsia" w:ascii="仿宋_GB2312" w:hAnsi="仿宋"/>
          <w:szCs w:val="32"/>
        </w:rPr>
        <w:t>浙江省所有各级起重机械行政监管机构、起重机械检验机构、起重机械使用、安装及维保单位。</w:t>
      </w:r>
    </w:p>
    <w:p>
      <w:pPr>
        <w:pStyle w:val="6"/>
        <w:numPr>
          <w:ilvl w:val="0"/>
          <w:numId w:val="102"/>
        </w:numPr>
        <w:ind w:left="0" w:firstLine="640"/>
        <w:rPr>
          <w:rFonts w:ascii="仿宋_GB2312"/>
          <w:szCs w:val="32"/>
        </w:rPr>
      </w:pPr>
      <w:r>
        <w:rPr>
          <w:rFonts w:hint="eastAsia" w:ascii="仿宋_GB2312"/>
          <w:szCs w:val="32"/>
        </w:rPr>
        <w:t>技术手段</w:t>
      </w:r>
    </w:p>
    <w:p>
      <w:pPr>
        <w:numPr>
          <w:ilvl w:val="0"/>
          <w:numId w:val="103"/>
        </w:numPr>
        <w:ind w:left="0" w:firstLine="640"/>
        <w:rPr>
          <w:rFonts w:ascii="仿宋_GB2312" w:hAnsi="仿宋"/>
          <w:szCs w:val="32"/>
        </w:rPr>
      </w:pPr>
      <w:r>
        <w:rPr>
          <w:rFonts w:hint="eastAsia" w:ascii="仿宋_GB2312" w:hAnsi="仿宋"/>
          <w:szCs w:val="32"/>
        </w:rPr>
        <w:t>运用</w:t>
      </w:r>
      <w:r>
        <w:rPr>
          <w:rFonts w:hint="eastAsia"/>
          <w:szCs w:val="32"/>
        </w:rPr>
        <w:t>JAVA</w:t>
      </w:r>
      <w:r>
        <w:rPr>
          <w:rFonts w:hint="eastAsia" w:ascii="仿宋_GB2312" w:hAnsi="仿宋"/>
          <w:szCs w:val="32"/>
        </w:rPr>
        <w:t>语言，构建起重机械智管平台系统；</w:t>
      </w:r>
    </w:p>
    <w:p>
      <w:pPr>
        <w:numPr>
          <w:ilvl w:val="0"/>
          <w:numId w:val="103"/>
        </w:numPr>
        <w:ind w:left="0" w:firstLine="640"/>
        <w:rPr>
          <w:rFonts w:ascii="仿宋_GB2312" w:hAnsi="仿宋"/>
          <w:szCs w:val="32"/>
        </w:rPr>
      </w:pPr>
      <w:r>
        <w:rPr>
          <w:rFonts w:hint="eastAsia" w:ascii="仿宋_GB2312" w:hAnsi="仿宋"/>
          <w:szCs w:val="32"/>
        </w:rPr>
        <w:t>运用</w:t>
      </w:r>
      <w:r>
        <w:rPr>
          <w:rFonts w:hint="eastAsia"/>
          <w:szCs w:val="32"/>
        </w:rPr>
        <w:t>JS</w:t>
      </w:r>
      <w:r>
        <w:rPr>
          <w:rFonts w:hint="eastAsia" w:ascii="仿宋_GB2312" w:hAnsi="仿宋"/>
          <w:szCs w:val="32"/>
        </w:rPr>
        <w:t>程序，开发钉钉客户端；</w:t>
      </w:r>
    </w:p>
    <w:p>
      <w:pPr>
        <w:numPr>
          <w:ilvl w:val="0"/>
          <w:numId w:val="103"/>
        </w:numPr>
        <w:ind w:left="0" w:firstLine="640"/>
        <w:rPr>
          <w:rFonts w:ascii="仿宋_GB2312" w:hAnsi="仿宋"/>
          <w:szCs w:val="32"/>
        </w:rPr>
      </w:pPr>
      <w:r>
        <w:rPr>
          <w:rFonts w:hint="eastAsia" w:ascii="仿宋_GB2312" w:hAnsi="仿宋"/>
          <w:szCs w:val="32"/>
        </w:rPr>
        <w:t>打通通讯协议，接入省局监管系统、省特科院及各地市院检验系统；</w:t>
      </w:r>
    </w:p>
    <w:p>
      <w:pPr>
        <w:numPr>
          <w:ilvl w:val="0"/>
          <w:numId w:val="103"/>
        </w:numPr>
        <w:ind w:left="0" w:firstLine="640"/>
        <w:rPr>
          <w:rFonts w:ascii="仿宋_GB2312" w:hAnsi="仿宋"/>
          <w:szCs w:val="32"/>
        </w:rPr>
      </w:pPr>
      <w:r>
        <w:rPr>
          <w:rFonts w:hint="eastAsia" w:ascii="仿宋_GB2312" w:hAnsi="仿宋"/>
          <w:szCs w:val="32"/>
        </w:rPr>
        <w:t>运用统计学原理建立相关算法模型；</w:t>
      </w:r>
    </w:p>
    <w:p>
      <w:pPr>
        <w:numPr>
          <w:ilvl w:val="0"/>
          <w:numId w:val="103"/>
        </w:numPr>
        <w:ind w:left="0" w:firstLine="640"/>
        <w:rPr>
          <w:rFonts w:ascii="仿宋_GB2312" w:hAnsi="仿宋"/>
          <w:szCs w:val="32"/>
        </w:rPr>
      </w:pPr>
      <w:r>
        <w:rPr>
          <w:rFonts w:hint="eastAsia" w:ascii="仿宋_GB2312" w:hAnsi="仿宋"/>
          <w:szCs w:val="32"/>
        </w:rPr>
        <w:t>构建风险评估导则；</w:t>
      </w:r>
    </w:p>
    <w:p>
      <w:pPr>
        <w:numPr>
          <w:ilvl w:val="0"/>
          <w:numId w:val="103"/>
        </w:numPr>
        <w:ind w:left="0" w:firstLine="640"/>
        <w:rPr>
          <w:rFonts w:ascii="仿宋_GB2312" w:hAnsi="仿宋"/>
          <w:szCs w:val="32"/>
        </w:rPr>
      </w:pPr>
      <w:r>
        <w:rPr>
          <w:rFonts w:hint="eastAsia" w:ascii="仿宋_GB2312" w:hAnsi="仿宋"/>
          <w:szCs w:val="32"/>
        </w:rPr>
        <w:t>运用物联网技术，接入大型起重机械、重要场所起重机械的采集数据。</w:t>
      </w:r>
    </w:p>
    <w:p>
      <w:pPr>
        <w:pStyle w:val="6"/>
        <w:numPr>
          <w:ilvl w:val="0"/>
          <w:numId w:val="102"/>
        </w:numPr>
        <w:ind w:left="0" w:firstLine="640"/>
        <w:rPr>
          <w:rFonts w:ascii="仿宋_GB2312"/>
          <w:szCs w:val="32"/>
        </w:rPr>
      </w:pPr>
      <w:r>
        <w:rPr>
          <w:rFonts w:hint="eastAsia" w:ascii="仿宋_GB2312"/>
          <w:szCs w:val="32"/>
        </w:rPr>
        <w:t>具体要求</w:t>
      </w:r>
    </w:p>
    <w:p>
      <w:pPr>
        <w:numPr>
          <w:ilvl w:val="0"/>
          <w:numId w:val="104"/>
        </w:numPr>
        <w:ind w:left="0" w:firstLine="640"/>
        <w:rPr>
          <w:rFonts w:ascii="仿宋_GB2312" w:hAnsi="仿宋"/>
          <w:szCs w:val="32"/>
        </w:rPr>
      </w:pPr>
      <w:r>
        <w:rPr>
          <w:rFonts w:hint="eastAsia" w:ascii="仿宋_GB2312" w:hAnsi="仿宋"/>
          <w:szCs w:val="32"/>
        </w:rPr>
        <w:t>操作界面应简洁清晰，人机交互友好；</w:t>
      </w:r>
    </w:p>
    <w:p>
      <w:pPr>
        <w:numPr>
          <w:ilvl w:val="0"/>
          <w:numId w:val="104"/>
        </w:numPr>
        <w:ind w:left="0" w:firstLine="640"/>
        <w:rPr>
          <w:rFonts w:ascii="仿宋_GB2312" w:hAnsi="仿宋"/>
          <w:szCs w:val="32"/>
        </w:rPr>
      </w:pPr>
      <w:r>
        <w:rPr>
          <w:rFonts w:hint="eastAsia" w:ascii="仿宋_GB2312" w:hAnsi="仿宋"/>
          <w:szCs w:val="32"/>
        </w:rPr>
        <w:t>数据输入应流程明晰，操作程序化；</w:t>
      </w:r>
    </w:p>
    <w:p>
      <w:pPr>
        <w:numPr>
          <w:ilvl w:val="0"/>
          <w:numId w:val="104"/>
        </w:numPr>
        <w:ind w:left="0" w:firstLine="640"/>
        <w:rPr>
          <w:rFonts w:ascii="仿宋_GB2312" w:hAnsi="仿宋"/>
          <w:szCs w:val="32"/>
        </w:rPr>
      </w:pPr>
      <w:r>
        <w:rPr>
          <w:rFonts w:hint="eastAsia" w:ascii="仿宋_GB2312" w:hAnsi="仿宋"/>
          <w:szCs w:val="32"/>
        </w:rPr>
        <w:t>风险评估导则应参考</w:t>
      </w:r>
      <w:r>
        <w:rPr>
          <w:rFonts w:cs="Times New Roman"/>
          <w:szCs w:val="32"/>
        </w:rPr>
        <w:t>DB33 T2126-2018</w:t>
      </w:r>
      <w:r>
        <w:rPr>
          <w:rFonts w:hint="eastAsia" w:ascii="仿宋_GB2312" w:hAnsi="仿宋"/>
          <w:szCs w:val="32"/>
        </w:rPr>
        <w:t>《特种设备使用安全管理分类评价规范》及</w:t>
      </w:r>
      <w:r>
        <w:fldChar w:fldCharType="begin"/>
      </w:r>
      <w:r>
        <w:instrText xml:space="preserve"> HYPERLINK "http://www.baidu.com/link?url=B0mPXpoaESawksqljQo4-IzZGCt_aQkRxdpx21xxOuKFCdTqlJCLf2hWXybTbdmEfuOjVEoseTIEV-E4JaqU7q" \t "https://www.baidu.com/_blank" </w:instrText>
      </w:r>
      <w:r>
        <w:fldChar w:fldCharType="separate"/>
      </w:r>
      <w:r>
        <w:rPr>
          <w:rFonts w:cs="Times New Roman"/>
          <w:szCs w:val="32"/>
        </w:rPr>
        <w:t>T∕CASEI 62001-2019</w:t>
      </w:r>
      <w:r>
        <w:rPr>
          <w:rFonts w:hint="eastAsia" w:ascii="仿宋_GB2312" w:hAnsi="仿宋"/>
          <w:szCs w:val="32"/>
        </w:rPr>
        <w:t>《起重机械安全状况评估》</w:t>
      </w:r>
      <w:r>
        <w:rPr>
          <w:rFonts w:hint="eastAsia" w:ascii="仿宋_GB2312" w:hAnsi="仿宋"/>
          <w:szCs w:val="32"/>
        </w:rPr>
        <w:fldChar w:fldCharType="end"/>
      </w:r>
      <w:r>
        <w:rPr>
          <w:rFonts w:hint="eastAsia" w:ascii="仿宋_GB2312" w:hAnsi="仿宋"/>
          <w:szCs w:val="32"/>
        </w:rPr>
        <w:t>制定。</w:t>
      </w:r>
    </w:p>
    <w:p>
      <w:pPr>
        <w:pStyle w:val="6"/>
        <w:numPr>
          <w:ilvl w:val="0"/>
          <w:numId w:val="102"/>
        </w:numPr>
        <w:ind w:left="0" w:firstLine="640"/>
        <w:rPr>
          <w:rFonts w:ascii="仿宋_GB2312"/>
          <w:szCs w:val="32"/>
        </w:rPr>
      </w:pPr>
      <w:r>
        <w:rPr>
          <w:rFonts w:hint="eastAsia" w:ascii="仿宋_GB2312"/>
          <w:szCs w:val="32"/>
        </w:rPr>
        <w:t>管理模式</w:t>
      </w:r>
    </w:p>
    <w:p>
      <w:pPr>
        <w:numPr>
          <w:ilvl w:val="0"/>
          <w:numId w:val="105"/>
        </w:numPr>
        <w:ind w:left="0" w:firstLine="640"/>
        <w:rPr>
          <w:rFonts w:ascii="仿宋_GB2312" w:hAnsi="仿宋"/>
          <w:szCs w:val="32"/>
        </w:rPr>
      </w:pPr>
      <w:r>
        <w:rPr>
          <w:rFonts w:hint="eastAsia" w:ascii="仿宋_GB2312" w:hAnsi="仿宋"/>
          <w:szCs w:val="32"/>
        </w:rPr>
        <w:t>起重机械信息的及时更新、输入和查询相结合，做到信息的及时传输与信息对等；</w:t>
      </w:r>
    </w:p>
    <w:p>
      <w:pPr>
        <w:numPr>
          <w:ilvl w:val="0"/>
          <w:numId w:val="105"/>
        </w:numPr>
        <w:ind w:left="0" w:firstLine="640"/>
        <w:rPr>
          <w:rFonts w:ascii="仿宋_GB2312" w:hAnsi="仿宋"/>
          <w:szCs w:val="32"/>
        </w:rPr>
      </w:pPr>
      <w:r>
        <w:rPr>
          <w:rFonts w:hint="eastAsia" w:ascii="仿宋_GB2312" w:hAnsi="仿宋"/>
          <w:szCs w:val="32"/>
        </w:rPr>
        <w:t>风险等级以智能判定及专家评估相结合，发挥大数据与专业技术能力各自优势；</w:t>
      </w:r>
    </w:p>
    <w:p>
      <w:pPr>
        <w:numPr>
          <w:ilvl w:val="0"/>
          <w:numId w:val="105"/>
        </w:numPr>
        <w:ind w:left="0" w:firstLine="640"/>
        <w:rPr>
          <w:rFonts w:ascii="仿宋_GB2312" w:hAnsi="仿宋"/>
          <w:szCs w:val="32"/>
        </w:rPr>
      </w:pPr>
      <w:r>
        <w:rPr>
          <w:rFonts w:hint="eastAsia" w:ascii="仿宋_GB2312" w:hAnsi="仿宋"/>
          <w:szCs w:val="32"/>
        </w:rPr>
        <w:t>对设备进行分级、分手段、分区域管控，以最优资源、最高效率对重点设备、重点单位进行管控；</w:t>
      </w:r>
    </w:p>
    <w:p>
      <w:pPr>
        <w:numPr>
          <w:ilvl w:val="0"/>
          <w:numId w:val="105"/>
        </w:numPr>
        <w:ind w:left="0" w:firstLine="640"/>
        <w:rPr>
          <w:rFonts w:ascii="仿宋_GB2312" w:hAnsi="仿宋"/>
          <w:szCs w:val="32"/>
        </w:rPr>
      </w:pPr>
      <w:r>
        <w:rPr>
          <w:rFonts w:hint="eastAsia" w:ascii="仿宋_GB2312" w:hAnsi="仿宋"/>
          <w:szCs w:val="32"/>
        </w:rPr>
        <w:t>以缺陷为基础评估风险等级，以风险源为依据制定隐患排查内容，以隐患排查为手段治理缺陷，达到闭环管理的目的。</w:t>
      </w:r>
    </w:p>
    <w:p>
      <w:pPr>
        <w:pStyle w:val="6"/>
        <w:numPr>
          <w:ilvl w:val="0"/>
          <w:numId w:val="102"/>
        </w:numPr>
        <w:ind w:left="0" w:firstLine="640"/>
        <w:rPr>
          <w:rFonts w:ascii="仿宋_GB2312"/>
          <w:szCs w:val="32"/>
        </w:rPr>
      </w:pPr>
      <w:r>
        <w:rPr>
          <w:rFonts w:hint="eastAsia" w:ascii="仿宋_GB2312"/>
          <w:szCs w:val="32"/>
        </w:rPr>
        <w:t>管理流程</w:t>
      </w:r>
    </w:p>
    <w:p>
      <w:pPr>
        <w:pStyle w:val="7"/>
        <w:numPr>
          <w:ilvl w:val="0"/>
          <w:numId w:val="106"/>
        </w:numPr>
        <w:ind w:firstLine="643"/>
      </w:pPr>
      <w:r>
        <w:rPr>
          <w:rFonts w:hint="eastAsia"/>
        </w:rPr>
        <w:t>起重机械智控系统总体流程图</w:t>
      </w:r>
    </w:p>
    <w:p>
      <w:pPr>
        <w:tabs>
          <w:tab w:val="left" w:pos="312"/>
        </w:tabs>
        <w:ind w:firstLine="640"/>
        <w:jc w:val="center"/>
        <w:rPr>
          <w:rFonts w:ascii="仿宋" w:hAnsi="仿宋" w:eastAsia="仿宋"/>
          <w:bCs/>
          <w:szCs w:val="32"/>
        </w:rPr>
      </w:pPr>
      <w:r>
        <w:rPr>
          <w:rFonts w:hint="eastAsia" w:ascii="仿宋_GB2312"/>
          <w:szCs w:val="32"/>
        </w:rPr>
        <w:drawing>
          <wp:anchor distT="0" distB="0" distL="114300" distR="114300" simplePos="0" relativeHeight="251643904" behindDoc="0" locked="0" layoutInCell="1" allowOverlap="1">
            <wp:simplePos x="0" y="0"/>
            <wp:positionH relativeFrom="column">
              <wp:posOffset>400685</wp:posOffset>
            </wp:positionH>
            <wp:positionV relativeFrom="page">
              <wp:posOffset>6631305</wp:posOffset>
            </wp:positionV>
            <wp:extent cx="3537585" cy="2318385"/>
            <wp:effectExtent l="0" t="0" r="0" b="0"/>
            <wp:wrapTopAndBottom/>
            <wp:docPr id="7" name="图片 7" descr="未命名文件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未命名文件 (7)"/>
                    <pic:cNvPicPr>
                      <a:picLocks noChangeAspect="1"/>
                    </pic:cNvPicPr>
                  </pic:nvPicPr>
                  <pic:blipFill>
                    <a:blip r:embed="rId39"/>
                    <a:stretch>
                      <a:fillRect/>
                    </a:stretch>
                  </pic:blipFill>
                  <pic:spPr>
                    <a:xfrm>
                      <a:off x="0" y="0"/>
                      <a:ext cx="3537585" cy="2318385"/>
                    </a:xfrm>
                    <a:prstGeom prst="rect">
                      <a:avLst/>
                    </a:prstGeom>
                  </pic:spPr>
                </pic:pic>
              </a:graphicData>
            </a:graphic>
          </wp:anchor>
        </w:drawing>
      </w:r>
    </w:p>
    <w:p>
      <w:pPr>
        <w:pStyle w:val="7"/>
        <w:numPr>
          <w:ilvl w:val="0"/>
          <w:numId w:val="106"/>
        </w:numPr>
        <w:ind w:firstLine="643"/>
      </w:pPr>
      <w:r>
        <w:rPr>
          <w:rFonts w:hint="eastAsia"/>
        </w:rPr>
        <w:t>数据传输流程</w:t>
      </w:r>
    </w:p>
    <w:p>
      <w:pPr>
        <w:tabs>
          <w:tab w:val="left" w:pos="312"/>
        </w:tabs>
        <w:ind w:firstLine="640"/>
        <w:jc w:val="center"/>
        <w:rPr>
          <w:rFonts w:ascii="仿宋" w:hAnsi="仿宋" w:eastAsia="仿宋"/>
          <w:bCs/>
          <w:szCs w:val="32"/>
        </w:rPr>
      </w:pPr>
      <w:r>
        <w:rPr>
          <w:rFonts w:hint="eastAsia" w:ascii="Arial" w:hAnsi="Arial"/>
        </w:rPr>
        <w:drawing>
          <wp:anchor distT="0" distB="0" distL="114300" distR="114300" simplePos="0" relativeHeight="251642880" behindDoc="0" locked="0" layoutInCell="1" allowOverlap="1">
            <wp:simplePos x="0" y="0"/>
            <wp:positionH relativeFrom="column">
              <wp:posOffset>393065</wp:posOffset>
            </wp:positionH>
            <wp:positionV relativeFrom="paragraph">
              <wp:posOffset>120650</wp:posOffset>
            </wp:positionV>
            <wp:extent cx="3559175" cy="2682240"/>
            <wp:effectExtent l="0" t="0" r="0" b="0"/>
            <wp:wrapTopAndBottom/>
            <wp:docPr id="8" name="图片 8" descr="未命名文件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未命名文件 (5)"/>
                    <pic:cNvPicPr>
                      <a:picLocks noChangeAspect="1"/>
                    </pic:cNvPicPr>
                  </pic:nvPicPr>
                  <pic:blipFill>
                    <a:blip r:embed="rId40"/>
                    <a:stretch>
                      <a:fillRect/>
                    </a:stretch>
                  </pic:blipFill>
                  <pic:spPr>
                    <a:xfrm>
                      <a:off x="0" y="0"/>
                      <a:ext cx="3559175" cy="2682240"/>
                    </a:xfrm>
                    <a:prstGeom prst="rect">
                      <a:avLst/>
                    </a:prstGeom>
                  </pic:spPr>
                </pic:pic>
              </a:graphicData>
            </a:graphic>
          </wp:anchor>
        </w:drawing>
      </w:r>
    </w:p>
    <w:p>
      <w:pPr>
        <w:pStyle w:val="7"/>
        <w:numPr>
          <w:ilvl w:val="0"/>
          <w:numId w:val="106"/>
        </w:numPr>
        <w:ind w:firstLine="643"/>
      </w:pPr>
      <w:r>
        <w:rPr>
          <w:rFonts w:hint="eastAsia"/>
        </w:rPr>
        <w:t>风险评估流程</w:t>
      </w:r>
    </w:p>
    <w:p>
      <w:pPr>
        <w:tabs>
          <w:tab w:val="left" w:pos="312"/>
        </w:tabs>
        <w:ind w:firstLine="640"/>
        <w:jc w:val="center"/>
        <w:rPr>
          <w:rFonts w:ascii="仿宋" w:hAnsi="仿宋" w:eastAsia="仿宋"/>
          <w:bCs/>
          <w:szCs w:val="32"/>
        </w:rPr>
      </w:pPr>
      <w:r>
        <w:rPr>
          <w:rFonts w:ascii="仿宋" w:hAnsi="仿宋" w:eastAsia="仿宋"/>
          <w:bCs/>
          <w:szCs w:val="32"/>
        </w:rPr>
        <w:drawing>
          <wp:anchor distT="0" distB="0" distL="114300" distR="114300" simplePos="0" relativeHeight="251644928" behindDoc="0" locked="0" layoutInCell="1" allowOverlap="1">
            <wp:simplePos x="0" y="0"/>
            <wp:positionH relativeFrom="column">
              <wp:posOffset>520065</wp:posOffset>
            </wp:positionH>
            <wp:positionV relativeFrom="paragraph">
              <wp:posOffset>179070</wp:posOffset>
            </wp:positionV>
            <wp:extent cx="2314575" cy="3436620"/>
            <wp:effectExtent l="0" t="0" r="0" b="0"/>
            <wp:wrapTopAndBottom/>
            <wp:docPr id="9" name="图片 9" descr="未命名文件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未命名文件 (6)"/>
                    <pic:cNvPicPr>
                      <a:picLocks noChangeAspect="1"/>
                    </pic:cNvPicPr>
                  </pic:nvPicPr>
                  <pic:blipFill>
                    <a:blip r:embed="rId41"/>
                    <a:stretch>
                      <a:fillRect/>
                    </a:stretch>
                  </pic:blipFill>
                  <pic:spPr>
                    <a:xfrm>
                      <a:off x="0" y="0"/>
                      <a:ext cx="2314575" cy="3436620"/>
                    </a:xfrm>
                    <a:prstGeom prst="rect">
                      <a:avLst/>
                    </a:prstGeom>
                  </pic:spPr>
                </pic:pic>
              </a:graphicData>
            </a:graphic>
          </wp:anchor>
        </w:drawing>
      </w:r>
    </w:p>
    <w:p>
      <w:pPr>
        <w:pStyle w:val="7"/>
        <w:numPr>
          <w:ilvl w:val="0"/>
          <w:numId w:val="106"/>
        </w:numPr>
        <w:ind w:firstLine="643"/>
        <w:rPr>
          <w:rFonts w:ascii="仿宋" w:hAnsi="仿宋" w:eastAsia="仿宋"/>
          <w:bCs/>
          <w:szCs w:val="32"/>
        </w:rPr>
      </w:pPr>
      <w:r>
        <w:rPr>
          <w:rFonts w:hint="eastAsia"/>
        </w:rPr>
        <w:t>作业人员管理流程</w:t>
      </w:r>
    </w:p>
    <w:p>
      <w:pPr>
        <w:pStyle w:val="7"/>
        <w:numPr>
          <w:ilvl w:val="0"/>
          <w:numId w:val="106"/>
        </w:numPr>
        <w:ind w:firstLine="643"/>
        <w:rPr>
          <w:rFonts w:ascii="仿宋" w:hAnsi="仿宋" w:eastAsia="仿宋"/>
          <w:bCs/>
          <w:szCs w:val="32"/>
        </w:rPr>
      </w:pPr>
      <w:r>
        <w:rPr>
          <w:rFonts w:ascii="仿宋" w:hAnsi="仿宋" w:eastAsia="仿宋"/>
          <w:bCs/>
          <w:szCs w:val="32"/>
        </w:rPr>
        <w:drawing>
          <wp:anchor distT="0" distB="0" distL="114300" distR="114300" simplePos="0" relativeHeight="251646976" behindDoc="0" locked="0" layoutInCell="1" allowOverlap="1">
            <wp:simplePos x="0" y="0"/>
            <wp:positionH relativeFrom="column">
              <wp:posOffset>462280</wp:posOffset>
            </wp:positionH>
            <wp:positionV relativeFrom="paragraph">
              <wp:posOffset>4345940</wp:posOffset>
            </wp:positionV>
            <wp:extent cx="2472690" cy="2997835"/>
            <wp:effectExtent l="0" t="0" r="0" b="0"/>
            <wp:wrapTopAndBottom/>
            <wp:docPr id="11" name="图片 11" descr="未命名文件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未命名文件 (11)"/>
                    <pic:cNvPicPr>
                      <a:picLocks noChangeAspect="1"/>
                    </pic:cNvPicPr>
                  </pic:nvPicPr>
                  <pic:blipFill>
                    <a:blip r:embed="rId42"/>
                    <a:stretch>
                      <a:fillRect/>
                    </a:stretch>
                  </pic:blipFill>
                  <pic:spPr>
                    <a:xfrm>
                      <a:off x="0" y="0"/>
                      <a:ext cx="2472690" cy="2997835"/>
                    </a:xfrm>
                    <a:prstGeom prst="rect">
                      <a:avLst/>
                    </a:prstGeom>
                  </pic:spPr>
                </pic:pic>
              </a:graphicData>
            </a:graphic>
          </wp:anchor>
        </w:drawing>
      </w:r>
      <w:r>
        <w:rPr>
          <w:rFonts w:ascii="仿宋" w:hAnsi="仿宋" w:eastAsia="仿宋"/>
          <w:bCs/>
          <w:szCs w:val="32"/>
        </w:rPr>
        <w:drawing>
          <wp:anchor distT="0" distB="0" distL="114300" distR="114300" simplePos="0" relativeHeight="251645952" behindDoc="0" locked="0" layoutInCell="1" allowOverlap="1">
            <wp:simplePos x="0" y="0"/>
            <wp:positionH relativeFrom="column">
              <wp:posOffset>445770</wp:posOffset>
            </wp:positionH>
            <wp:positionV relativeFrom="paragraph">
              <wp:posOffset>201930</wp:posOffset>
            </wp:positionV>
            <wp:extent cx="2341245" cy="3592195"/>
            <wp:effectExtent l="0" t="0" r="0" b="0"/>
            <wp:wrapTopAndBottom/>
            <wp:docPr id="10" name="图片 10" descr="未命名文件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未命名文件 (9)"/>
                    <pic:cNvPicPr>
                      <a:picLocks noChangeAspect="1"/>
                    </pic:cNvPicPr>
                  </pic:nvPicPr>
                  <pic:blipFill>
                    <a:blip r:embed="rId43"/>
                    <a:stretch>
                      <a:fillRect/>
                    </a:stretch>
                  </pic:blipFill>
                  <pic:spPr>
                    <a:xfrm>
                      <a:off x="0" y="0"/>
                      <a:ext cx="2341245" cy="3592195"/>
                    </a:xfrm>
                    <a:prstGeom prst="rect">
                      <a:avLst/>
                    </a:prstGeom>
                  </pic:spPr>
                </pic:pic>
              </a:graphicData>
            </a:graphic>
          </wp:anchor>
        </w:drawing>
      </w:r>
      <w:r>
        <w:rPr>
          <w:rFonts w:hint="eastAsia"/>
        </w:rPr>
        <w:t>设备管理流程</w:t>
      </w:r>
    </w:p>
    <w:p>
      <w:pPr>
        <w:pStyle w:val="6"/>
        <w:numPr>
          <w:ilvl w:val="0"/>
          <w:numId w:val="102"/>
        </w:numPr>
        <w:ind w:left="0" w:firstLine="640"/>
        <w:rPr>
          <w:rFonts w:ascii="仿宋_GB2312"/>
          <w:szCs w:val="32"/>
        </w:rPr>
      </w:pPr>
      <w:r>
        <w:rPr>
          <w:rFonts w:hint="eastAsia" w:ascii="仿宋_GB2312"/>
          <w:szCs w:val="32"/>
        </w:rPr>
        <w:t>责任划分</w:t>
      </w:r>
    </w:p>
    <w:p>
      <w:pPr>
        <w:numPr>
          <w:ilvl w:val="0"/>
          <w:numId w:val="107"/>
        </w:numPr>
        <w:ind w:left="0" w:firstLine="640"/>
        <w:rPr>
          <w:rFonts w:ascii="仿宋_GB2312" w:hAnsi="仿宋"/>
          <w:szCs w:val="32"/>
        </w:rPr>
      </w:pPr>
      <w:r>
        <w:rPr>
          <w:rFonts w:hint="eastAsia" w:ascii="仿宋_GB2312" w:hAnsi="仿宋"/>
          <w:szCs w:val="32"/>
        </w:rPr>
        <w:t>省局建设统一接入平台；</w:t>
      </w:r>
    </w:p>
    <w:p>
      <w:pPr>
        <w:numPr>
          <w:ilvl w:val="0"/>
          <w:numId w:val="107"/>
        </w:numPr>
        <w:ind w:left="0" w:firstLine="640"/>
        <w:rPr>
          <w:rFonts w:ascii="仿宋_GB2312" w:hAnsi="仿宋"/>
          <w:szCs w:val="32"/>
        </w:rPr>
      </w:pPr>
      <w:r>
        <w:rPr>
          <w:rFonts w:hint="eastAsia" w:ascii="仿宋_GB2312" w:hAnsi="仿宋"/>
          <w:szCs w:val="32"/>
        </w:rPr>
        <w:t>省局特设处负责日常维护；</w:t>
      </w:r>
    </w:p>
    <w:p>
      <w:pPr>
        <w:numPr>
          <w:ilvl w:val="0"/>
          <w:numId w:val="107"/>
        </w:numPr>
        <w:ind w:left="0" w:firstLine="640"/>
        <w:rPr>
          <w:rFonts w:ascii="仿宋_GB2312" w:hAnsi="仿宋"/>
          <w:szCs w:val="32"/>
        </w:rPr>
      </w:pPr>
      <w:r>
        <w:rPr>
          <w:rFonts w:hint="eastAsia" w:ascii="仿宋_GB2312" w:hAnsi="仿宋"/>
          <w:szCs w:val="32"/>
        </w:rPr>
        <w:t>各地市行政监管机构负责监管数据输入；</w:t>
      </w:r>
    </w:p>
    <w:p>
      <w:pPr>
        <w:numPr>
          <w:ilvl w:val="0"/>
          <w:numId w:val="107"/>
        </w:numPr>
        <w:ind w:left="0" w:firstLine="640"/>
        <w:rPr>
          <w:rFonts w:ascii="仿宋_GB2312" w:hAnsi="仿宋"/>
          <w:szCs w:val="32"/>
        </w:rPr>
      </w:pPr>
      <w:r>
        <w:rPr>
          <w:rFonts w:hint="eastAsia" w:ascii="仿宋_GB2312" w:hAnsi="仿宋"/>
          <w:szCs w:val="32"/>
        </w:rPr>
        <w:t>省特科院负责风险评价导则的制定及更新；</w:t>
      </w:r>
    </w:p>
    <w:p>
      <w:pPr>
        <w:numPr>
          <w:ilvl w:val="0"/>
          <w:numId w:val="107"/>
        </w:numPr>
        <w:ind w:left="0" w:firstLine="640"/>
        <w:rPr>
          <w:rFonts w:ascii="仿宋_GB2312" w:hAnsi="仿宋"/>
          <w:szCs w:val="32"/>
        </w:rPr>
      </w:pPr>
      <w:r>
        <w:rPr>
          <w:rFonts w:hint="eastAsia" w:ascii="仿宋_GB2312" w:hAnsi="仿宋"/>
          <w:szCs w:val="32"/>
        </w:rPr>
        <w:t>省特科院及各地市检验机构负责报告与缺陷的信息输入。</w:t>
      </w:r>
    </w:p>
    <w:p>
      <w:pPr>
        <w:pStyle w:val="5"/>
        <w:numPr>
          <w:ilvl w:val="3"/>
          <w:numId w:val="99"/>
        </w:numPr>
        <w:ind w:left="0" w:firstLine="643"/>
        <w:rPr>
          <w:rFonts w:ascii="仿宋_GB2312"/>
          <w:szCs w:val="32"/>
        </w:rPr>
      </w:pPr>
      <w:bookmarkStart w:id="129" w:name="_Toc5258"/>
      <w:bookmarkStart w:id="130" w:name="_Toc18794"/>
      <w:r>
        <w:rPr>
          <w:rFonts w:hint="eastAsia" w:ascii="仿宋_GB2312"/>
          <w:szCs w:val="32"/>
        </w:rPr>
        <w:t>整合数据资源</w:t>
      </w:r>
      <w:bookmarkEnd w:id="129"/>
      <w:bookmarkEnd w:id="130"/>
    </w:p>
    <w:p>
      <w:pPr>
        <w:pStyle w:val="6"/>
        <w:numPr>
          <w:ilvl w:val="0"/>
          <w:numId w:val="108"/>
        </w:numPr>
        <w:ind w:left="0" w:firstLine="640"/>
        <w:rPr>
          <w:rFonts w:ascii="仿宋_GB2312"/>
          <w:szCs w:val="32"/>
        </w:rPr>
      </w:pPr>
      <w:r>
        <w:rPr>
          <w:rFonts w:hint="eastAsia" w:ascii="仿宋_GB2312"/>
          <w:szCs w:val="32"/>
        </w:rPr>
        <w:t>对接数据来源</w:t>
      </w:r>
    </w:p>
    <w:p>
      <w:pPr>
        <w:numPr>
          <w:ilvl w:val="0"/>
          <w:numId w:val="109"/>
        </w:numPr>
        <w:ind w:left="0" w:firstLine="640"/>
        <w:rPr>
          <w:rFonts w:ascii="仿宋_GB2312" w:hAnsi="仿宋"/>
          <w:szCs w:val="32"/>
        </w:rPr>
      </w:pPr>
      <w:r>
        <w:rPr>
          <w:rFonts w:hint="eastAsia" w:ascii="仿宋_GB2312" w:hAnsi="仿宋"/>
          <w:szCs w:val="32"/>
        </w:rPr>
        <w:t>省局特种设备监管系统</w:t>
      </w:r>
    </w:p>
    <w:p>
      <w:pPr>
        <w:numPr>
          <w:ilvl w:val="0"/>
          <w:numId w:val="109"/>
        </w:numPr>
        <w:ind w:left="0" w:firstLine="640"/>
        <w:rPr>
          <w:rFonts w:ascii="仿宋_GB2312" w:hAnsi="仿宋"/>
          <w:szCs w:val="32"/>
        </w:rPr>
      </w:pPr>
      <w:r>
        <w:rPr>
          <w:rFonts w:hint="eastAsia" w:ascii="仿宋_GB2312" w:hAnsi="仿宋"/>
          <w:szCs w:val="32"/>
        </w:rPr>
        <w:t>省特科院及各地市检验机构的检验系统</w:t>
      </w:r>
    </w:p>
    <w:p>
      <w:pPr>
        <w:pStyle w:val="6"/>
        <w:numPr>
          <w:ilvl w:val="0"/>
          <w:numId w:val="108"/>
        </w:numPr>
        <w:ind w:left="0" w:firstLine="640"/>
        <w:rPr>
          <w:rFonts w:ascii="仿宋_GB2312"/>
          <w:szCs w:val="32"/>
        </w:rPr>
      </w:pPr>
      <w:r>
        <w:rPr>
          <w:rFonts w:hint="eastAsia" w:ascii="仿宋_GB2312"/>
          <w:szCs w:val="32"/>
        </w:rPr>
        <w:t>对接数据明细</w:t>
      </w:r>
    </w:p>
    <w:tbl>
      <w:tblPr>
        <w:tblStyle w:val="28"/>
        <w:tblW w:w="8568"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976"/>
        <w:gridCol w:w="1596"/>
        <w:gridCol w:w="1932"/>
        <w:gridCol w:w="4064"/>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955" w:hRule="atLeast"/>
          <w:jc w:val="center"/>
        </w:trPr>
        <w:tc>
          <w:tcPr>
            <w:tcW w:w="976" w:type="dxa"/>
            <w:tcBorders>
              <w:tl2br w:val="nil"/>
              <w:tr2bl w:val="nil"/>
            </w:tcBorders>
            <w:vAlign w:val="center"/>
          </w:tcPr>
          <w:p>
            <w:pPr>
              <w:ind w:firstLine="0" w:firstLineChars="0"/>
              <w:jc w:val="center"/>
              <w:rPr>
                <w:rFonts w:ascii="仿宋" w:hAnsi="仿宋" w:eastAsia="仿宋" w:cs="仿宋"/>
                <w:b/>
                <w:bCs/>
                <w:sz w:val="30"/>
                <w:szCs w:val="30"/>
              </w:rPr>
            </w:pPr>
            <w:r>
              <w:rPr>
                <w:rFonts w:hint="eastAsia" w:ascii="仿宋" w:hAnsi="仿宋" w:eastAsia="仿宋" w:cs="仿宋"/>
                <w:b/>
                <w:bCs/>
                <w:sz w:val="30"/>
                <w:szCs w:val="30"/>
              </w:rPr>
              <w:t>序号</w:t>
            </w:r>
          </w:p>
        </w:tc>
        <w:tc>
          <w:tcPr>
            <w:tcW w:w="1596" w:type="dxa"/>
            <w:tcBorders>
              <w:tl2br w:val="nil"/>
              <w:tr2bl w:val="nil"/>
            </w:tcBorders>
            <w:vAlign w:val="center"/>
          </w:tcPr>
          <w:p>
            <w:pPr>
              <w:ind w:firstLine="0" w:firstLineChars="0"/>
              <w:jc w:val="center"/>
              <w:rPr>
                <w:rFonts w:ascii="仿宋" w:hAnsi="仿宋" w:eastAsia="仿宋" w:cs="仿宋"/>
                <w:b/>
                <w:bCs/>
                <w:sz w:val="30"/>
                <w:szCs w:val="30"/>
              </w:rPr>
            </w:pPr>
            <w:r>
              <w:rPr>
                <w:rFonts w:hint="eastAsia" w:ascii="仿宋" w:hAnsi="仿宋" w:eastAsia="仿宋" w:cs="仿宋"/>
                <w:b/>
                <w:bCs/>
                <w:sz w:val="30"/>
                <w:szCs w:val="30"/>
              </w:rPr>
              <w:t>选取参数</w:t>
            </w:r>
          </w:p>
        </w:tc>
        <w:tc>
          <w:tcPr>
            <w:tcW w:w="1932" w:type="dxa"/>
            <w:tcBorders>
              <w:tl2br w:val="nil"/>
              <w:tr2bl w:val="nil"/>
            </w:tcBorders>
            <w:vAlign w:val="center"/>
          </w:tcPr>
          <w:p>
            <w:pPr>
              <w:ind w:firstLine="0" w:firstLineChars="0"/>
              <w:jc w:val="center"/>
              <w:rPr>
                <w:rFonts w:ascii="仿宋" w:hAnsi="仿宋" w:eastAsia="仿宋" w:cs="仿宋"/>
                <w:b/>
                <w:bCs/>
                <w:sz w:val="30"/>
                <w:szCs w:val="30"/>
              </w:rPr>
            </w:pPr>
            <w:r>
              <w:rPr>
                <w:rFonts w:hint="eastAsia" w:ascii="仿宋" w:hAnsi="仿宋" w:eastAsia="仿宋" w:cs="仿宋"/>
                <w:b/>
                <w:bCs/>
                <w:sz w:val="30"/>
                <w:szCs w:val="30"/>
              </w:rPr>
              <w:t>风险源</w:t>
            </w:r>
          </w:p>
        </w:tc>
        <w:tc>
          <w:tcPr>
            <w:tcW w:w="4064" w:type="dxa"/>
            <w:tcBorders>
              <w:tl2br w:val="nil"/>
              <w:tr2bl w:val="nil"/>
            </w:tcBorders>
            <w:vAlign w:val="center"/>
          </w:tcPr>
          <w:p>
            <w:pPr>
              <w:ind w:firstLine="0" w:firstLineChars="0"/>
              <w:jc w:val="center"/>
              <w:rPr>
                <w:rFonts w:ascii="仿宋" w:hAnsi="仿宋" w:eastAsia="仿宋" w:cs="仿宋"/>
                <w:b/>
                <w:bCs/>
                <w:sz w:val="30"/>
                <w:szCs w:val="30"/>
              </w:rPr>
            </w:pPr>
            <w:r>
              <w:rPr>
                <w:rFonts w:hint="eastAsia" w:ascii="仿宋" w:hAnsi="仿宋" w:eastAsia="仿宋" w:cs="仿宋"/>
                <w:b/>
                <w:bCs/>
                <w:sz w:val="30"/>
                <w:szCs w:val="30"/>
              </w:rPr>
              <w:t>判定条件</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976" w:type="dxa"/>
            <w:tcBorders>
              <w:tl2br w:val="nil"/>
              <w:tr2bl w:val="nil"/>
            </w:tcBorders>
            <w:vAlign w:val="center"/>
          </w:tcPr>
          <w:p>
            <w:pPr>
              <w:ind w:firstLine="0" w:firstLineChars="0"/>
              <w:jc w:val="center"/>
              <w:rPr>
                <w:rFonts w:eastAsia="仿宋" w:cs="Times New Roman"/>
                <w:sz w:val="30"/>
                <w:szCs w:val="30"/>
              </w:rPr>
            </w:pPr>
            <w:r>
              <w:rPr>
                <w:rFonts w:eastAsia="仿宋" w:cs="Times New Roman"/>
                <w:szCs w:val="30"/>
              </w:rPr>
              <w:t>1</w:t>
            </w:r>
          </w:p>
        </w:tc>
        <w:tc>
          <w:tcPr>
            <w:tcW w:w="1596" w:type="dxa"/>
            <w:tcBorders>
              <w:tl2br w:val="nil"/>
              <w:tr2bl w:val="nil"/>
            </w:tcBorders>
            <w:vAlign w:val="center"/>
          </w:tcPr>
          <w:p>
            <w:pPr>
              <w:ind w:firstLine="0" w:firstLineChars="0"/>
              <w:rPr>
                <w:rFonts w:ascii="仿宋" w:hAnsi="仿宋" w:eastAsia="仿宋" w:cs="仿宋"/>
                <w:sz w:val="30"/>
                <w:szCs w:val="30"/>
              </w:rPr>
            </w:pPr>
            <w:r>
              <w:rPr>
                <w:rFonts w:hint="eastAsia" w:ascii="仿宋" w:hAnsi="仿宋" w:eastAsia="仿宋" w:cs="仿宋"/>
                <w:sz w:val="30"/>
                <w:szCs w:val="30"/>
              </w:rPr>
              <w:t>起重量</w:t>
            </w:r>
          </w:p>
        </w:tc>
        <w:tc>
          <w:tcPr>
            <w:tcW w:w="1932" w:type="dxa"/>
            <w:tcBorders>
              <w:tl2br w:val="nil"/>
              <w:tr2bl w:val="nil"/>
            </w:tcBorders>
            <w:vAlign w:val="center"/>
          </w:tcPr>
          <w:p>
            <w:pPr>
              <w:ind w:firstLine="0" w:firstLineChars="0"/>
              <w:rPr>
                <w:rFonts w:ascii="仿宋" w:hAnsi="仿宋" w:eastAsia="仿宋" w:cs="仿宋"/>
                <w:sz w:val="30"/>
                <w:szCs w:val="30"/>
              </w:rPr>
            </w:pPr>
            <w:r>
              <w:rPr>
                <w:rFonts w:hint="eastAsia" w:ascii="仿宋" w:hAnsi="仿宋" w:eastAsia="仿宋" w:cs="仿宋"/>
                <w:sz w:val="30"/>
                <w:szCs w:val="30"/>
              </w:rPr>
              <w:t>起重机超载易引起金属结构变形及开裂，进而导致整机失稳。</w:t>
            </w:r>
          </w:p>
        </w:tc>
        <w:tc>
          <w:tcPr>
            <w:tcW w:w="4064" w:type="dxa"/>
            <w:tcBorders>
              <w:tl2br w:val="nil"/>
              <w:tr2bl w:val="nil"/>
            </w:tcBorders>
            <w:shd w:val="clear" w:color="auto" w:fill="auto"/>
            <w:vAlign w:val="center"/>
          </w:tcPr>
          <w:p>
            <w:pPr>
              <w:ind w:firstLine="0" w:firstLineChars="0"/>
              <w:jc w:val="left"/>
              <w:rPr>
                <w:rFonts w:eastAsia="仿宋" w:cs="Times New Roman"/>
                <w:sz w:val="30"/>
                <w:szCs w:val="30"/>
              </w:rPr>
            </w:pPr>
            <w:r>
              <w:rPr>
                <w:rFonts w:eastAsia="仿宋" w:cs="Times New Roman"/>
                <w:szCs w:val="30"/>
              </w:rPr>
              <w:t>1</w:t>
            </w:r>
            <w:r>
              <w:rPr>
                <w:rFonts w:hint="eastAsia" w:ascii="仿宋_GB2312" w:hAnsi="仿宋_GB2312" w:cs="仿宋_GB2312"/>
                <w:sz w:val="30"/>
                <w:szCs w:val="30"/>
              </w:rPr>
              <w:t>.起重机起吊重量达到</w:t>
            </w:r>
            <w:r>
              <w:rPr>
                <w:rFonts w:hint="eastAsia" w:cs="仿宋_GB2312"/>
                <w:szCs w:val="30"/>
              </w:rPr>
              <w:t>1</w:t>
            </w:r>
            <w:r>
              <w:rPr>
                <w:rFonts w:hint="eastAsia" w:ascii="仿宋_GB2312" w:hAnsi="仿宋_GB2312" w:cs="仿宋_GB2312"/>
                <w:sz w:val="30"/>
                <w:szCs w:val="30"/>
              </w:rPr>
              <w:t>.</w:t>
            </w:r>
            <w:r>
              <w:rPr>
                <w:rFonts w:hint="eastAsia" w:cs="仿宋_GB2312"/>
                <w:szCs w:val="30"/>
              </w:rPr>
              <w:t>05</w:t>
            </w:r>
            <w:r>
              <w:rPr>
                <w:rFonts w:hint="eastAsia" w:ascii="仿宋_GB2312" w:hAnsi="仿宋_GB2312" w:cs="仿宋_GB2312"/>
                <w:sz w:val="30"/>
                <w:szCs w:val="30"/>
              </w:rPr>
              <w:t>倍额定起重量，向设备安全管理人员进行报警；</w:t>
            </w:r>
          </w:p>
          <w:p>
            <w:pPr>
              <w:ind w:firstLine="0" w:firstLineChars="0"/>
              <w:rPr>
                <w:rFonts w:ascii="仿宋" w:hAnsi="仿宋" w:eastAsia="仿宋" w:cs="仿宋"/>
                <w:sz w:val="30"/>
                <w:szCs w:val="30"/>
              </w:rPr>
            </w:pPr>
            <w:r>
              <w:rPr>
                <w:rFonts w:eastAsia="仿宋" w:cs="Times New Roman"/>
                <w:szCs w:val="30"/>
              </w:rPr>
              <w:t>2</w:t>
            </w:r>
            <w:r>
              <w:rPr>
                <w:rFonts w:eastAsia="仿宋" w:cs="Times New Roman"/>
                <w:sz w:val="30"/>
                <w:szCs w:val="30"/>
              </w:rPr>
              <w:t>.</w:t>
            </w:r>
            <w:r>
              <w:rPr>
                <w:rFonts w:eastAsia="仿宋" w:cs="Times New Roman"/>
                <w:szCs w:val="30"/>
              </w:rPr>
              <w:t>3</w:t>
            </w:r>
            <w:r>
              <w:rPr>
                <w:rFonts w:hint="eastAsia" w:ascii="仿宋_GB2312" w:hAnsi="仿宋_GB2312" w:cs="仿宋_GB2312"/>
                <w:sz w:val="30"/>
                <w:szCs w:val="30"/>
              </w:rPr>
              <w:t>个月累计超载</w:t>
            </w:r>
            <w:r>
              <w:rPr>
                <w:rFonts w:hint="eastAsia" w:cs="仿宋_GB2312"/>
                <w:szCs w:val="30"/>
              </w:rPr>
              <w:t>5</w:t>
            </w:r>
            <w:r>
              <w:rPr>
                <w:rFonts w:hint="eastAsia" w:ascii="仿宋_GB2312" w:hAnsi="仿宋_GB2312" w:cs="仿宋_GB2312"/>
                <w:sz w:val="30"/>
                <w:szCs w:val="30"/>
              </w:rPr>
              <w:t>次，向监察人员进行报警。</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976" w:type="dxa"/>
            <w:tcBorders>
              <w:tl2br w:val="nil"/>
              <w:tr2bl w:val="nil"/>
            </w:tcBorders>
            <w:vAlign w:val="center"/>
          </w:tcPr>
          <w:p>
            <w:pPr>
              <w:ind w:firstLine="0" w:firstLineChars="0"/>
              <w:jc w:val="center"/>
              <w:rPr>
                <w:rFonts w:cs="Times New Roman"/>
                <w:sz w:val="30"/>
                <w:szCs w:val="30"/>
              </w:rPr>
            </w:pPr>
            <w:r>
              <w:rPr>
                <w:rFonts w:cs="Times New Roman"/>
                <w:szCs w:val="30"/>
              </w:rPr>
              <w:t>2</w:t>
            </w:r>
          </w:p>
        </w:tc>
        <w:tc>
          <w:tcPr>
            <w:tcW w:w="1596" w:type="dxa"/>
            <w:tcBorders>
              <w:tl2br w:val="nil"/>
              <w:tr2bl w:val="nil"/>
            </w:tcBorders>
            <w:vAlign w:val="center"/>
          </w:tcPr>
          <w:p>
            <w:pPr>
              <w:ind w:firstLine="0" w:firstLineChars="0"/>
              <w:rPr>
                <w:rFonts w:ascii="仿宋" w:hAnsi="仿宋" w:eastAsia="仿宋" w:cs="仿宋"/>
                <w:sz w:val="30"/>
                <w:szCs w:val="30"/>
              </w:rPr>
            </w:pPr>
            <w:r>
              <w:rPr>
                <w:rFonts w:hint="eastAsia" w:ascii="仿宋" w:hAnsi="仿宋" w:eastAsia="仿宋" w:cs="仿宋"/>
                <w:sz w:val="30"/>
                <w:szCs w:val="30"/>
              </w:rPr>
              <w:t>起重力矩</w:t>
            </w:r>
          </w:p>
        </w:tc>
        <w:tc>
          <w:tcPr>
            <w:tcW w:w="1932" w:type="dxa"/>
            <w:tcBorders>
              <w:tl2br w:val="nil"/>
              <w:tr2bl w:val="nil"/>
            </w:tcBorders>
            <w:vAlign w:val="center"/>
          </w:tcPr>
          <w:p>
            <w:pPr>
              <w:ind w:firstLine="0" w:firstLineChars="0"/>
              <w:rPr>
                <w:rFonts w:ascii="仿宋" w:hAnsi="仿宋" w:eastAsia="仿宋" w:cs="仿宋"/>
                <w:sz w:val="30"/>
                <w:szCs w:val="30"/>
              </w:rPr>
            </w:pPr>
            <w:r>
              <w:rPr>
                <w:rFonts w:hint="eastAsia" w:ascii="仿宋" w:hAnsi="仿宋" w:eastAsia="仿宋" w:cs="仿宋"/>
                <w:sz w:val="30"/>
                <w:szCs w:val="30"/>
              </w:rPr>
              <w:t>起重机超载易引起金属结构变形及开裂，进而导致整机失稳。</w:t>
            </w:r>
          </w:p>
        </w:tc>
        <w:tc>
          <w:tcPr>
            <w:tcW w:w="4064" w:type="dxa"/>
            <w:tcBorders>
              <w:tl2br w:val="nil"/>
              <w:tr2bl w:val="nil"/>
            </w:tcBorders>
            <w:shd w:val="clear" w:color="auto" w:fill="auto"/>
            <w:vAlign w:val="center"/>
          </w:tcPr>
          <w:p>
            <w:pPr>
              <w:ind w:firstLine="0" w:firstLineChars="0"/>
              <w:rPr>
                <w:rFonts w:ascii="仿宋" w:hAnsi="仿宋" w:eastAsia="仿宋" w:cs="仿宋"/>
                <w:sz w:val="30"/>
                <w:szCs w:val="30"/>
              </w:rPr>
            </w:pPr>
            <w:r>
              <w:rPr>
                <w:rFonts w:eastAsia="仿宋" w:cs="Times New Roman"/>
                <w:szCs w:val="30"/>
              </w:rPr>
              <w:t>1</w:t>
            </w:r>
            <w:r>
              <w:rPr>
                <w:rFonts w:eastAsia="仿宋" w:cs="Times New Roman"/>
                <w:sz w:val="30"/>
                <w:szCs w:val="30"/>
              </w:rPr>
              <w:t>.</w:t>
            </w:r>
            <w:r>
              <w:rPr>
                <w:rFonts w:hint="eastAsia" w:ascii="仿宋" w:hAnsi="仿宋" w:eastAsia="仿宋" w:cs="仿宋"/>
                <w:sz w:val="30"/>
                <w:szCs w:val="30"/>
              </w:rPr>
              <w:t>起重机起重力矩达到</w:t>
            </w:r>
            <w:r>
              <w:rPr>
                <w:rFonts w:hint="eastAsia" w:eastAsia="仿宋" w:cs="仿宋"/>
                <w:szCs w:val="30"/>
              </w:rPr>
              <w:t>1</w:t>
            </w:r>
            <w:r>
              <w:rPr>
                <w:rFonts w:hint="eastAsia" w:ascii="仿宋" w:hAnsi="仿宋" w:eastAsia="仿宋" w:cs="仿宋"/>
                <w:sz w:val="30"/>
                <w:szCs w:val="30"/>
              </w:rPr>
              <w:t>.</w:t>
            </w:r>
            <w:r>
              <w:rPr>
                <w:rFonts w:hint="eastAsia" w:eastAsia="仿宋" w:cs="仿宋"/>
                <w:szCs w:val="30"/>
              </w:rPr>
              <w:t>05</w:t>
            </w:r>
            <w:r>
              <w:rPr>
                <w:rFonts w:hint="eastAsia" w:ascii="仿宋" w:hAnsi="仿宋" w:eastAsia="仿宋" w:cs="仿宋"/>
                <w:sz w:val="30"/>
                <w:szCs w:val="30"/>
              </w:rPr>
              <w:t>倍额定起重力矩，向设备安全管理人员进行报警；</w:t>
            </w:r>
          </w:p>
          <w:p>
            <w:pPr>
              <w:ind w:firstLine="0" w:firstLineChars="0"/>
              <w:rPr>
                <w:rFonts w:ascii="仿宋" w:hAnsi="仿宋" w:eastAsia="仿宋" w:cs="仿宋"/>
                <w:sz w:val="30"/>
                <w:szCs w:val="30"/>
              </w:rPr>
            </w:pPr>
            <w:r>
              <w:rPr>
                <w:rFonts w:eastAsia="仿宋" w:cs="Times New Roman"/>
                <w:szCs w:val="30"/>
              </w:rPr>
              <w:t>2</w:t>
            </w:r>
            <w:r>
              <w:rPr>
                <w:rFonts w:eastAsia="仿宋" w:cs="Times New Roman"/>
                <w:sz w:val="30"/>
                <w:szCs w:val="30"/>
              </w:rPr>
              <w:t>.</w:t>
            </w:r>
            <w:r>
              <w:rPr>
                <w:rFonts w:eastAsia="仿宋" w:cs="Times New Roman"/>
                <w:szCs w:val="30"/>
              </w:rPr>
              <w:t>3</w:t>
            </w:r>
            <w:r>
              <w:rPr>
                <w:rFonts w:hint="eastAsia" w:ascii="仿宋" w:hAnsi="仿宋" w:eastAsia="仿宋" w:cs="仿宋"/>
                <w:sz w:val="30"/>
                <w:szCs w:val="30"/>
              </w:rPr>
              <w:t>个月累计超载</w:t>
            </w:r>
            <w:r>
              <w:rPr>
                <w:rFonts w:hint="eastAsia" w:eastAsia="仿宋" w:cs="仿宋"/>
                <w:szCs w:val="30"/>
              </w:rPr>
              <w:t>5</w:t>
            </w:r>
            <w:r>
              <w:rPr>
                <w:rFonts w:hint="eastAsia" w:ascii="仿宋" w:hAnsi="仿宋" w:eastAsia="仿宋" w:cs="仿宋"/>
                <w:sz w:val="30"/>
                <w:szCs w:val="30"/>
              </w:rPr>
              <w:t>次，向监察人员进行报警。</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976" w:type="dxa"/>
            <w:tcBorders>
              <w:tl2br w:val="nil"/>
              <w:tr2bl w:val="nil"/>
            </w:tcBorders>
            <w:vAlign w:val="center"/>
          </w:tcPr>
          <w:p>
            <w:pPr>
              <w:ind w:firstLine="0" w:firstLineChars="0"/>
              <w:jc w:val="center"/>
              <w:rPr>
                <w:rFonts w:eastAsia="仿宋" w:cs="Times New Roman"/>
                <w:sz w:val="30"/>
                <w:szCs w:val="30"/>
              </w:rPr>
            </w:pPr>
            <w:r>
              <w:rPr>
                <w:rFonts w:eastAsia="仿宋" w:cs="Times New Roman"/>
                <w:szCs w:val="30"/>
              </w:rPr>
              <w:t>3</w:t>
            </w:r>
          </w:p>
        </w:tc>
        <w:tc>
          <w:tcPr>
            <w:tcW w:w="1596" w:type="dxa"/>
            <w:tcBorders>
              <w:tl2br w:val="nil"/>
              <w:tr2bl w:val="nil"/>
            </w:tcBorders>
            <w:vAlign w:val="center"/>
          </w:tcPr>
          <w:p>
            <w:pPr>
              <w:ind w:firstLine="0" w:firstLineChars="0"/>
              <w:rPr>
                <w:rFonts w:ascii="仿宋" w:hAnsi="仿宋" w:eastAsia="仿宋" w:cs="仿宋"/>
                <w:sz w:val="30"/>
                <w:szCs w:val="30"/>
              </w:rPr>
            </w:pPr>
            <w:r>
              <w:rPr>
                <w:rFonts w:hint="eastAsia" w:ascii="仿宋" w:hAnsi="仿宋" w:eastAsia="仿宋" w:cs="仿宋"/>
                <w:sz w:val="30"/>
                <w:szCs w:val="30"/>
              </w:rPr>
              <w:t>风速</w:t>
            </w:r>
          </w:p>
        </w:tc>
        <w:tc>
          <w:tcPr>
            <w:tcW w:w="1932" w:type="dxa"/>
            <w:tcBorders>
              <w:tl2br w:val="nil"/>
              <w:tr2bl w:val="nil"/>
            </w:tcBorders>
            <w:vAlign w:val="center"/>
          </w:tcPr>
          <w:p>
            <w:pPr>
              <w:ind w:firstLine="0" w:firstLineChars="0"/>
              <w:jc w:val="left"/>
              <w:rPr>
                <w:rFonts w:ascii="仿宋" w:hAnsi="仿宋" w:eastAsia="仿宋" w:cs="仿宋"/>
                <w:sz w:val="30"/>
                <w:szCs w:val="30"/>
              </w:rPr>
            </w:pPr>
            <w:r>
              <w:rPr>
                <w:rFonts w:hint="eastAsia" w:ascii="仿宋" w:hAnsi="仿宋" w:eastAsia="仿宋" w:cs="仿宋"/>
                <w:sz w:val="30"/>
                <w:szCs w:val="30"/>
              </w:rPr>
              <w:t>起重机停机时未启动防风装置，易引起倾覆事故。</w:t>
            </w:r>
          </w:p>
        </w:tc>
        <w:tc>
          <w:tcPr>
            <w:tcW w:w="4064" w:type="dxa"/>
            <w:tcBorders>
              <w:tl2br w:val="nil"/>
              <w:tr2bl w:val="nil"/>
            </w:tcBorders>
            <w:shd w:val="clear" w:color="auto" w:fill="auto"/>
            <w:vAlign w:val="center"/>
          </w:tcPr>
          <w:p>
            <w:pPr>
              <w:numPr>
                <w:ilvl w:val="0"/>
                <w:numId w:val="110"/>
              </w:numPr>
              <w:ind w:firstLine="0" w:firstLineChars="0"/>
              <w:jc w:val="left"/>
              <w:rPr>
                <w:rFonts w:ascii="仿宋" w:hAnsi="仿宋" w:eastAsia="仿宋" w:cs="仿宋"/>
                <w:sz w:val="30"/>
                <w:szCs w:val="30"/>
              </w:rPr>
            </w:pPr>
            <w:r>
              <w:rPr>
                <w:rFonts w:hint="eastAsia" w:ascii="仿宋" w:hAnsi="仿宋" w:eastAsia="仿宋" w:cs="仿宋"/>
                <w:sz w:val="30"/>
                <w:szCs w:val="30"/>
              </w:rPr>
              <w:t>起重机在超过允许风速下运行，向安全管理人员进行报警；</w:t>
            </w:r>
          </w:p>
          <w:p>
            <w:pPr>
              <w:numPr>
                <w:ilvl w:val="0"/>
                <w:numId w:val="110"/>
              </w:numPr>
              <w:ind w:firstLine="0" w:firstLineChars="0"/>
              <w:jc w:val="left"/>
              <w:rPr>
                <w:rFonts w:ascii="仿宋" w:hAnsi="仿宋" w:eastAsia="仿宋" w:cs="仿宋"/>
                <w:sz w:val="30"/>
                <w:szCs w:val="30"/>
              </w:rPr>
            </w:pPr>
            <w:r>
              <w:rPr>
                <w:rFonts w:hint="eastAsia" w:eastAsia="仿宋" w:cs="仿宋"/>
                <w:szCs w:val="30"/>
              </w:rPr>
              <w:t>1</w:t>
            </w:r>
            <w:r>
              <w:rPr>
                <w:rFonts w:hint="eastAsia" w:ascii="仿宋" w:hAnsi="仿宋" w:eastAsia="仿宋" w:cs="仿宋"/>
                <w:sz w:val="30"/>
                <w:szCs w:val="30"/>
              </w:rPr>
              <w:t>个月累计超载</w:t>
            </w:r>
            <w:r>
              <w:rPr>
                <w:rFonts w:hint="eastAsia" w:eastAsia="仿宋" w:cs="仿宋"/>
                <w:szCs w:val="30"/>
              </w:rPr>
              <w:t>5</w:t>
            </w:r>
            <w:r>
              <w:rPr>
                <w:rFonts w:hint="eastAsia" w:ascii="仿宋" w:hAnsi="仿宋" w:eastAsia="仿宋" w:cs="仿宋"/>
                <w:sz w:val="30"/>
                <w:szCs w:val="30"/>
              </w:rPr>
              <w:t>次，向监察人员进行报警。</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976" w:type="dxa"/>
            <w:tcBorders>
              <w:tl2br w:val="nil"/>
              <w:tr2bl w:val="nil"/>
            </w:tcBorders>
            <w:vAlign w:val="center"/>
          </w:tcPr>
          <w:p>
            <w:pPr>
              <w:ind w:firstLine="0" w:firstLineChars="0"/>
              <w:jc w:val="center"/>
              <w:rPr>
                <w:rFonts w:eastAsia="仿宋" w:cs="Times New Roman"/>
                <w:sz w:val="30"/>
                <w:szCs w:val="30"/>
              </w:rPr>
            </w:pPr>
            <w:r>
              <w:rPr>
                <w:rFonts w:eastAsia="仿宋" w:cs="Times New Roman"/>
                <w:szCs w:val="30"/>
              </w:rPr>
              <w:t>4</w:t>
            </w:r>
          </w:p>
        </w:tc>
        <w:tc>
          <w:tcPr>
            <w:tcW w:w="1596" w:type="dxa"/>
            <w:tcBorders>
              <w:tl2br w:val="nil"/>
              <w:tr2bl w:val="nil"/>
            </w:tcBorders>
            <w:vAlign w:val="center"/>
          </w:tcPr>
          <w:p>
            <w:pPr>
              <w:ind w:firstLine="0" w:firstLineChars="0"/>
              <w:rPr>
                <w:rFonts w:ascii="仿宋" w:hAnsi="仿宋" w:eastAsia="仿宋" w:cs="仿宋"/>
                <w:sz w:val="30"/>
                <w:szCs w:val="30"/>
              </w:rPr>
            </w:pPr>
            <w:r>
              <w:rPr>
                <w:rFonts w:hint="eastAsia" w:ascii="仿宋" w:hAnsi="仿宋" w:eastAsia="仿宋" w:cs="仿宋"/>
                <w:sz w:val="30"/>
                <w:szCs w:val="30"/>
              </w:rPr>
              <w:t>抗风防滑</w:t>
            </w:r>
          </w:p>
        </w:tc>
        <w:tc>
          <w:tcPr>
            <w:tcW w:w="1932" w:type="dxa"/>
            <w:tcBorders>
              <w:tl2br w:val="nil"/>
              <w:tr2bl w:val="nil"/>
            </w:tcBorders>
            <w:vAlign w:val="center"/>
          </w:tcPr>
          <w:p>
            <w:pPr>
              <w:ind w:firstLine="0" w:firstLineChars="0"/>
              <w:jc w:val="left"/>
              <w:rPr>
                <w:rFonts w:ascii="仿宋" w:hAnsi="仿宋" w:eastAsia="仿宋" w:cs="仿宋"/>
                <w:sz w:val="30"/>
                <w:szCs w:val="30"/>
              </w:rPr>
            </w:pPr>
            <w:r>
              <w:rPr>
                <w:rFonts w:hint="eastAsia" w:ascii="仿宋" w:hAnsi="仿宋" w:eastAsia="仿宋" w:cs="仿宋"/>
                <w:sz w:val="30"/>
                <w:szCs w:val="30"/>
              </w:rPr>
              <w:t>起重机停机时未启动防风装置，易引起倾覆事故。</w:t>
            </w:r>
          </w:p>
        </w:tc>
        <w:tc>
          <w:tcPr>
            <w:tcW w:w="4064" w:type="dxa"/>
            <w:tcBorders>
              <w:tl2br w:val="nil"/>
              <w:tr2bl w:val="nil"/>
            </w:tcBorders>
            <w:shd w:val="clear" w:color="auto" w:fill="auto"/>
            <w:vAlign w:val="center"/>
          </w:tcPr>
          <w:p>
            <w:pPr>
              <w:numPr>
                <w:ilvl w:val="0"/>
                <w:numId w:val="111"/>
              </w:numPr>
              <w:ind w:firstLine="0" w:firstLineChars="0"/>
              <w:jc w:val="left"/>
              <w:rPr>
                <w:rFonts w:ascii="仿宋" w:hAnsi="仿宋" w:eastAsia="仿宋" w:cs="仿宋"/>
                <w:sz w:val="30"/>
                <w:szCs w:val="30"/>
              </w:rPr>
            </w:pPr>
            <w:r>
              <w:rPr>
                <w:rFonts w:hint="eastAsia" w:ascii="仿宋" w:hAnsi="仿宋" w:eastAsia="仿宋" w:cs="仿宋"/>
                <w:sz w:val="30"/>
                <w:szCs w:val="30"/>
              </w:rPr>
              <w:t>起重机在停机状态下运行，抗风防滑装置未运行，向安全管理人员进行报警；</w:t>
            </w:r>
          </w:p>
          <w:p>
            <w:pPr>
              <w:numPr>
                <w:ilvl w:val="0"/>
                <w:numId w:val="111"/>
              </w:numPr>
              <w:ind w:firstLine="0" w:firstLineChars="0"/>
              <w:jc w:val="left"/>
              <w:rPr>
                <w:rFonts w:ascii="仿宋" w:hAnsi="仿宋" w:eastAsia="仿宋" w:cs="仿宋"/>
                <w:sz w:val="30"/>
                <w:szCs w:val="30"/>
              </w:rPr>
            </w:pPr>
            <w:r>
              <w:rPr>
                <w:rFonts w:hint="eastAsia" w:eastAsia="仿宋" w:cs="仿宋"/>
                <w:szCs w:val="30"/>
              </w:rPr>
              <w:t>1</w:t>
            </w:r>
            <w:r>
              <w:rPr>
                <w:rFonts w:hint="eastAsia" w:ascii="仿宋" w:hAnsi="仿宋" w:eastAsia="仿宋" w:cs="仿宋"/>
                <w:sz w:val="30"/>
                <w:szCs w:val="30"/>
              </w:rPr>
              <w:t>个月累计超载</w:t>
            </w:r>
            <w:r>
              <w:rPr>
                <w:rFonts w:hint="eastAsia" w:eastAsia="仿宋" w:cs="仿宋"/>
                <w:szCs w:val="30"/>
              </w:rPr>
              <w:t>5</w:t>
            </w:r>
            <w:r>
              <w:rPr>
                <w:rFonts w:hint="eastAsia" w:ascii="仿宋" w:hAnsi="仿宋" w:eastAsia="仿宋" w:cs="仿宋"/>
                <w:sz w:val="30"/>
                <w:szCs w:val="30"/>
              </w:rPr>
              <w:t>次，向监察人员进行报警。</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976" w:type="dxa"/>
            <w:tcBorders>
              <w:tl2br w:val="nil"/>
              <w:tr2bl w:val="nil"/>
            </w:tcBorders>
            <w:vAlign w:val="center"/>
          </w:tcPr>
          <w:p>
            <w:pPr>
              <w:ind w:firstLine="0" w:firstLineChars="0"/>
              <w:jc w:val="center"/>
              <w:rPr>
                <w:rFonts w:eastAsia="仿宋" w:cs="Times New Roman"/>
                <w:sz w:val="30"/>
                <w:szCs w:val="30"/>
              </w:rPr>
            </w:pPr>
            <w:r>
              <w:rPr>
                <w:rFonts w:eastAsia="仿宋" w:cs="Times New Roman"/>
                <w:szCs w:val="30"/>
              </w:rPr>
              <w:t>5</w:t>
            </w:r>
          </w:p>
        </w:tc>
        <w:tc>
          <w:tcPr>
            <w:tcW w:w="1596" w:type="dxa"/>
            <w:vMerge w:val="restart"/>
            <w:tcBorders>
              <w:tl2br w:val="nil"/>
              <w:tr2bl w:val="nil"/>
            </w:tcBorders>
            <w:vAlign w:val="center"/>
          </w:tcPr>
          <w:p>
            <w:pPr>
              <w:ind w:firstLine="0" w:firstLineChars="0"/>
              <w:rPr>
                <w:rFonts w:ascii="仿宋" w:hAnsi="仿宋" w:eastAsia="仿宋" w:cs="仿宋"/>
                <w:sz w:val="30"/>
                <w:szCs w:val="30"/>
              </w:rPr>
            </w:pPr>
            <w:r>
              <w:rPr>
                <w:rFonts w:hint="eastAsia" w:eastAsia="仿宋" w:cs="仿宋"/>
                <w:szCs w:val="30"/>
              </w:rPr>
              <w:t>GPS</w:t>
            </w:r>
            <w:r>
              <w:rPr>
                <w:rFonts w:hint="eastAsia" w:ascii="仿宋" w:hAnsi="仿宋" w:eastAsia="仿宋" w:cs="仿宋"/>
                <w:sz w:val="30"/>
                <w:szCs w:val="30"/>
              </w:rPr>
              <w:t>定位</w:t>
            </w:r>
          </w:p>
        </w:tc>
        <w:tc>
          <w:tcPr>
            <w:tcW w:w="1932" w:type="dxa"/>
            <w:tcBorders>
              <w:tl2br w:val="nil"/>
              <w:tr2bl w:val="nil"/>
            </w:tcBorders>
            <w:vAlign w:val="center"/>
          </w:tcPr>
          <w:p>
            <w:pPr>
              <w:ind w:firstLine="0" w:firstLineChars="0"/>
              <w:jc w:val="left"/>
              <w:rPr>
                <w:rFonts w:ascii="仿宋" w:hAnsi="仿宋" w:eastAsia="仿宋" w:cs="仿宋"/>
                <w:sz w:val="30"/>
                <w:szCs w:val="30"/>
              </w:rPr>
            </w:pPr>
            <w:r>
              <w:rPr>
                <w:rFonts w:hint="eastAsia" w:ascii="仿宋" w:hAnsi="仿宋" w:eastAsia="仿宋" w:cs="仿宋"/>
                <w:sz w:val="30"/>
                <w:szCs w:val="30"/>
              </w:rPr>
              <w:t>流动性起重机械在允许的作业区域以外作业。</w:t>
            </w:r>
          </w:p>
        </w:tc>
        <w:tc>
          <w:tcPr>
            <w:tcW w:w="4064" w:type="dxa"/>
            <w:tcBorders>
              <w:tl2br w:val="nil"/>
              <w:tr2bl w:val="nil"/>
            </w:tcBorders>
            <w:shd w:val="clear" w:color="auto" w:fill="auto"/>
            <w:vAlign w:val="center"/>
          </w:tcPr>
          <w:p>
            <w:pPr>
              <w:ind w:firstLine="0" w:firstLineChars="0"/>
              <w:jc w:val="left"/>
              <w:rPr>
                <w:rFonts w:ascii="仿宋" w:hAnsi="仿宋" w:eastAsia="仿宋" w:cs="仿宋"/>
                <w:sz w:val="30"/>
                <w:szCs w:val="30"/>
              </w:rPr>
            </w:pPr>
            <w:r>
              <w:rPr>
                <w:rFonts w:hint="eastAsia" w:eastAsia="仿宋" w:cs="仿宋"/>
                <w:szCs w:val="30"/>
              </w:rPr>
              <w:t>1</w:t>
            </w:r>
            <w:r>
              <w:rPr>
                <w:rFonts w:hint="eastAsia" w:ascii="仿宋" w:hAnsi="仿宋" w:eastAsia="仿宋" w:cs="仿宋"/>
                <w:sz w:val="30"/>
                <w:szCs w:val="30"/>
              </w:rPr>
              <w:t>.流动性起重机械在允许的作业区域以外作业，向安全管理人员进行报警。</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976" w:type="dxa"/>
            <w:tcBorders>
              <w:tl2br w:val="nil"/>
              <w:tr2bl w:val="nil"/>
            </w:tcBorders>
            <w:vAlign w:val="center"/>
          </w:tcPr>
          <w:p>
            <w:pPr>
              <w:ind w:firstLine="0" w:firstLineChars="0"/>
              <w:jc w:val="center"/>
              <w:rPr>
                <w:rFonts w:eastAsia="仿宋" w:cs="Times New Roman"/>
                <w:sz w:val="30"/>
                <w:szCs w:val="30"/>
              </w:rPr>
            </w:pPr>
            <w:r>
              <w:rPr>
                <w:rFonts w:eastAsia="仿宋" w:cs="Times New Roman"/>
                <w:szCs w:val="30"/>
              </w:rPr>
              <w:t>6</w:t>
            </w:r>
          </w:p>
        </w:tc>
        <w:tc>
          <w:tcPr>
            <w:tcW w:w="1596" w:type="dxa"/>
            <w:vMerge w:val="continue"/>
            <w:tcBorders>
              <w:tl2br w:val="nil"/>
              <w:tr2bl w:val="nil"/>
            </w:tcBorders>
            <w:vAlign w:val="center"/>
          </w:tcPr>
          <w:p>
            <w:pPr>
              <w:ind w:firstLine="0" w:firstLineChars="0"/>
              <w:jc w:val="center"/>
              <w:rPr>
                <w:rFonts w:ascii="仿宋" w:hAnsi="仿宋" w:eastAsia="仿宋" w:cs="仿宋"/>
                <w:sz w:val="30"/>
                <w:szCs w:val="30"/>
              </w:rPr>
            </w:pPr>
          </w:p>
        </w:tc>
        <w:tc>
          <w:tcPr>
            <w:tcW w:w="1932" w:type="dxa"/>
            <w:tcBorders>
              <w:tl2br w:val="nil"/>
              <w:tr2bl w:val="nil"/>
            </w:tcBorders>
            <w:vAlign w:val="center"/>
          </w:tcPr>
          <w:p>
            <w:pPr>
              <w:ind w:firstLine="0" w:firstLineChars="0"/>
              <w:jc w:val="left"/>
              <w:rPr>
                <w:rFonts w:ascii="仿宋" w:hAnsi="仿宋" w:eastAsia="仿宋" w:cs="仿宋"/>
                <w:sz w:val="30"/>
                <w:szCs w:val="30"/>
              </w:rPr>
            </w:pPr>
            <w:r>
              <w:rPr>
                <w:rFonts w:hint="eastAsia" w:ascii="仿宋" w:hAnsi="仿宋" w:eastAsia="仿宋" w:cs="仿宋"/>
                <w:sz w:val="30"/>
                <w:szCs w:val="30"/>
              </w:rPr>
              <w:t>流动性起重机械在转场后，未及时办理相关手续。</w:t>
            </w:r>
          </w:p>
        </w:tc>
        <w:tc>
          <w:tcPr>
            <w:tcW w:w="4064" w:type="dxa"/>
            <w:tcBorders>
              <w:tl2br w:val="nil"/>
              <w:tr2bl w:val="nil"/>
            </w:tcBorders>
            <w:shd w:val="clear" w:color="auto" w:fill="auto"/>
            <w:vAlign w:val="center"/>
          </w:tcPr>
          <w:p>
            <w:pPr>
              <w:ind w:firstLine="0" w:firstLineChars="0"/>
              <w:jc w:val="left"/>
              <w:rPr>
                <w:rFonts w:ascii="仿宋" w:hAnsi="仿宋" w:eastAsia="仿宋" w:cs="仿宋"/>
                <w:sz w:val="30"/>
                <w:szCs w:val="30"/>
              </w:rPr>
            </w:pPr>
            <w:r>
              <w:rPr>
                <w:rFonts w:hint="eastAsia" w:eastAsia="仿宋" w:cs="仿宋"/>
                <w:szCs w:val="30"/>
              </w:rPr>
              <w:t>1</w:t>
            </w:r>
            <w:r>
              <w:rPr>
                <w:rFonts w:hint="eastAsia" w:ascii="仿宋" w:hAnsi="仿宋" w:eastAsia="仿宋" w:cs="仿宋"/>
                <w:sz w:val="30"/>
                <w:szCs w:val="30"/>
              </w:rPr>
              <w:t>.流动性起重机械在转场后，向安全管理人员进行报警。</w:t>
            </w:r>
          </w:p>
        </w:tc>
      </w:tr>
    </w:tbl>
    <w:p>
      <w:pPr>
        <w:pStyle w:val="4"/>
        <w:numPr>
          <w:ilvl w:val="2"/>
          <w:numId w:val="59"/>
        </w:numPr>
        <w:spacing w:before="0" w:after="0" w:line="580" w:lineRule="exact"/>
        <w:ind w:left="0" w:firstLine="640"/>
        <w:rPr>
          <w:rFonts w:ascii="楷体_GB2312" w:eastAsia="楷体_GB2312"/>
        </w:rPr>
      </w:pPr>
      <w:bookmarkStart w:id="131" w:name="_Toc16761"/>
      <w:bookmarkStart w:id="132" w:name="_Toc7491"/>
      <w:r>
        <w:rPr>
          <w:rFonts w:hint="eastAsia" w:ascii="楷体_GB2312" w:eastAsia="楷体_GB2312"/>
        </w:rPr>
        <w:t>客运索道风险智控应用场景</w:t>
      </w:r>
      <w:bookmarkEnd w:id="122"/>
      <w:bookmarkEnd w:id="131"/>
      <w:bookmarkEnd w:id="132"/>
    </w:p>
    <w:p>
      <w:pPr>
        <w:pStyle w:val="5"/>
        <w:numPr>
          <w:ilvl w:val="3"/>
          <w:numId w:val="112"/>
        </w:numPr>
        <w:ind w:left="0" w:firstLine="643"/>
        <w:rPr>
          <w:rFonts w:ascii="仿宋_GB2312"/>
          <w:szCs w:val="32"/>
        </w:rPr>
      </w:pPr>
      <w:bookmarkStart w:id="133" w:name="_Toc281"/>
      <w:bookmarkStart w:id="134" w:name="_Toc7978"/>
      <w:r>
        <w:rPr>
          <w:rFonts w:hint="eastAsia" w:ascii="仿宋_GB2312"/>
          <w:szCs w:val="32"/>
        </w:rPr>
        <w:t>功能描述</w:t>
      </w:r>
      <w:bookmarkEnd w:id="133"/>
      <w:bookmarkEnd w:id="134"/>
    </w:p>
    <w:p>
      <w:pPr>
        <w:ind w:firstLine="640"/>
        <w:jc w:val="left"/>
        <w:rPr>
          <w:rFonts w:ascii="仿宋_GB2312" w:hAnsi="仿宋"/>
          <w:szCs w:val="32"/>
        </w:rPr>
      </w:pPr>
      <w:r>
        <w:rPr>
          <w:rFonts w:hint="eastAsia" w:ascii="仿宋_GB2312" w:hAnsi="仿宋"/>
          <w:szCs w:val="32"/>
          <w:lang w:val="en-US" w:eastAsia="zh-CN"/>
        </w:rPr>
        <w:t>运用</w:t>
      </w:r>
      <w:r>
        <w:rPr>
          <w:rFonts w:hint="eastAsia" w:ascii="仿宋_GB2312" w:hAnsi="仿宋"/>
          <w:szCs w:val="32"/>
        </w:rPr>
        <w:t>物联网、人工智能、大数据等现代信息技术，及时掌握客运索道运行环境、运行状态等安全运行数据，推进客运索道风险预警工作，不断提升客运索道使用安全风险预警、应急处置与应急救援能力水平，持续提高客运索道安全使用性能，有效指导并督促使用单位切实落实安全主体责任。</w:t>
      </w:r>
    </w:p>
    <w:p>
      <w:pPr>
        <w:pStyle w:val="5"/>
        <w:numPr>
          <w:ilvl w:val="3"/>
          <w:numId w:val="112"/>
        </w:numPr>
        <w:ind w:left="0" w:firstLine="643"/>
        <w:rPr>
          <w:rFonts w:ascii="仿宋_GB2312"/>
          <w:szCs w:val="32"/>
        </w:rPr>
      </w:pPr>
      <w:bookmarkStart w:id="135" w:name="_Toc22207"/>
      <w:bookmarkStart w:id="136" w:name="_Toc8541"/>
      <w:r>
        <w:rPr>
          <w:rFonts w:hint="eastAsia" w:ascii="仿宋_GB2312"/>
          <w:szCs w:val="32"/>
        </w:rPr>
        <w:t>业务内容</w:t>
      </w:r>
      <w:bookmarkEnd w:id="135"/>
      <w:bookmarkEnd w:id="136"/>
    </w:p>
    <w:p>
      <w:pPr>
        <w:ind w:firstLine="640"/>
        <w:jc w:val="left"/>
        <w:rPr>
          <w:rFonts w:hint="default" w:ascii="仿宋_GB2312" w:hAnsi="仿宋" w:eastAsia="仿宋_GB2312"/>
          <w:szCs w:val="32"/>
          <w:lang w:val="en-US" w:eastAsia="zh-CN"/>
        </w:rPr>
      </w:pPr>
      <w:r>
        <w:rPr>
          <w:rFonts w:hint="eastAsia" w:ascii="仿宋_GB2312" w:hAnsi="仿宋"/>
          <w:szCs w:val="32"/>
        </w:rPr>
        <w:t>运用</w:t>
      </w:r>
      <w:r>
        <w:rPr>
          <w:rFonts w:hint="eastAsia" w:ascii="仿宋_GB2312" w:hAnsi="仿宋"/>
          <w:szCs w:val="32"/>
          <w:lang w:val="en-US" w:eastAsia="zh-CN"/>
        </w:rPr>
        <w:t>信息技术</w:t>
      </w:r>
      <w:r>
        <w:rPr>
          <w:rFonts w:hint="eastAsia" w:ascii="仿宋_GB2312" w:hAnsi="仿宋"/>
          <w:szCs w:val="32"/>
        </w:rPr>
        <w:t>，及时掌握客运索道</w:t>
      </w:r>
      <w:r>
        <w:rPr>
          <w:rFonts w:hint="eastAsia" w:ascii="仿宋_GB2312" w:hAnsi="仿宋"/>
          <w:szCs w:val="32"/>
          <w:lang w:val="en-US" w:eastAsia="zh-CN"/>
        </w:rPr>
        <w:t>当地气象数据。运用物联网与传感器技术，采集客运索道运行状况数据，对违规作业的信息进行记录并发送预警信息给设备管理人员及监察人员。</w:t>
      </w:r>
    </w:p>
    <w:p>
      <w:pPr>
        <w:pStyle w:val="6"/>
        <w:numPr>
          <w:ilvl w:val="0"/>
          <w:numId w:val="113"/>
        </w:numPr>
        <w:ind w:left="0" w:firstLine="640"/>
        <w:rPr>
          <w:rFonts w:ascii="仿宋_GB2312"/>
          <w:szCs w:val="32"/>
        </w:rPr>
      </w:pPr>
      <w:r>
        <w:rPr>
          <w:rFonts w:hint="eastAsia" w:ascii="仿宋_GB2312"/>
          <w:szCs w:val="32"/>
          <w:lang w:val="en-US" w:eastAsia="zh-CN"/>
        </w:rPr>
        <w:t>气象违规智能</w:t>
      </w:r>
      <w:r>
        <w:rPr>
          <w:rFonts w:hint="eastAsia" w:ascii="仿宋_GB2312"/>
          <w:szCs w:val="32"/>
        </w:rPr>
        <w:t>预警</w:t>
      </w:r>
    </w:p>
    <w:p>
      <w:pPr>
        <w:ind w:firstLine="640"/>
        <w:jc w:val="left"/>
        <w:rPr>
          <w:rFonts w:ascii="仿宋_GB2312" w:hAnsi="仿宋"/>
          <w:szCs w:val="32"/>
        </w:rPr>
      </w:pPr>
      <w:r>
        <w:rPr>
          <w:rFonts w:hint="eastAsia" w:ascii="仿宋_GB2312" w:hAnsi="仿宋"/>
          <w:szCs w:val="32"/>
        </w:rPr>
        <w:t>采集客运索道地区气象数据，用于客运索道气象违规判定。当气象条件不满足要求，系统自动发送预警信息至索道司机，预警信息发出30分钟后，设备还处于运行状态，系统自动发送违规信息至现场安全管理人员;当1个月内累计违规作业3次，系统自动发送违规信息给监察人员，提示监察人员增加使用单位安全检查频次。</w:t>
      </w:r>
    </w:p>
    <w:p>
      <w:pPr>
        <w:pStyle w:val="6"/>
        <w:numPr>
          <w:ilvl w:val="0"/>
          <w:numId w:val="113"/>
        </w:numPr>
        <w:ind w:left="0" w:firstLine="640"/>
        <w:rPr>
          <w:rFonts w:ascii="仿宋_GB2312"/>
          <w:szCs w:val="32"/>
        </w:rPr>
      </w:pPr>
      <w:r>
        <w:rPr>
          <w:rFonts w:hint="eastAsia" w:ascii="仿宋_GB2312"/>
          <w:szCs w:val="32"/>
        </w:rPr>
        <w:t>运行</w:t>
      </w:r>
      <w:r>
        <w:rPr>
          <w:rFonts w:hint="eastAsia" w:ascii="仿宋_GB2312"/>
          <w:szCs w:val="32"/>
          <w:lang w:val="en-US" w:eastAsia="zh-CN"/>
        </w:rPr>
        <w:t>异常</w:t>
      </w:r>
      <w:r>
        <w:rPr>
          <w:rFonts w:hint="eastAsia" w:ascii="仿宋_GB2312"/>
          <w:szCs w:val="32"/>
        </w:rPr>
        <w:t>智能预警</w:t>
      </w:r>
    </w:p>
    <w:p>
      <w:pPr>
        <w:rPr>
          <w:rFonts w:ascii="仿宋_GB2312" w:hAnsi="仿宋"/>
          <w:szCs w:val="32"/>
        </w:rPr>
      </w:pPr>
      <w:r>
        <w:rPr>
          <w:rFonts w:hint="eastAsia"/>
        </w:rPr>
        <w:t>采集客运索道运行电流、电压数据，用于客运索道运行异常判定。当设备运行电流、电压异常时，系统自动发送异常信息至现场安全管理人员;当1个月内累计异常作业3次，系统自动发送预警信息给监察人员，提示监察人员增加使用单位安全检查频次。</w:t>
      </w:r>
    </w:p>
    <w:p>
      <w:pPr>
        <w:pStyle w:val="6"/>
        <w:numPr>
          <w:ilvl w:val="0"/>
          <w:numId w:val="113"/>
        </w:numPr>
        <w:ind w:left="0" w:firstLine="640"/>
        <w:rPr>
          <w:rFonts w:ascii="仿宋_GB2312"/>
          <w:szCs w:val="32"/>
        </w:rPr>
      </w:pPr>
      <w:r>
        <w:rPr>
          <w:rFonts w:hint="eastAsia" w:ascii="仿宋_GB2312"/>
          <w:szCs w:val="32"/>
          <w:lang w:val="en-US" w:eastAsia="zh-CN"/>
        </w:rPr>
        <w:t>持证违规</w:t>
      </w:r>
      <w:r>
        <w:rPr>
          <w:rFonts w:hint="eastAsia" w:ascii="仿宋_GB2312"/>
          <w:szCs w:val="32"/>
        </w:rPr>
        <w:t>智能预警</w:t>
      </w:r>
    </w:p>
    <w:p>
      <w:pPr>
        <w:ind w:firstLine="640"/>
        <w:jc w:val="left"/>
        <w:rPr>
          <w:rFonts w:ascii="仿宋_GB2312" w:hAnsi="仿宋"/>
          <w:szCs w:val="32"/>
        </w:rPr>
      </w:pPr>
      <w:r>
        <w:rPr>
          <w:rFonts w:hint="eastAsia" w:ascii="仿宋_GB2312" w:hAnsi="仿宋"/>
          <w:szCs w:val="32"/>
        </w:rPr>
        <w:t>采集设备运行状态，用于客运索道运行异常判定。当设备处于运行状态，且作业人员数量低于法规要求时，系统自动发送违规信息至现场安全管理人员;当1个月内累计超限作业3次，系统自动发送违规信息给监察人员，提示监察人员增加使用单位安全检查频次。</w:t>
      </w:r>
    </w:p>
    <w:p>
      <w:pPr>
        <w:pStyle w:val="5"/>
        <w:numPr>
          <w:ilvl w:val="3"/>
          <w:numId w:val="112"/>
        </w:numPr>
        <w:ind w:left="0" w:firstLine="643"/>
        <w:rPr>
          <w:rFonts w:ascii="仿宋_GB2312"/>
          <w:szCs w:val="32"/>
        </w:rPr>
      </w:pPr>
      <w:bookmarkStart w:id="137" w:name="_Toc26744"/>
      <w:bookmarkStart w:id="138" w:name="_Toc7763"/>
      <w:r>
        <w:rPr>
          <w:rFonts w:hint="eastAsia" w:ascii="仿宋_GB2312"/>
          <w:szCs w:val="32"/>
        </w:rPr>
        <w:t>统一标准规范</w:t>
      </w:r>
      <w:bookmarkEnd w:id="137"/>
      <w:bookmarkEnd w:id="138"/>
    </w:p>
    <w:p>
      <w:pPr>
        <w:ind w:firstLine="640"/>
        <w:jc w:val="left"/>
        <w:rPr>
          <w:rFonts w:ascii="仿宋_GB2312" w:hAnsi="仿宋"/>
          <w:szCs w:val="32"/>
        </w:rPr>
      </w:pPr>
      <w:r>
        <w:rPr>
          <w:rFonts w:hint="eastAsia" w:ascii="仿宋_GB2312" w:hAnsi="仿宋"/>
          <w:szCs w:val="32"/>
        </w:rPr>
        <w:t>客运索道智控应用场景设计依托特种设备风险防范预警系统（以下简称预警系统）实现。</w:t>
      </w:r>
    </w:p>
    <w:p>
      <w:pPr>
        <w:pStyle w:val="6"/>
        <w:numPr>
          <w:ilvl w:val="0"/>
          <w:numId w:val="114"/>
        </w:numPr>
        <w:ind w:left="0" w:firstLine="640"/>
        <w:rPr>
          <w:rFonts w:ascii="仿宋_GB2312"/>
          <w:szCs w:val="32"/>
        </w:rPr>
      </w:pPr>
      <w:r>
        <w:rPr>
          <w:rFonts w:hint="eastAsia" w:ascii="仿宋_GB2312"/>
          <w:szCs w:val="32"/>
        </w:rPr>
        <w:t>业务对象</w:t>
      </w:r>
    </w:p>
    <w:p>
      <w:pPr>
        <w:ind w:firstLine="640"/>
        <w:jc w:val="left"/>
        <w:rPr>
          <w:rFonts w:ascii="仿宋_GB2312" w:hAnsi="仿宋"/>
          <w:szCs w:val="32"/>
        </w:rPr>
      </w:pPr>
      <w:r>
        <w:rPr>
          <w:rFonts w:hint="eastAsia" w:ascii="仿宋_GB2312" w:hAnsi="仿宋"/>
          <w:szCs w:val="32"/>
        </w:rPr>
        <w:t>浙江省所有各级客运索道监管部门、使用单位、乘客。</w:t>
      </w:r>
    </w:p>
    <w:p>
      <w:pPr>
        <w:pStyle w:val="6"/>
        <w:numPr>
          <w:ilvl w:val="0"/>
          <w:numId w:val="114"/>
        </w:numPr>
        <w:ind w:left="0" w:firstLine="640"/>
        <w:rPr>
          <w:rFonts w:ascii="仿宋_GB2312"/>
          <w:szCs w:val="32"/>
        </w:rPr>
      </w:pPr>
      <w:r>
        <w:rPr>
          <w:rFonts w:hint="eastAsia" w:ascii="仿宋_GB2312"/>
          <w:szCs w:val="32"/>
        </w:rPr>
        <w:t>技术手段</w:t>
      </w:r>
    </w:p>
    <w:p>
      <w:pPr>
        <w:ind w:firstLine="640"/>
        <w:jc w:val="left"/>
        <w:rPr>
          <w:rFonts w:ascii="仿宋_GB2312" w:hAnsi="仿宋"/>
          <w:szCs w:val="32"/>
        </w:rPr>
      </w:pPr>
      <w:r>
        <w:rPr>
          <w:rFonts w:hint="eastAsia" w:ascii="仿宋_GB2312" w:hAnsi="仿宋"/>
          <w:szCs w:val="32"/>
        </w:rPr>
        <w:t>运用物联网技术实时获取客运索道运行环境、运行状态监测数据。利用大数据存储分析技术保存物联网数据，并结合数据库中其他信息分析判断客运索道运行状态。通过人工智能技术建立客运索道风险预测模型，实现客运索道风险预警功能。</w:t>
      </w:r>
    </w:p>
    <w:p>
      <w:pPr>
        <w:pStyle w:val="6"/>
        <w:numPr>
          <w:ilvl w:val="0"/>
          <w:numId w:val="114"/>
        </w:numPr>
        <w:ind w:left="0" w:firstLine="640"/>
        <w:rPr>
          <w:rFonts w:ascii="仿宋_GB2312"/>
          <w:szCs w:val="32"/>
        </w:rPr>
      </w:pPr>
      <w:r>
        <w:rPr>
          <w:rFonts w:hint="eastAsia" w:ascii="仿宋_GB2312"/>
          <w:szCs w:val="32"/>
        </w:rPr>
        <w:t>具体要求</w:t>
      </w:r>
    </w:p>
    <w:p>
      <w:pPr>
        <w:pStyle w:val="7"/>
        <w:numPr>
          <w:ilvl w:val="0"/>
          <w:numId w:val="115"/>
        </w:numPr>
        <w:ind w:firstLine="643"/>
      </w:pPr>
      <w:r>
        <w:rPr>
          <w:rFonts w:hint="eastAsia"/>
        </w:rPr>
        <w:t>客运索道物联智控装置功能要求</w:t>
      </w:r>
    </w:p>
    <w:p>
      <w:pPr>
        <w:ind w:firstLine="640"/>
        <w:jc w:val="left"/>
        <w:rPr>
          <w:rFonts w:ascii="仿宋_GB2312" w:hAnsi="仿宋"/>
          <w:szCs w:val="32"/>
        </w:rPr>
      </w:pPr>
      <w:r>
        <w:rPr>
          <w:rFonts w:hint="eastAsia" w:ascii="仿宋_GB2312" w:hAnsi="仿宋"/>
          <w:szCs w:val="32"/>
        </w:rPr>
        <w:t>客运索道物联智控装置必须能够实时采集并传输以下客运索道运行环境、运行状态数据。</w:t>
      </w:r>
    </w:p>
    <w:p>
      <w:pPr>
        <w:ind w:firstLine="640"/>
        <w:jc w:val="left"/>
        <w:rPr>
          <w:rFonts w:ascii="仿宋_GB2312" w:hAnsi="仿宋"/>
          <w:szCs w:val="32"/>
        </w:rPr>
      </w:pPr>
      <w:r>
        <w:rPr>
          <w:rFonts w:hint="eastAsia" w:ascii="仿宋_GB2312" w:hAnsi="仿宋"/>
          <w:szCs w:val="32"/>
        </w:rPr>
        <w:t>运行环境参数包括：风速、雷电、</w:t>
      </w:r>
      <w:r>
        <w:rPr>
          <w:rFonts w:hint="eastAsia" w:ascii="仿宋_GB2312" w:hAnsi="仿宋"/>
          <w:szCs w:val="32"/>
          <w:lang w:val="en-US" w:eastAsia="zh-CN"/>
        </w:rPr>
        <w:t>气象</w:t>
      </w:r>
      <w:r>
        <w:rPr>
          <w:rFonts w:hint="eastAsia" w:ascii="仿宋_GB2312" w:hAnsi="仿宋"/>
          <w:szCs w:val="32"/>
        </w:rPr>
        <w:t>、</w:t>
      </w:r>
      <w:r>
        <w:rPr>
          <w:rFonts w:hint="eastAsia" w:ascii="仿宋_GB2312" w:hAnsi="仿宋"/>
          <w:szCs w:val="32"/>
          <w:lang w:val="en-US" w:eastAsia="zh-CN"/>
        </w:rPr>
        <w:t>电压电流、</w:t>
      </w:r>
      <w:r>
        <w:rPr>
          <w:rFonts w:hint="eastAsia" w:ascii="仿宋_GB2312" w:hAnsi="仿宋"/>
          <w:szCs w:val="32"/>
        </w:rPr>
        <w:t>。</w:t>
      </w:r>
    </w:p>
    <w:p>
      <w:pPr>
        <w:numPr>
          <w:ilvl w:val="0"/>
          <w:numId w:val="116"/>
        </w:numPr>
        <w:ind w:left="0" w:firstLine="640"/>
        <w:rPr>
          <w:rFonts w:ascii="仿宋_GB2312" w:hAnsi="仿宋"/>
          <w:szCs w:val="32"/>
        </w:rPr>
      </w:pPr>
      <w:r>
        <w:rPr>
          <w:rFonts w:hint="eastAsia" w:ascii="仿宋_GB2312" w:hAnsi="仿宋"/>
          <w:szCs w:val="32"/>
        </w:rPr>
        <w:t>运行环境监控参数表</w:t>
      </w:r>
    </w:p>
    <w:tbl>
      <w:tblPr>
        <w:tblStyle w:val="27"/>
        <w:tblpPr w:leftFromText="180" w:rightFromText="180" w:vertAnchor="text" w:horzAnchor="page" w:tblpX="1609" w:tblpY="431"/>
        <w:tblOverlap w:val="never"/>
        <w:tblW w:w="9039" w:type="dxa"/>
        <w:tblInd w:w="0" w:type="dxa"/>
        <w:tblBorders>
          <w:top w:val="single" w:color="auto" w:sz="18" w:space="0"/>
          <w:left w:val="single" w:color="auto" w:sz="18" w:space="0"/>
          <w:bottom w:val="single" w:color="auto" w:sz="18" w:space="0"/>
          <w:right w:val="single" w:color="auto" w:sz="18" w:space="0"/>
          <w:insideH w:val="single" w:color="auto" w:sz="6" w:space="0"/>
          <w:insideV w:val="single" w:color="auto" w:sz="6" w:space="0"/>
        </w:tblBorders>
        <w:tblLayout w:type="fixed"/>
        <w:tblCellMar>
          <w:top w:w="0" w:type="dxa"/>
          <w:left w:w="108" w:type="dxa"/>
          <w:bottom w:w="0" w:type="dxa"/>
          <w:right w:w="108" w:type="dxa"/>
        </w:tblCellMar>
      </w:tblPr>
      <w:tblGrid>
        <w:gridCol w:w="918"/>
        <w:gridCol w:w="1974"/>
        <w:gridCol w:w="3489"/>
        <w:gridCol w:w="2658"/>
      </w:tblGrid>
      <w:tr>
        <w:tblPrEx>
          <w:tblBorders>
            <w:top w:val="single" w:color="auto" w:sz="18" w:space="0"/>
            <w:left w:val="single" w:color="auto" w:sz="18" w:space="0"/>
            <w:bottom w:val="single" w:color="auto" w:sz="18" w:space="0"/>
            <w:right w:val="single" w:color="auto" w:sz="18" w:space="0"/>
            <w:insideH w:val="single" w:color="auto" w:sz="6" w:space="0"/>
            <w:insideV w:val="single" w:color="auto" w:sz="6" w:space="0"/>
          </w:tblBorders>
          <w:tblCellMar>
            <w:top w:w="0" w:type="dxa"/>
            <w:left w:w="108" w:type="dxa"/>
            <w:bottom w:w="0" w:type="dxa"/>
            <w:right w:w="108" w:type="dxa"/>
          </w:tblCellMar>
        </w:tblPrEx>
        <w:trPr>
          <w:trHeight w:val="661" w:hRule="atLeast"/>
        </w:trPr>
        <w:tc>
          <w:tcPr>
            <w:tcW w:w="918" w:type="dxa"/>
            <w:shd w:val="clear" w:color="auto" w:fill="auto"/>
            <w:vAlign w:val="center"/>
          </w:tcPr>
          <w:p>
            <w:pPr>
              <w:ind w:firstLine="0" w:firstLineChars="0"/>
              <w:jc w:val="center"/>
              <w:rPr>
                <w:rFonts w:ascii="仿宋_GB2312" w:hAnsi="仿宋"/>
                <w:sz w:val="30"/>
                <w:szCs w:val="30"/>
              </w:rPr>
            </w:pPr>
            <w:r>
              <w:rPr>
                <w:rFonts w:hint="eastAsia" w:ascii="仿宋_GB2312" w:hAnsi="仿宋"/>
                <w:sz w:val="30"/>
                <w:szCs w:val="30"/>
              </w:rPr>
              <w:t>序号</w:t>
            </w:r>
          </w:p>
        </w:tc>
        <w:tc>
          <w:tcPr>
            <w:tcW w:w="1974" w:type="dxa"/>
            <w:shd w:val="clear" w:color="auto" w:fill="auto"/>
            <w:vAlign w:val="center"/>
          </w:tcPr>
          <w:p>
            <w:pPr>
              <w:ind w:firstLine="0" w:firstLineChars="0"/>
              <w:jc w:val="center"/>
              <w:rPr>
                <w:rFonts w:ascii="仿宋_GB2312" w:hAnsi="仿宋"/>
                <w:sz w:val="30"/>
                <w:szCs w:val="30"/>
              </w:rPr>
            </w:pPr>
            <w:r>
              <w:rPr>
                <w:rFonts w:hint="eastAsia" w:ascii="仿宋_GB2312" w:hAnsi="仿宋"/>
                <w:sz w:val="30"/>
                <w:szCs w:val="30"/>
              </w:rPr>
              <w:t>数据名称</w:t>
            </w:r>
          </w:p>
        </w:tc>
        <w:tc>
          <w:tcPr>
            <w:tcW w:w="3489" w:type="dxa"/>
            <w:shd w:val="clear" w:color="auto" w:fill="auto"/>
            <w:vAlign w:val="center"/>
          </w:tcPr>
          <w:p>
            <w:pPr>
              <w:ind w:firstLine="0" w:firstLineChars="0"/>
              <w:jc w:val="center"/>
              <w:rPr>
                <w:rFonts w:ascii="仿宋_GB2312" w:hAnsi="仿宋"/>
                <w:sz w:val="30"/>
                <w:szCs w:val="30"/>
              </w:rPr>
            </w:pPr>
            <w:r>
              <w:rPr>
                <w:rFonts w:hint="eastAsia" w:ascii="仿宋_GB2312" w:hAnsi="仿宋"/>
                <w:sz w:val="30"/>
                <w:szCs w:val="30"/>
              </w:rPr>
              <w:t>采集位置</w:t>
            </w:r>
          </w:p>
        </w:tc>
        <w:tc>
          <w:tcPr>
            <w:tcW w:w="2658" w:type="dxa"/>
            <w:shd w:val="clear" w:color="auto" w:fill="auto"/>
            <w:vAlign w:val="center"/>
          </w:tcPr>
          <w:p>
            <w:pPr>
              <w:ind w:firstLine="0" w:firstLineChars="0"/>
              <w:jc w:val="center"/>
              <w:rPr>
                <w:rFonts w:ascii="仿宋_GB2312" w:hAnsi="仿宋"/>
                <w:sz w:val="30"/>
                <w:szCs w:val="30"/>
              </w:rPr>
            </w:pPr>
            <w:r>
              <w:rPr>
                <w:rFonts w:hint="eastAsia" w:ascii="仿宋_GB2312" w:hAnsi="仿宋"/>
                <w:sz w:val="30"/>
                <w:szCs w:val="30"/>
              </w:rPr>
              <w:t>参数范围</w:t>
            </w:r>
          </w:p>
        </w:tc>
      </w:tr>
      <w:tr>
        <w:tblPrEx>
          <w:tblBorders>
            <w:top w:val="single" w:color="auto" w:sz="18" w:space="0"/>
            <w:left w:val="single" w:color="auto" w:sz="18" w:space="0"/>
            <w:bottom w:val="single" w:color="auto" w:sz="18" w:space="0"/>
            <w:right w:val="single" w:color="auto" w:sz="18" w:space="0"/>
            <w:insideH w:val="single" w:color="auto" w:sz="6" w:space="0"/>
            <w:insideV w:val="single" w:color="auto" w:sz="6" w:space="0"/>
          </w:tblBorders>
          <w:tblCellMar>
            <w:top w:w="0" w:type="dxa"/>
            <w:left w:w="108" w:type="dxa"/>
            <w:bottom w:w="0" w:type="dxa"/>
            <w:right w:w="108" w:type="dxa"/>
          </w:tblCellMar>
        </w:tblPrEx>
        <w:tc>
          <w:tcPr>
            <w:tcW w:w="918" w:type="dxa"/>
            <w:shd w:val="clear" w:color="auto" w:fill="auto"/>
            <w:vAlign w:val="center"/>
          </w:tcPr>
          <w:p>
            <w:pPr>
              <w:ind w:firstLine="0" w:firstLineChars="0"/>
              <w:jc w:val="center"/>
              <w:rPr>
                <w:rFonts w:ascii="仿宋_GB2312" w:hAnsi="仿宋"/>
                <w:sz w:val="30"/>
                <w:szCs w:val="30"/>
              </w:rPr>
            </w:pPr>
            <w:r>
              <w:rPr>
                <w:rFonts w:hint="eastAsia"/>
                <w:szCs w:val="30"/>
              </w:rPr>
              <w:t>1</w:t>
            </w:r>
          </w:p>
        </w:tc>
        <w:tc>
          <w:tcPr>
            <w:tcW w:w="1974" w:type="dxa"/>
            <w:shd w:val="clear" w:color="auto" w:fill="auto"/>
            <w:vAlign w:val="center"/>
          </w:tcPr>
          <w:p>
            <w:pPr>
              <w:ind w:firstLine="0" w:firstLineChars="0"/>
              <w:jc w:val="left"/>
              <w:rPr>
                <w:rFonts w:ascii="仿宋_GB2312" w:hAnsi="仿宋"/>
                <w:sz w:val="30"/>
                <w:szCs w:val="30"/>
              </w:rPr>
            </w:pPr>
            <w:r>
              <w:rPr>
                <w:rFonts w:hint="eastAsia" w:ascii="仿宋_GB2312" w:hAnsi="仿宋"/>
                <w:sz w:val="30"/>
                <w:szCs w:val="30"/>
              </w:rPr>
              <w:t>风速</w:t>
            </w:r>
          </w:p>
        </w:tc>
        <w:tc>
          <w:tcPr>
            <w:tcW w:w="3489" w:type="dxa"/>
            <w:shd w:val="clear" w:color="auto" w:fill="auto"/>
            <w:vAlign w:val="center"/>
          </w:tcPr>
          <w:p>
            <w:pPr>
              <w:ind w:firstLine="0" w:firstLineChars="0"/>
              <w:jc w:val="left"/>
              <w:rPr>
                <w:rFonts w:ascii="仿宋_GB2312" w:hAnsi="仿宋"/>
                <w:sz w:val="30"/>
                <w:szCs w:val="30"/>
              </w:rPr>
            </w:pPr>
            <w:r>
              <w:rPr>
                <w:rFonts w:hint="eastAsia" w:ascii="仿宋_GB2312" w:hAnsi="仿宋"/>
                <w:sz w:val="30"/>
                <w:szCs w:val="30"/>
              </w:rPr>
              <w:t>设备运行线路风口</w:t>
            </w:r>
          </w:p>
        </w:tc>
        <w:tc>
          <w:tcPr>
            <w:tcW w:w="2658" w:type="dxa"/>
            <w:shd w:val="clear" w:color="auto" w:fill="auto"/>
            <w:vAlign w:val="center"/>
          </w:tcPr>
          <w:p>
            <w:pPr>
              <w:ind w:firstLine="0" w:firstLineChars="0"/>
              <w:jc w:val="left"/>
              <w:rPr>
                <w:rFonts w:ascii="仿宋_GB2312" w:hAnsi="仿宋"/>
                <w:sz w:val="30"/>
                <w:szCs w:val="30"/>
              </w:rPr>
            </w:pPr>
            <w:r>
              <w:rPr>
                <w:rFonts w:hint="eastAsia" w:ascii="仿宋_GB2312" w:hAnsi="仿宋"/>
                <w:sz w:val="30"/>
                <w:szCs w:val="30"/>
              </w:rPr>
              <w:t>依据设计风速要求</w:t>
            </w:r>
          </w:p>
        </w:tc>
      </w:tr>
      <w:tr>
        <w:tblPrEx>
          <w:tblBorders>
            <w:top w:val="single" w:color="auto" w:sz="18" w:space="0"/>
            <w:left w:val="single" w:color="auto" w:sz="18" w:space="0"/>
            <w:bottom w:val="single" w:color="auto" w:sz="18" w:space="0"/>
            <w:right w:val="single" w:color="auto" w:sz="18" w:space="0"/>
            <w:insideH w:val="single" w:color="auto" w:sz="6" w:space="0"/>
            <w:insideV w:val="single" w:color="auto" w:sz="6" w:space="0"/>
          </w:tblBorders>
          <w:tblCellMar>
            <w:top w:w="0" w:type="dxa"/>
            <w:left w:w="108" w:type="dxa"/>
            <w:bottom w:w="0" w:type="dxa"/>
            <w:right w:w="108" w:type="dxa"/>
          </w:tblCellMar>
        </w:tblPrEx>
        <w:tc>
          <w:tcPr>
            <w:tcW w:w="918" w:type="dxa"/>
            <w:shd w:val="clear" w:color="auto" w:fill="auto"/>
            <w:vAlign w:val="center"/>
          </w:tcPr>
          <w:p>
            <w:pPr>
              <w:ind w:firstLine="0" w:firstLineChars="0"/>
              <w:jc w:val="center"/>
              <w:rPr>
                <w:rFonts w:ascii="仿宋_GB2312" w:hAnsi="仿宋"/>
                <w:sz w:val="30"/>
                <w:szCs w:val="30"/>
              </w:rPr>
            </w:pPr>
            <w:r>
              <w:rPr>
                <w:rFonts w:hint="eastAsia"/>
                <w:szCs w:val="30"/>
              </w:rPr>
              <w:t>2</w:t>
            </w:r>
          </w:p>
        </w:tc>
        <w:tc>
          <w:tcPr>
            <w:tcW w:w="1974" w:type="dxa"/>
            <w:shd w:val="clear" w:color="auto" w:fill="auto"/>
            <w:vAlign w:val="center"/>
          </w:tcPr>
          <w:p>
            <w:pPr>
              <w:ind w:firstLine="0" w:firstLineChars="0"/>
              <w:jc w:val="left"/>
              <w:rPr>
                <w:rFonts w:ascii="仿宋_GB2312" w:hAnsi="仿宋"/>
                <w:sz w:val="30"/>
                <w:szCs w:val="30"/>
              </w:rPr>
            </w:pPr>
            <w:r>
              <w:rPr>
                <w:rFonts w:hint="eastAsia" w:ascii="仿宋_GB2312" w:hAnsi="仿宋"/>
                <w:sz w:val="30"/>
                <w:szCs w:val="30"/>
              </w:rPr>
              <w:t>温湿度</w:t>
            </w:r>
          </w:p>
        </w:tc>
        <w:tc>
          <w:tcPr>
            <w:tcW w:w="3489" w:type="dxa"/>
            <w:shd w:val="clear" w:color="auto" w:fill="auto"/>
            <w:vAlign w:val="center"/>
          </w:tcPr>
          <w:p>
            <w:pPr>
              <w:ind w:firstLine="0" w:firstLineChars="0"/>
              <w:jc w:val="left"/>
              <w:rPr>
                <w:rFonts w:ascii="仿宋_GB2312" w:hAnsi="仿宋"/>
                <w:sz w:val="30"/>
                <w:szCs w:val="30"/>
              </w:rPr>
            </w:pPr>
            <w:r>
              <w:rPr>
                <w:rFonts w:hint="eastAsia" w:ascii="仿宋_GB2312" w:hAnsi="仿宋"/>
                <w:sz w:val="30"/>
                <w:szCs w:val="30"/>
              </w:rPr>
              <w:t>设备控制室、配电柜房</w:t>
            </w:r>
          </w:p>
        </w:tc>
        <w:tc>
          <w:tcPr>
            <w:tcW w:w="2658" w:type="dxa"/>
            <w:shd w:val="clear" w:color="auto" w:fill="auto"/>
            <w:vAlign w:val="center"/>
          </w:tcPr>
          <w:p>
            <w:pPr>
              <w:ind w:firstLine="0" w:firstLineChars="0"/>
              <w:jc w:val="left"/>
              <w:rPr>
                <w:rFonts w:ascii="仿宋_GB2312" w:hAnsi="仿宋"/>
                <w:sz w:val="30"/>
                <w:szCs w:val="30"/>
              </w:rPr>
            </w:pPr>
            <w:r>
              <w:rPr>
                <w:rFonts w:hint="eastAsia" w:ascii="仿宋_GB2312" w:hAnsi="仿宋"/>
                <w:sz w:val="30"/>
                <w:szCs w:val="30"/>
              </w:rPr>
              <w:t>依据设备使用说明书</w:t>
            </w:r>
          </w:p>
        </w:tc>
      </w:tr>
      <w:tr>
        <w:tblPrEx>
          <w:tblBorders>
            <w:top w:val="single" w:color="auto" w:sz="18" w:space="0"/>
            <w:left w:val="single" w:color="auto" w:sz="18" w:space="0"/>
            <w:bottom w:val="single" w:color="auto" w:sz="18" w:space="0"/>
            <w:right w:val="single" w:color="auto" w:sz="18" w:space="0"/>
            <w:insideH w:val="single" w:color="auto" w:sz="6" w:space="0"/>
            <w:insideV w:val="single" w:color="auto" w:sz="6" w:space="0"/>
          </w:tblBorders>
          <w:tblCellMar>
            <w:top w:w="0" w:type="dxa"/>
            <w:left w:w="108" w:type="dxa"/>
            <w:bottom w:w="0" w:type="dxa"/>
            <w:right w:w="108" w:type="dxa"/>
          </w:tblCellMar>
        </w:tblPrEx>
        <w:tc>
          <w:tcPr>
            <w:tcW w:w="918" w:type="dxa"/>
            <w:shd w:val="clear" w:color="auto" w:fill="auto"/>
            <w:vAlign w:val="center"/>
          </w:tcPr>
          <w:p>
            <w:pPr>
              <w:ind w:firstLine="0" w:firstLineChars="0"/>
              <w:jc w:val="center"/>
              <w:rPr>
                <w:rFonts w:ascii="仿宋_GB2312" w:hAnsi="仿宋"/>
                <w:sz w:val="30"/>
                <w:szCs w:val="30"/>
              </w:rPr>
            </w:pPr>
            <w:r>
              <w:rPr>
                <w:rFonts w:hint="eastAsia"/>
                <w:szCs w:val="30"/>
              </w:rPr>
              <w:t>3</w:t>
            </w:r>
          </w:p>
        </w:tc>
        <w:tc>
          <w:tcPr>
            <w:tcW w:w="1974" w:type="dxa"/>
            <w:shd w:val="clear" w:color="auto" w:fill="auto"/>
            <w:vAlign w:val="center"/>
          </w:tcPr>
          <w:p>
            <w:pPr>
              <w:ind w:firstLine="0" w:firstLineChars="0"/>
              <w:jc w:val="left"/>
              <w:rPr>
                <w:rFonts w:ascii="仿宋_GB2312" w:hAnsi="仿宋"/>
                <w:sz w:val="30"/>
                <w:szCs w:val="30"/>
              </w:rPr>
            </w:pPr>
            <w:r>
              <w:rPr>
                <w:rFonts w:hint="eastAsia" w:ascii="仿宋_GB2312" w:hAnsi="仿宋"/>
                <w:sz w:val="30"/>
                <w:szCs w:val="30"/>
              </w:rPr>
              <w:t>雷电</w:t>
            </w:r>
          </w:p>
        </w:tc>
        <w:tc>
          <w:tcPr>
            <w:tcW w:w="3489" w:type="dxa"/>
            <w:shd w:val="clear" w:color="auto" w:fill="auto"/>
            <w:vAlign w:val="center"/>
          </w:tcPr>
          <w:p>
            <w:pPr>
              <w:ind w:firstLine="0" w:firstLineChars="0"/>
              <w:jc w:val="left"/>
              <w:rPr>
                <w:rFonts w:ascii="仿宋_GB2312" w:hAnsi="仿宋"/>
                <w:sz w:val="30"/>
                <w:szCs w:val="30"/>
              </w:rPr>
            </w:pPr>
            <w:r>
              <w:rPr>
                <w:rFonts w:hint="eastAsia" w:ascii="仿宋_GB2312" w:hAnsi="仿宋"/>
                <w:sz w:val="30"/>
                <w:szCs w:val="30"/>
              </w:rPr>
              <w:t>设备运行线路附近或气象部门</w:t>
            </w:r>
          </w:p>
        </w:tc>
        <w:tc>
          <w:tcPr>
            <w:tcW w:w="2658" w:type="dxa"/>
            <w:shd w:val="clear" w:color="auto" w:fill="auto"/>
            <w:vAlign w:val="center"/>
          </w:tcPr>
          <w:p>
            <w:pPr>
              <w:ind w:firstLine="0" w:firstLineChars="0"/>
              <w:jc w:val="left"/>
              <w:rPr>
                <w:rFonts w:ascii="仿宋_GB2312" w:hAnsi="仿宋"/>
                <w:sz w:val="30"/>
                <w:szCs w:val="30"/>
              </w:rPr>
            </w:pPr>
            <w:r>
              <w:rPr>
                <w:rFonts w:hint="eastAsia" w:ascii="仿宋_GB2312" w:hAnsi="仿宋"/>
                <w:sz w:val="30"/>
                <w:szCs w:val="30"/>
              </w:rPr>
              <w:t>开机前、开机时无雷电</w:t>
            </w:r>
          </w:p>
        </w:tc>
      </w:tr>
      <w:tr>
        <w:tblPrEx>
          <w:tblBorders>
            <w:top w:val="single" w:color="auto" w:sz="18" w:space="0"/>
            <w:left w:val="single" w:color="auto" w:sz="18" w:space="0"/>
            <w:bottom w:val="single" w:color="auto" w:sz="18" w:space="0"/>
            <w:right w:val="single" w:color="auto" w:sz="18" w:space="0"/>
            <w:insideH w:val="single" w:color="auto" w:sz="6" w:space="0"/>
            <w:insideV w:val="single" w:color="auto" w:sz="6" w:space="0"/>
          </w:tblBorders>
          <w:tblCellMar>
            <w:top w:w="0" w:type="dxa"/>
            <w:left w:w="108" w:type="dxa"/>
            <w:bottom w:w="0" w:type="dxa"/>
            <w:right w:w="108" w:type="dxa"/>
          </w:tblCellMar>
        </w:tblPrEx>
        <w:tc>
          <w:tcPr>
            <w:tcW w:w="918" w:type="dxa"/>
            <w:shd w:val="clear" w:color="auto" w:fill="auto"/>
            <w:vAlign w:val="center"/>
          </w:tcPr>
          <w:p>
            <w:pPr>
              <w:ind w:firstLine="0" w:firstLineChars="0"/>
              <w:jc w:val="center"/>
              <w:rPr>
                <w:rFonts w:ascii="仿宋_GB2312" w:hAnsi="仿宋"/>
                <w:sz w:val="30"/>
                <w:szCs w:val="30"/>
              </w:rPr>
            </w:pPr>
            <w:r>
              <w:rPr>
                <w:rFonts w:hint="eastAsia"/>
                <w:szCs w:val="30"/>
              </w:rPr>
              <w:t>4</w:t>
            </w:r>
          </w:p>
        </w:tc>
        <w:tc>
          <w:tcPr>
            <w:tcW w:w="1974" w:type="dxa"/>
            <w:shd w:val="clear" w:color="auto" w:fill="auto"/>
            <w:vAlign w:val="center"/>
          </w:tcPr>
          <w:p>
            <w:pPr>
              <w:ind w:firstLine="0" w:firstLineChars="0"/>
              <w:jc w:val="left"/>
              <w:rPr>
                <w:rFonts w:ascii="仿宋_GB2312" w:hAnsi="仿宋"/>
                <w:sz w:val="30"/>
                <w:szCs w:val="30"/>
              </w:rPr>
            </w:pPr>
            <w:r>
              <w:rPr>
                <w:rFonts w:hint="eastAsia" w:ascii="仿宋_GB2312" w:hAnsi="仿宋"/>
                <w:sz w:val="30"/>
                <w:szCs w:val="30"/>
              </w:rPr>
              <w:t>天气</w:t>
            </w:r>
          </w:p>
        </w:tc>
        <w:tc>
          <w:tcPr>
            <w:tcW w:w="3489" w:type="dxa"/>
            <w:shd w:val="clear" w:color="auto" w:fill="auto"/>
            <w:vAlign w:val="center"/>
          </w:tcPr>
          <w:p>
            <w:pPr>
              <w:ind w:firstLine="0" w:firstLineChars="0"/>
              <w:jc w:val="left"/>
              <w:rPr>
                <w:rFonts w:ascii="仿宋_GB2312" w:hAnsi="仿宋"/>
                <w:sz w:val="30"/>
                <w:szCs w:val="30"/>
              </w:rPr>
            </w:pPr>
            <w:r>
              <w:rPr>
                <w:rFonts w:hint="eastAsia" w:ascii="仿宋_GB2312" w:hAnsi="仿宋"/>
                <w:sz w:val="30"/>
                <w:szCs w:val="30"/>
              </w:rPr>
              <w:t>设备运行线路范围附近</w:t>
            </w:r>
          </w:p>
        </w:tc>
        <w:tc>
          <w:tcPr>
            <w:tcW w:w="2658" w:type="dxa"/>
            <w:shd w:val="clear" w:color="auto" w:fill="auto"/>
            <w:vAlign w:val="center"/>
          </w:tcPr>
          <w:p>
            <w:pPr>
              <w:ind w:firstLine="0" w:firstLineChars="0"/>
              <w:jc w:val="left"/>
              <w:rPr>
                <w:rFonts w:ascii="仿宋_GB2312" w:hAnsi="仿宋"/>
                <w:sz w:val="30"/>
                <w:szCs w:val="30"/>
              </w:rPr>
            </w:pPr>
            <w:r>
              <w:rPr>
                <w:rFonts w:hint="eastAsia" w:ascii="仿宋_GB2312" w:hAnsi="仿宋"/>
                <w:sz w:val="30"/>
                <w:szCs w:val="30"/>
              </w:rPr>
              <w:t>无极端恶劣天气</w:t>
            </w:r>
          </w:p>
        </w:tc>
      </w:tr>
      <w:tr>
        <w:tblPrEx>
          <w:tblBorders>
            <w:top w:val="single" w:color="auto" w:sz="18" w:space="0"/>
            <w:left w:val="single" w:color="auto" w:sz="18" w:space="0"/>
            <w:bottom w:val="single" w:color="auto" w:sz="18" w:space="0"/>
            <w:right w:val="single" w:color="auto" w:sz="18" w:space="0"/>
            <w:insideH w:val="single" w:color="auto" w:sz="6" w:space="0"/>
            <w:insideV w:val="single" w:color="auto" w:sz="6" w:space="0"/>
          </w:tblBorders>
          <w:tblCellMar>
            <w:top w:w="0" w:type="dxa"/>
            <w:left w:w="108" w:type="dxa"/>
            <w:bottom w:w="0" w:type="dxa"/>
            <w:right w:w="108" w:type="dxa"/>
          </w:tblCellMar>
        </w:tblPrEx>
        <w:tc>
          <w:tcPr>
            <w:tcW w:w="918" w:type="dxa"/>
            <w:shd w:val="clear" w:color="auto" w:fill="auto"/>
            <w:vAlign w:val="center"/>
          </w:tcPr>
          <w:p>
            <w:pPr>
              <w:ind w:firstLine="0" w:firstLineChars="0"/>
              <w:jc w:val="center"/>
              <w:rPr>
                <w:rFonts w:ascii="仿宋_GB2312" w:hAnsi="仿宋"/>
                <w:sz w:val="30"/>
                <w:szCs w:val="30"/>
              </w:rPr>
            </w:pPr>
            <w:r>
              <w:rPr>
                <w:rFonts w:hint="eastAsia"/>
                <w:szCs w:val="30"/>
              </w:rPr>
              <w:t>5</w:t>
            </w:r>
          </w:p>
        </w:tc>
        <w:tc>
          <w:tcPr>
            <w:tcW w:w="1974" w:type="dxa"/>
            <w:shd w:val="clear" w:color="auto" w:fill="auto"/>
            <w:vAlign w:val="center"/>
          </w:tcPr>
          <w:p>
            <w:pPr>
              <w:ind w:firstLine="0" w:firstLineChars="0"/>
              <w:jc w:val="left"/>
              <w:rPr>
                <w:rFonts w:ascii="仿宋_GB2312" w:hAnsi="仿宋"/>
                <w:sz w:val="30"/>
                <w:szCs w:val="30"/>
              </w:rPr>
            </w:pPr>
            <w:r>
              <w:rPr>
                <w:rFonts w:hint="eastAsia" w:ascii="仿宋_GB2312" w:hAnsi="仿宋"/>
                <w:sz w:val="30"/>
                <w:szCs w:val="30"/>
              </w:rPr>
              <w:t>夜间照度</w:t>
            </w:r>
          </w:p>
        </w:tc>
        <w:tc>
          <w:tcPr>
            <w:tcW w:w="3489" w:type="dxa"/>
            <w:shd w:val="clear" w:color="auto" w:fill="auto"/>
            <w:vAlign w:val="center"/>
          </w:tcPr>
          <w:p>
            <w:pPr>
              <w:ind w:firstLine="0" w:firstLineChars="0"/>
              <w:jc w:val="left"/>
              <w:rPr>
                <w:rFonts w:ascii="仿宋_GB2312" w:hAnsi="仿宋"/>
                <w:sz w:val="30"/>
                <w:szCs w:val="30"/>
              </w:rPr>
            </w:pPr>
            <w:r>
              <w:rPr>
                <w:rFonts w:hint="eastAsia" w:ascii="仿宋_GB2312" w:hAnsi="仿宋"/>
                <w:sz w:val="30"/>
                <w:szCs w:val="30"/>
              </w:rPr>
              <w:t>设备运行线路</w:t>
            </w:r>
          </w:p>
        </w:tc>
        <w:tc>
          <w:tcPr>
            <w:tcW w:w="2658" w:type="dxa"/>
            <w:shd w:val="clear" w:color="auto" w:fill="auto"/>
            <w:vAlign w:val="center"/>
          </w:tcPr>
          <w:p>
            <w:pPr>
              <w:ind w:firstLine="0" w:firstLineChars="0"/>
              <w:jc w:val="left"/>
              <w:rPr>
                <w:rFonts w:ascii="仿宋_GB2312" w:hAnsi="仿宋"/>
                <w:sz w:val="30"/>
                <w:szCs w:val="30"/>
              </w:rPr>
            </w:pPr>
            <w:r>
              <w:rPr>
                <w:rFonts w:hint="eastAsia" w:ascii="仿宋_GB2312" w:hAnsi="仿宋"/>
                <w:sz w:val="30"/>
                <w:szCs w:val="30"/>
              </w:rPr>
              <w:t>＞</w:t>
            </w:r>
            <w:r>
              <w:rPr>
                <w:rFonts w:hint="eastAsia"/>
                <w:szCs w:val="30"/>
              </w:rPr>
              <w:t>20lx</w:t>
            </w:r>
          </w:p>
        </w:tc>
      </w:tr>
    </w:tbl>
    <w:p>
      <w:pPr>
        <w:pStyle w:val="15"/>
        <w:ind w:firstLine="480"/>
      </w:pPr>
    </w:p>
    <w:p>
      <w:pPr>
        <w:ind w:firstLine="640"/>
        <w:jc w:val="left"/>
        <w:rPr>
          <w:rFonts w:ascii="仿宋_GB2312" w:hAnsi="仿宋"/>
          <w:szCs w:val="32"/>
        </w:rPr>
      </w:pPr>
      <w:r>
        <w:rPr>
          <w:rFonts w:hint="eastAsia" w:ascii="仿宋_GB2312" w:hAnsi="仿宋"/>
          <w:szCs w:val="32"/>
        </w:rPr>
        <w:t>运行参数包括：电压、电流、运行状态、物联智控装置状态。</w:t>
      </w:r>
    </w:p>
    <w:p>
      <w:pPr>
        <w:numPr>
          <w:ilvl w:val="0"/>
          <w:numId w:val="116"/>
        </w:numPr>
        <w:ind w:left="0" w:firstLine="640"/>
        <w:rPr>
          <w:rFonts w:ascii="仿宋_GB2312" w:hAnsi="仿宋"/>
          <w:szCs w:val="32"/>
        </w:rPr>
      </w:pPr>
      <w:r>
        <w:rPr>
          <w:rFonts w:hint="eastAsia" w:ascii="仿宋_GB2312" w:hAnsi="仿宋"/>
          <w:szCs w:val="32"/>
        </w:rPr>
        <w:t>运行状态监控参数表</w:t>
      </w:r>
    </w:p>
    <w:tbl>
      <w:tblPr>
        <w:tblStyle w:val="27"/>
        <w:tblW w:w="9060" w:type="dxa"/>
        <w:tblInd w:w="0" w:type="dxa"/>
        <w:tblBorders>
          <w:top w:val="single" w:color="auto" w:sz="18" w:space="0"/>
          <w:left w:val="single" w:color="auto" w:sz="18" w:space="0"/>
          <w:bottom w:val="single" w:color="auto" w:sz="18" w:space="0"/>
          <w:right w:val="single" w:color="auto" w:sz="18" w:space="0"/>
          <w:insideH w:val="single" w:color="auto" w:sz="6" w:space="0"/>
          <w:insideV w:val="single" w:color="auto" w:sz="6" w:space="0"/>
        </w:tblBorders>
        <w:tblLayout w:type="fixed"/>
        <w:tblCellMar>
          <w:top w:w="0" w:type="dxa"/>
          <w:left w:w="108" w:type="dxa"/>
          <w:bottom w:w="0" w:type="dxa"/>
          <w:right w:w="108" w:type="dxa"/>
        </w:tblCellMar>
      </w:tblPr>
      <w:tblGrid>
        <w:gridCol w:w="935"/>
        <w:gridCol w:w="2289"/>
        <w:gridCol w:w="3158"/>
        <w:gridCol w:w="2678"/>
      </w:tblGrid>
      <w:tr>
        <w:tblPrEx>
          <w:tblBorders>
            <w:top w:val="single" w:color="auto" w:sz="18" w:space="0"/>
            <w:left w:val="single" w:color="auto" w:sz="18" w:space="0"/>
            <w:bottom w:val="single" w:color="auto" w:sz="18" w:space="0"/>
            <w:right w:val="single" w:color="auto" w:sz="18" w:space="0"/>
            <w:insideH w:val="single" w:color="auto" w:sz="6" w:space="0"/>
            <w:insideV w:val="single" w:color="auto" w:sz="6" w:space="0"/>
          </w:tblBorders>
          <w:tblCellMar>
            <w:top w:w="0" w:type="dxa"/>
            <w:left w:w="108" w:type="dxa"/>
            <w:bottom w:w="0" w:type="dxa"/>
            <w:right w:w="108" w:type="dxa"/>
          </w:tblCellMar>
        </w:tblPrEx>
        <w:tc>
          <w:tcPr>
            <w:tcW w:w="935" w:type="dxa"/>
            <w:shd w:val="clear" w:color="auto" w:fill="auto"/>
            <w:vAlign w:val="center"/>
          </w:tcPr>
          <w:p>
            <w:pPr>
              <w:ind w:firstLine="0" w:firstLineChars="0"/>
              <w:jc w:val="center"/>
              <w:rPr>
                <w:rFonts w:ascii="仿宋_GB2312" w:hAnsi="仿宋"/>
                <w:sz w:val="30"/>
                <w:szCs w:val="30"/>
              </w:rPr>
            </w:pPr>
            <w:r>
              <w:rPr>
                <w:rFonts w:hint="eastAsia" w:ascii="仿宋_GB2312" w:hAnsi="仿宋"/>
                <w:sz w:val="30"/>
                <w:szCs w:val="30"/>
              </w:rPr>
              <w:t>序号</w:t>
            </w:r>
          </w:p>
        </w:tc>
        <w:tc>
          <w:tcPr>
            <w:tcW w:w="2289" w:type="dxa"/>
            <w:shd w:val="clear" w:color="auto" w:fill="auto"/>
            <w:vAlign w:val="center"/>
          </w:tcPr>
          <w:p>
            <w:pPr>
              <w:ind w:firstLine="0" w:firstLineChars="0"/>
              <w:jc w:val="center"/>
              <w:rPr>
                <w:rFonts w:ascii="仿宋_GB2312" w:hAnsi="仿宋"/>
                <w:sz w:val="30"/>
                <w:szCs w:val="30"/>
              </w:rPr>
            </w:pPr>
            <w:r>
              <w:rPr>
                <w:rFonts w:hint="eastAsia" w:ascii="仿宋_GB2312" w:hAnsi="仿宋"/>
                <w:sz w:val="30"/>
                <w:szCs w:val="30"/>
              </w:rPr>
              <w:t>监控参数</w:t>
            </w:r>
          </w:p>
        </w:tc>
        <w:tc>
          <w:tcPr>
            <w:tcW w:w="3158" w:type="dxa"/>
          </w:tcPr>
          <w:p>
            <w:pPr>
              <w:ind w:firstLine="0" w:firstLineChars="0"/>
              <w:jc w:val="center"/>
              <w:rPr>
                <w:rFonts w:ascii="仿宋_GB2312" w:hAnsi="仿宋"/>
                <w:sz w:val="30"/>
                <w:szCs w:val="30"/>
              </w:rPr>
            </w:pPr>
            <w:r>
              <w:rPr>
                <w:rFonts w:hint="eastAsia" w:ascii="仿宋_GB2312" w:hAnsi="仿宋"/>
                <w:sz w:val="30"/>
                <w:szCs w:val="30"/>
              </w:rPr>
              <w:t>采集位置</w:t>
            </w:r>
          </w:p>
        </w:tc>
        <w:tc>
          <w:tcPr>
            <w:tcW w:w="2678" w:type="dxa"/>
            <w:shd w:val="clear" w:color="auto" w:fill="auto"/>
            <w:vAlign w:val="center"/>
          </w:tcPr>
          <w:p>
            <w:pPr>
              <w:ind w:firstLine="0" w:firstLineChars="0"/>
              <w:jc w:val="center"/>
              <w:rPr>
                <w:rFonts w:ascii="仿宋_GB2312" w:hAnsi="仿宋"/>
                <w:sz w:val="30"/>
                <w:szCs w:val="30"/>
              </w:rPr>
            </w:pPr>
            <w:r>
              <w:rPr>
                <w:rFonts w:hint="eastAsia" w:ascii="仿宋_GB2312" w:hAnsi="仿宋"/>
                <w:sz w:val="30"/>
                <w:szCs w:val="30"/>
              </w:rPr>
              <w:t>监控要求</w:t>
            </w:r>
          </w:p>
        </w:tc>
      </w:tr>
      <w:tr>
        <w:tblPrEx>
          <w:tblBorders>
            <w:top w:val="single" w:color="auto" w:sz="18" w:space="0"/>
            <w:left w:val="single" w:color="auto" w:sz="18" w:space="0"/>
            <w:bottom w:val="single" w:color="auto" w:sz="18" w:space="0"/>
            <w:right w:val="single" w:color="auto" w:sz="18" w:space="0"/>
            <w:insideH w:val="single" w:color="auto" w:sz="6" w:space="0"/>
            <w:insideV w:val="single" w:color="auto" w:sz="6" w:space="0"/>
          </w:tblBorders>
          <w:tblCellMar>
            <w:top w:w="0" w:type="dxa"/>
            <w:left w:w="108" w:type="dxa"/>
            <w:bottom w:w="0" w:type="dxa"/>
            <w:right w:w="108" w:type="dxa"/>
          </w:tblCellMar>
        </w:tblPrEx>
        <w:tc>
          <w:tcPr>
            <w:tcW w:w="935" w:type="dxa"/>
            <w:shd w:val="clear" w:color="auto" w:fill="auto"/>
            <w:vAlign w:val="center"/>
          </w:tcPr>
          <w:p>
            <w:pPr>
              <w:ind w:firstLine="0" w:firstLineChars="0"/>
              <w:jc w:val="center"/>
              <w:rPr>
                <w:rFonts w:ascii="仿宋_GB2312" w:hAnsi="仿宋"/>
                <w:sz w:val="30"/>
                <w:szCs w:val="30"/>
              </w:rPr>
            </w:pPr>
            <w:r>
              <w:rPr>
                <w:rFonts w:hint="eastAsia"/>
                <w:szCs w:val="30"/>
              </w:rPr>
              <w:t>1</w:t>
            </w:r>
          </w:p>
        </w:tc>
        <w:tc>
          <w:tcPr>
            <w:tcW w:w="2289" w:type="dxa"/>
            <w:shd w:val="clear" w:color="auto" w:fill="auto"/>
            <w:vAlign w:val="center"/>
          </w:tcPr>
          <w:p>
            <w:pPr>
              <w:ind w:firstLine="0" w:firstLineChars="0"/>
              <w:jc w:val="left"/>
              <w:rPr>
                <w:rFonts w:ascii="仿宋_GB2312" w:hAnsi="仿宋"/>
                <w:sz w:val="30"/>
                <w:szCs w:val="30"/>
              </w:rPr>
            </w:pPr>
            <w:r>
              <w:rPr>
                <w:rFonts w:hint="eastAsia" w:ascii="仿宋_GB2312" w:hAnsi="仿宋"/>
                <w:sz w:val="30"/>
                <w:szCs w:val="30"/>
              </w:rPr>
              <w:t>电压</w:t>
            </w:r>
          </w:p>
        </w:tc>
        <w:tc>
          <w:tcPr>
            <w:tcW w:w="3158" w:type="dxa"/>
            <w:vAlign w:val="center"/>
          </w:tcPr>
          <w:p>
            <w:pPr>
              <w:ind w:firstLine="0" w:firstLineChars="0"/>
              <w:jc w:val="left"/>
              <w:rPr>
                <w:rFonts w:ascii="仿宋_GB2312" w:hAnsi="仿宋"/>
                <w:sz w:val="30"/>
                <w:szCs w:val="30"/>
              </w:rPr>
            </w:pPr>
            <w:r>
              <w:rPr>
                <w:rFonts w:hint="eastAsia" w:ascii="仿宋_GB2312" w:hAnsi="仿宋"/>
                <w:sz w:val="30"/>
                <w:szCs w:val="30"/>
              </w:rPr>
              <w:t>控制柜进线端或电力部门</w:t>
            </w:r>
          </w:p>
        </w:tc>
        <w:tc>
          <w:tcPr>
            <w:tcW w:w="2678" w:type="dxa"/>
            <w:shd w:val="clear" w:color="auto" w:fill="auto"/>
            <w:vAlign w:val="center"/>
          </w:tcPr>
          <w:p>
            <w:pPr>
              <w:ind w:firstLine="0" w:firstLineChars="0"/>
              <w:jc w:val="left"/>
              <w:rPr>
                <w:rFonts w:ascii="仿宋_GB2312" w:hAnsi="仿宋"/>
                <w:sz w:val="30"/>
                <w:szCs w:val="30"/>
              </w:rPr>
            </w:pPr>
            <w:r>
              <w:rPr>
                <w:rFonts w:hint="eastAsia"/>
                <w:szCs w:val="30"/>
              </w:rPr>
              <w:t>380v</w:t>
            </w:r>
            <w:r>
              <w:rPr>
                <w:rFonts w:hint="eastAsia" w:ascii="仿宋_GB2312" w:hAnsi="仿宋"/>
                <w:sz w:val="30"/>
                <w:szCs w:val="30"/>
              </w:rPr>
              <w:t>±</w:t>
            </w:r>
            <w:r>
              <w:rPr>
                <w:rFonts w:hint="eastAsia"/>
                <w:szCs w:val="30"/>
              </w:rPr>
              <w:t>10</w:t>
            </w:r>
            <w:r>
              <w:rPr>
                <w:rFonts w:hint="eastAsia" w:ascii="仿宋_GB2312" w:hAnsi="仿宋"/>
                <w:sz w:val="30"/>
                <w:szCs w:val="30"/>
              </w:rPr>
              <w:t>%，无缺相</w:t>
            </w:r>
          </w:p>
        </w:tc>
      </w:tr>
      <w:tr>
        <w:tblPrEx>
          <w:tblBorders>
            <w:top w:val="single" w:color="auto" w:sz="18" w:space="0"/>
            <w:left w:val="single" w:color="auto" w:sz="18" w:space="0"/>
            <w:bottom w:val="single" w:color="auto" w:sz="18" w:space="0"/>
            <w:right w:val="single" w:color="auto" w:sz="18" w:space="0"/>
            <w:insideH w:val="single" w:color="auto" w:sz="6" w:space="0"/>
            <w:insideV w:val="single" w:color="auto" w:sz="6" w:space="0"/>
          </w:tblBorders>
          <w:tblCellMar>
            <w:top w:w="0" w:type="dxa"/>
            <w:left w:w="108" w:type="dxa"/>
            <w:bottom w:w="0" w:type="dxa"/>
            <w:right w:w="108" w:type="dxa"/>
          </w:tblCellMar>
        </w:tblPrEx>
        <w:tc>
          <w:tcPr>
            <w:tcW w:w="935" w:type="dxa"/>
            <w:shd w:val="clear" w:color="auto" w:fill="auto"/>
            <w:vAlign w:val="center"/>
          </w:tcPr>
          <w:p>
            <w:pPr>
              <w:ind w:firstLine="0" w:firstLineChars="0"/>
              <w:jc w:val="center"/>
              <w:rPr>
                <w:rFonts w:ascii="仿宋_GB2312" w:hAnsi="仿宋"/>
                <w:sz w:val="30"/>
                <w:szCs w:val="30"/>
              </w:rPr>
            </w:pPr>
            <w:r>
              <w:rPr>
                <w:rFonts w:hint="eastAsia"/>
                <w:szCs w:val="30"/>
              </w:rPr>
              <w:t>2</w:t>
            </w:r>
          </w:p>
        </w:tc>
        <w:tc>
          <w:tcPr>
            <w:tcW w:w="2289" w:type="dxa"/>
            <w:shd w:val="clear" w:color="auto" w:fill="auto"/>
            <w:vAlign w:val="center"/>
          </w:tcPr>
          <w:p>
            <w:pPr>
              <w:ind w:firstLine="0" w:firstLineChars="0"/>
              <w:jc w:val="left"/>
              <w:rPr>
                <w:rFonts w:ascii="仿宋_GB2312" w:hAnsi="仿宋"/>
                <w:sz w:val="30"/>
                <w:szCs w:val="30"/>
              </w:rPr>
            </w:pPr>
            <w:r>
              <w:rPr>
                <w:rFonts w:hint="eastAsia" w:ascii="仿宋_GB2312" w:hAnsi="仿宋"/>
                <w:sz w:val="30"/>
                <w:szCs w:val="30"/>
              </w:rPr>
              <w:t>电流</w:t>
            </w:r>
          </w:p>
        </w:tc>
        <w:tc>
          <w:tcPr>
            <w:tcW w:w="3158" w:type="dxa"/>
            <w:vAlign w:val="center"/>
          </w:tcPr>
          <w:p>
            <w:pPr>
              <w:ind w:firstLine="0" w:firstLineChars="0"/>
              <w:jc w:val="left"/>
              <w:rPr>
                <w:rFonts w:ascii="仿宋_GB2312" w:hAnsi="仿宋"/>
                <w:sz w:val="30"/>
                <w:szCs w:val="30"/>
              </w:rPr>
            </w:pPr>
            <w:r>
              <w:rPr>
                <w:rFonts w:hint="eastAsia" w:ascii="仿宋_GB2312" w:hAnsi="仿宋"/>
                <w:sz w:val="30"/>
                <w:szCs w:val="30"/>
              </w:rPr>
              <w:t>控制柜进线端</w:t>
            </w:r>
          </w:p>
        </w:tc>
        <w:tc>
          <w:tcPr>
            <w:tcW w:w="2678" w:type="dxa"/>
            <w:shd w:val="clear" w:color="auto" w:fill="auto"/>
            <w:vAlign w:val="center"/>
          </w:tcPr>
          <w:p>
            <w:pPr>
              <w:ind w:firstLine="0" w:firstLineChars="0"/>
              <w:jc w:val="left"/>
              <w:rPr>
                <w:rFonts w:ascii="仿宋_GB2312" w:hAnsi="仿宋"/>
                <w:sz w:val="30"/>
                <w:szCs w:val="30"/>
              </w:rPr>
            </w:pPr>
            <w:r>
              <w:rPr>
                <w:rFonts w:hint="eastAsia" w:ascii="仿宋_GB2312" w:hAnsi="仿宋"/>
                <w:sz w:val="30"/>
                <w:szCs w:val="30"/>
              </w:rPr>
              <w:t>运行电流小于额定电流</w:t>
            </w:r>
          </w:p>
        </w:tc>
      </w:tr>
      <w:tr>
        <w:tblPrEx>
          <w:tblBorders>
            <w:top w:val="single" w:color="auto" w:sz="18" w:space="0"/>
            <w:left w:val="single" w:color="auto" w:sz="18" w:space="0"/>
            <w:bottom w:val="single" w:color="auto" w:sz="18" w:space="0"/>
            <w:right w:val="single" w:color="auto" w:sz="18" w:space="0"/>
            <w:insideH w:val="single" w:color="auto" w:sz="6" w:space="0"/>
            <w:insideV w:val="single" w:color="auto" w:sz="6" w:space="0"/>
          </w:tblBorders>
          <w:tblCellMar>
            <w:top w:w="0" w:type="dxa"/>
            <w:left w:w="108" w:type="dxa"/>
            <w:bottom w:w="0" w:type="dxa"/>
            <w:right w:w="108" w:type="dxa"/>
          </w:tblCellMar>
        </w:tblPrEx>
        <w:tc>
          <w:tcPr>
            <w:tcW w:w="935" w:type="dxa"/>
            <w:shd w:val="clear" w:color="auto" w:fill="auto"/>
            <w:vAlign w:val="center"/>
          </w:tcPr>
          <w:p>
            <w:pPr>
              <w:ind w:firstLine="0" w:firstLineChars="0"/>
              <w:jc w:val="center"/>
              <w:rPr>
                <w:rFonts w:ascii="仿宋_GB2312" w:hAnsi="仿宋"/>
                <w:sz w:val="30"/>
                <w:szCs w:val="30"/>
              </w:rPr>
            </w:pPr>
            <w:r>
              <w:rPr>
                <w:rFonts w:hint="eastAsia"/>
                <w:szCs w:val="30"/>
              </w:rPr>
              <w:t>3</w:t>
            </w:r>
          </w:p>
        </w:tc>
        <w:tc>
          <w:tcPr>
            <w:tcW w:w="2289" w:type="dxa"/>
            <w:shd w:val="clear" w:color="auto" w:fill="auto"/>
            <w:vAlign w:val="center"/>
          </w:tcPr>
          <w:p>
            <w:pPr>
              <w:ind w:firstLine="0" w:firstLineChars="0"/>
              <w:jc w:val="left"/>
              <w:rPr>
                <w:rFonts w:ascii="仿宋_GB2312" w:hAnsi="仿宋"/>
                <w:sz w:val="30"/>
                <w:szCs w:val="30"/>
              </w:rPr>
            </w:pPr>
            <w:r>
              <w:rPr>
                <w:rFonts w:hint="eastAsia" w:ascii="仿宋_GB2312" w:hAnsi="仿宋"/>
                <w:sz w:val="30"/>
                <w:szCs w:val="30"/>
              </w:rPr>
              <w:t>运行状态</w:t>
            </w:r>
          </w:p>
        </w:tc>
        <w:tc>
          <w:tcPr>
            <w:tcW w:w="3158" w:type="dxa"/>
            <w:vAlign w:val="center"/>
          </w:tcPr>
          <w:p>
            <w:pPr>
              <w:ind w:firstLine="0" w:firstLineChars="0"/>
              <w:jc w:val="left"/>
              <w:rPr>
                <w:rFonts w:ascii="仿宋_GB2312" w:hAnsi="仿宋"/>
                <w:sz w:val="30"/>
                <w:szCs w:val="30"/>
              </w:rPr>
            </w:pPr>
            <w:r>
              <w:rPr>
                <w:rFonts w:hint="eastAsia" w:ascii="仿宋_GB2312" w:hAnsi="仿宋"/>
                <w:sz w:val="30"/>
                <w:szCs w:val="30"/>
              </w:rPr>
              <w:t>主驱动电机电源线</w:t>
            </w:r>
          </w:p>
        </w:tc>
        <w:tc>
          <w:tcPr>
            <w:tcW w:w="2678" w:type="dxa"/>
            <w:shd w:val="clear" w:color="auto" w:fill="auto"/>
            <w:vAlign w:val="center"/>
          </w:tcPr>
          <w:p>
            <w:pPr>
              <w:ind w:firstLine="0" w:firstLineChars="0"/>
              <w:jc w:val="left"/>
              <w:rPr>
                <w:rFonts w:ascii="仿宋_GB2312" w:hAnsi="仿宋"/>
                <w:sz w:val="30"/>
                <w:szCs w:val="30"/>
              </w:rPr>
            </w:pPr>
            <w:r>
              <w:rPr>
                <w:rFonts w:hint="eastAsia" w:ascii="仿宋_GB2312" w:hAnsi="仿宋"/>
                <w:sz w:val="30"/>
                <w:szCs w:val="30"/>
              </w:rPr>
              <w:t>不满足运行条件时，设备运行状态应为停机状态</w:t>
            </w:r>
          </w:p>
        </w:tc>
      </w:tr>
      <w:tr>
        <w:tblPrEx>
          <w:tblBorders>
            <w:top w:val="single" w:color="auto" w:sz="18" w:space="0"/>
            <w:left w:val="single" w:color="auto" w:sz="18" w:space="0"/>
            <w:bottom w:val="single" w:color="auto" w:sz="18" w:space="0"/>
            <w:right w:val="single" w:color="auto" w:sz="18" w:space="0"/>
            <w:insideH w:val="single" w:color="auto" w:sz="6" w:space="0"/>
            <w:insideV w:val="single" w:color="auto" w:sz="6" w:space="0"/>
          </w:tblBorders>
          <w:tblCellMar>
            <w:top w:w="0" w:type="dxa"/>
            <w:left w:w="108" w:type="dxa"/>
            <w:bottom w:w="0" w:type="dxa"/>
            <w:right w:w="108" w:type="dxa"/>
          </w:tblCellMar>
        </w:tblPrEx>
        <w:trPr>
          <w:trHeight w:val="219" w:hRule="atLeast"/>
        </w:trPr>
        <w:tc>
          <w:tcPr>
            <w:tcW w:w="935" w:type="dxa"/>
            <w:shd w:val="clear" w:color="auto" w:fill="auto"/>
            <w:vAlign w:val="center"/>
          </w:tcPr>
          <w:p>
            <w:pPr>
              <w:ind w:firstLine="0" w:firstLineChars="0"/>
              <w:jc w:val="center"/>
              <w:rPr>
                <w:rFonts w:ascii="仿宋_GB2312" w:hAnsi="仿宋"/>
                <w:sz w:val="30"/>
                <w:szCs w:val="30"/>
              </w:rPr>
            </w:pPr>
            <w:r>
              <w:rPr>
                <w:rFonts w:hint="eastAsia"/>
                <w:szCs w:val="30"/>
              </w:rPr>
              <w:t>4</w:t>
            </w:r>
          </w:p>
        </w:tc>
        <w:tc>
          <w:tcPr>
            <w:tcW w:w="2289" w:type="dxa"/>
            <w:shd w:val="clear" w:color="auto" w:fill="auto"/>
            <w:vAlign w:val="center"/>
          </w:tcPr>
          <w:p>
            <w:pPr>
              <w:ind w:firstLine="0" w:firstLineChars="0"/>
              <w:jc w:val="left"/>
              <w:rPr>
                <w:rFonts w:ascii="仿宋_GB2312" w:hAnsi="仿宋"/>
                <w:sz w:val="30"/>
                <w:szCs w:val="30"/>
              </w:rPr>
            </w:pPr>
            <w:r>
              <w:rPr>
                <w:rFonts w:hint="eastAsia" w:ascii="仿宋_GB2312" w:hAnsi="仿宋"/>
                <w:sz w:val="30"/>
                <w:szCs w:val="30"/>
              </w:rPr>
              <w:t>运行速度</w:t>
            </w:r>
          </w:p>
        </w:tc>
        <w:tc>
          <w:tcPr>
            <w:tcW w:w="3158" w:type="dxa"/>
            <w:vAlign w:val="center"/>
          </w:tcPr>
          <w:p>
            <w:pPr>
              <w:ind w:firstLine="0" w:firstLineChars="0"/>
              <w:jc w:val="left"/>
              <w:rPr>
                <w:rFonts w:ascii="仿宋_GB2312" w:hAnsi="仿宋"/>
                <w:sz w:val="30"/>
                <w:szCs w:val="30"/>
              </w:rPr>
            </w:pPr>
            <w:r>
              <w:rPr>
                <w:rFonts w:hint="eastAsia" w:ascii="仿宋_GB2312" w:hAnsi="仿宋"/>
                <w:sz w:val="30"/>
                <w:szCs w:val="30"/>
              </w:rPr>
              <w:t>驱动大盘</w:t>
            </w:r>
          </w:p>
        </w:tc>
        <w:tc>
          <w:tcPr>
            <w:tcW w:w="2678" w:type="dxa"/>
            <w:shd w:val="clear" w:color="auto" w:fill="auto"/>
            <w:vAlign w:val="center"/>
          </w:tcPr>
          <w:p>
            <w:pPr>
              <w:ind w:firstLine="0" w:firstLineChars="0"/>
              <w:jc w:val="left"/>
              <w:rPr>
                <w:rFonts w:ascii="仿宋_GB2312" w:hAnsi="仿宋"/>
                <w:sz w:val="30"/>
                <w:szCs w:val="30"/>
              </w:rPr>
            </w:pPr>
            <w:r>
              <w:rPr>
                <w:rFonts w:hint="eastAsia" w:ascii="仿宋_GB2312" w:hAnsi="仿宋"/>
                <w:sz w:val="30"/>
                <w:szCs w:val="30"/>
              </w:rPr>
              <w:t>在设计运行速度的±</w:t>
            </w:r>
            <w:r>
              <w:rPr>
                <w:rFonts w:hint="eastAsia"/>
                <w:szCs w:val="30"/>
              </w:rPr>
              <w:t>5</w:t>
            </w:r>
            <w:r>
              <w:rPr>
                <w:rFonts w:hint="eastAsia" w:ascii="仿宋_GB2312" w:hAnsi="仿宋"/>
                <w:sz w:val="30"/>
                <w:szCs w:val="30"/>
              </w:rPr>
              <w:t>%范围内</w:t>
            </w:r>
          </w:p>
        </w:tc>
      </w:tr>
      <w:tr>
        <w:tblPrEx>
          <w:tblBorders>
            <w:top w:val="single" w:color="auto" w:sz="18" w:space="0"/>
            <w:left w:val="single" w:color="auto" w:sz="18" w:space="0"/>
            <w:bottom w:val="single" w:color="auto" w:sz="18" w:space="0"/>
            <w:right w:val="single" w:color="auto" w:sz="18" w:space="0"/>
            <w:insideH w:val="single" w:color="auto" w:sz="6" w:space="0"/>
            <w:insideV w:val="single" w:color="auto" w:sz="6" w:space="0"/>
          </w:tblBorders>
          <w:tblCellMar>
            <w:top w:w="0" w:type="dxa"/>
            <w:left w:w="108" w:type="dxa"/>
            <w:bottom w:w="0" w:type="dxa"/>
            <w:right w:w="108" w:type="dxa"/>
          </w:tblCellMar>
        </w:tblPrEx>
        <w:tc>
          <w:tcPr>
            <w:tcW w:w="935" w:type="dxa"/>
            <w:shd w:val="clear" w:color="auto" w:fill="auto"/>
            <w:vAlign w:val="center"/>
          </w:tcPr>
          <w:p>
            <w:pPr>
              <w:ind w:firstLine="0" w:firstLineChars="0"/>
              <w:jc w:val="center"/>
              <w:rPr>
                <w:rFonts w:ascii="仿宋_GB2312" w:hAnsi="仿宋"/>
                <w:sz w:val="30"/>
                <w:szCs w:val="30"/>
              </w:rPr>
            </w:pPr>
            <w:r>
              <w:rPr>
                <w:rFonts w:hint="eastAsia"/>
                <w:szCs w:val="30"/>
              </w:rPr>
              <w:t>5</w:t>
            </w:r>
          </w:p>
        </w:tc>
        <w:tc>
          <w:tcPr>
            <w:tcW w:w="2289" w:type="dxa"/>
            <w:shd w:val="clear" w:color="auto" w:fill="auto"/>
            <w:vAlign w:val="center"/>
          </w:tcPr>
          <w:p>
            <w:pPr>
              <w:ind w:firstLine="0" w:firstLineChars="0"/>
              <w:jc w:val="left"/>
              <w:rPr>
                <w:rFonts w:ascii="仿宋_GB2312" w:hAnsi="仿宋"/>
                <w:sz w:val="30"/>
                <w:szCs w:val="30"/>
              </w:rPr>
            </w:pPr>
            <w:r>
              <w:rPr>
                <w:rFonts w:hint="eastAsia" w:ascii="仿宋_GB2312" w:hAnsi="仿宋"/>
                <w:sz w:val="30"/>
                <w:szCs w:val="30"/>
              </w:rPr>
              <w:t>智控装置状态</w:t>
            </w:r>
          </w:p>
        </w:tc>
        <w:tc>
          <w:tcPr>
            <w:tcW w:w="3158" w:type="dxa"/>
            <w:vAlign w:val="center"/>
          </w:tcPr>
          <w:p>
            <w:pPr>
              <w:ind w:firstLine="0" w:firstLineChars="0"/>
              <w:jc w:val="left"/>
              <w:rPr>
                <w:rFonts w:ascii="仿宋_GB2312" w:hAnsi="仿宋"/>
                <w:sz w:val="30"/>
                <w:szCs w:val="30"/>
              </w:rPr>
            </w:pPr>
            <w:r>
              <w:rPr>
                <w:rFonts w:hint="eastAsia" w:ascii="仿宋_GB2312" w:hAnsi="仿宋"/>
                <w:sz w:val="30"/>
                <w:szCs w:val="30"/>
              </w:rPr>
              <w:t>装置电源</w:t>
            </w:r>
          </w:p>
        </w:tc>
        <w:tc>
          <w:tcPr>
            <w:tcW w:w="2678" w:type="dxa"/>
            <w:shd w:val="clear" w:color="auto" w:fill="auto"/>
            <w:vAlign w:val="center"/>
          </w:tcPr>
          <w:p>
            <w:pPr>
              <w:ind w:firstLine="0" w:firstLineChars="0"/>
              <w:jc w:val="left"/>
              <w:rPr>
                <w:rFonts w:ascii="仿宋_GB2312" w:hAnsi="仿宋"/>
                <w:sz w:val="30"/>
                <w:szCs w:val="30"/>
              </w:rPr>
            </w:pPr>
            <w:r>
              <w:rPr>
                <w:rFonts w:hint="eastAsia" w:ascii="仿宋_GB2312" w:hAnsi="仿宋"/>
                <w:sz w:val="30"/>
                <w:szCs w:val="30"/>
              </w:rPr>
              <w:t>持续在线</w:t>
            </w:r>
          </w:p>
        </w:tc>
      </w:tr>
      <w:tr>
        <w:tblPrEx>
          <w:tblBorders>
            <w:top w:val="single" w:color="auto" w:sz="18" w:space="0"/>
            <w:left w:val="single" w:color="auto" w:sz="18" w:space="0"/>
            <w:bottom w:val="single" w:color="auto" w:sz="18" w:space="0"/>
            <w:right w:val="single" w:color="auto" w:sz="18" w:space="0"/>
            <w:insideH w:val="single" w:color="auto" w:sz="6" w:space="0"/>
            <w:insideV w:val="single" w:color="auto" w:sz="6" w:space="0"/>
          </w:tblBorders>
          <w:tblCellMar>
            <w:top w:w="0" w:type="dxa"/>
            <w:left w:w="108" w:type="dxa"/>
            <w:bottom w:w="0" w:type="dxa"/>
            <w:right w:w="108" w:type="dxa"/>
          </w:tblCellMar>
        </w:tblPrEx>
        <w:tc>
          <w:tcPr>
            <w:tcW w:w="9060" w:type="dxa"/>
            <w:gridSpan w:val="4"/>
          </w:tcPr>
          <w:p>
            <w:pPr>
              <w:ind w:firstLine="0" w:firstLineChars="0"/>
              <w:jc w:val="center"/>
              <w:rPr>
                <w:rFonts w:ascii="仿宋_GB2312" w:hAnsi="仿宋"/>
                <w:sz w:val="30"/>
                <w:szCs w:val="30"/>
              </w:rPr>
            </w:pPr>
            <w:r>
              <w:rPr>
                <w:rFonts w:hint="eastAsia" w:ascii="仿宋_GB2312" w:hAnsi="仿宋"/>
                <w:sz w:val="30"/>
                <w:szCs w:val="30"/>
              </w:rPr>
              <w:t>注：依据设备运动特性和原理，不同类型客运索道运行数据不一</w:t>
            </w:r>
          </w:p>
        </w:tc>
      </w:tr>
    </w:tbl>
    <w:p>
      <w:pPr>
        <w:pStyle w:val="7"/>
        <w:numPr>
          <w:ilvl w:val="0"/>
          <w:numId w:val="115"/>
        </w:numPr>
        <w:ind w:firstLine="643"/>
      </w:pPr>
      <w:r>
        <w:rPr>
          <w:rFonts w:hint="eastAsia"/>
        </w:rPr>
        <w:t>客运索道风险预警计算模型要求</w:t>
      </w:r>
    </w:p>
    <w:p>
      <w:pPr>
        <w:ind w:firstLine="640"/>
        <w:jc w:val="left"/>
        <w:rPr>
          <w:rFonts w:ascii="仿宋_GB2312" w:hAnsi="仿宋"/>
          <w:szCs w:val="32"/>
        </w:rPr>
      </w:pPr>
      <w:r>
        <w:rPr>
          <w:rFonts w:hint="eastAsia" w:ascii="仿宋_GB2312" w:hAnsi="仿宋"/>
          <w:szCs w:val="32"/>
        </w:rPr>
        <w:t>客运索道的风险预警模型根据单一的因素判断风险指数。计算模型分为三种，缺陷风险、运行安全风险和环境安全风险。缺陷风险是特定型号客运索道固有缺陷带来的系统性风险，一般通过检验信息、事故案例等发现；运行安全风险是客运索道供电出现问题或运行状态不正常等问题导致的风险，通过分析判断电力部门的供电信息及行状态数据发现；环境安全风险是如高温、雷电、大风、雨雪等天气对设备及乘客造成的损害的风险，通过分析判断气象部门天气预告及运行环境数据发现。</w:t>
      </w:r>
    </w:p>
    <w:p>
      <w:pPr>
        <w:pStyle w:val="6"/>
        <w:numPr>
          <w:ilvl w:val="0"/>
          <w:numId w:val="114"/>
        </w:numPr>
        <w:ind w:left="0" w:firstLine="640"/>
        <w:rPr>
          <w:rFonts w:ascii="仿宋_GB2312"/>
          <w:szCs w:val="32"/>
        </w:rPr>
      </w:pPr>
      <w:r>
        <w:rPr>
          <w:rFonts w:hint="eastAsia" w:ascii="仿宋_GB2312"/>
          <w:szCs w:val="32"/>
        </w:rPr>
        <w:t>管理模式</w:t>
      </w:r>
    </w:p>
    <w:p>
      <w:pPr>
        <w:ind w:firstLine="640"/>
        <w:jc w:val="left"/>
        <w:rPr>
          <w:rFonts w:ascii="仿宋_GB2312" w:hAnsi="仿宋"/>
          <w:szCs w:val="32"/>
        </w:rPr>
      </w:pPr>
      <w:r>
        <w:rPr>
          <w:rFonts w:hint="eastAsia" w:ascii="仿宋_GB2312" w:hAnsi="仿宋"/>
          <w:szCs w:val="32"/>
        </w:rPr>
        <w:t>客运索道智控的信息流转全部在线上完成。线下主要应急处置与应急救援等事宜，信息流转结构如下图所示。实现客运索道智控应用场景需要多个信息系统协同合作。预警系统采集特种设备安全监管基础数据、客运索道物联网智控监测数据、电力部门和气象部门等数据。通过分析计算，将处理后的信息向其他各个软件系统推送。综合风险信息向行政执法平台推送，行政执法平台对高风险客运索道自动建立核查任务，提高中风险客运索道双随机抽查比例；浙政钉平台供监管人员使用，自动关联监管范围内的客运索道，主动向监管人员推送风险预警等信息；浙里办平台使用单位使用，能够自动关联相关客运索道，主动推送预警信息和部分救援信息；“客运索道健康码”供乘客使用，提供客运索道信息查询功能及应急情况对外呼叫救援。</w:t>
      </w:r>
    </w:p>
    <w:p>
      <w:pPr>
        <w:ind w:firstLine="643"/>
        <w:rPr>
          <w:rFonts w:ascii="仿宋_GB2312" w:hAnsi="仿宋"/>
          <w:b/>
          <w:bCs/>
          <w:szCs w:val="32"/>
        </w:rPr>
      </w:pPr>
      <w:r>
        <w:drawing>
          <wp:anchor distT="0" distB="0" distL="0" distR="0" simplePos="0" relativeHeight="251652096" behindDoc="0" locked="0" layoutInCell="1" allowOverlap="1">
            <wp:simplePos x="0" y="0"/>
            <wp:positionH relativeFrom="column">
              <wp:posOffset>994410</wp:posOffset>
            </wp:positionH>
            <wp:positionV relativeFrom="page">
              <wp:posOffset>3213100</wp:posOffset>
            </wp:positionV>
            <wp:extent cx="3535680" cy="3152140"/>
            <wp:effectExtent l="0" t="0" r="0" b="2540"/>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44"/>
                    <a:stretch>
                      <a:fillRect/>
                    </a:stretch>
                  </pic:blipFill>
                  <pic:spPr>
                    <a:xfrm>
                      <a:off x="0" y="0"/>
                      <a:ext cx="3535680" cy="3152140"/>
                    </a:xfrm>
                    <a:prstGeom prst="rect">
                      <a:avLst/>
                    </a:prstGeom>
                  </pic:spPr>
                </pic:pic>
              </a:graphicData>
            </a:graphic>
          </wp:anchor>
        </w:drawing>
      </w:r>
    </w:p>
    <w:p>
      <w:pPr>
        <w:ind w:firstLine="640"/>
        <w:jc w:val="center"/>
        <w:rPr>
          <w:rFonts w:ascii="仿宋_GB2312" w:hAnsi="仿宋"/>
          <w:szCs w:val="32"/>
        </w:rPr>
      </w:pPr>
      <w:r>
        <w:rPr>
          <w:rFonts w:hint="eastAsia" w:ascii="仿宋_GB2312" w:hAnsi="仿宋"/>
          <w:szCs w:val="32"/>
        </w:rPr>
        <w:t>信息流转图</w:t>
      </w:r>
    </w:p>
    <w:p>
      <w:pPr>
        <w:pStyle w:val="6"/>
        <w:numPr>
          <w:ilvl w:val="0"/>
          <w:numId w:val="114"/>
        </w:numPr>
        <w:ind w:left="0" w:firstLine="640"/>
        <w:rPr>
          <w:rFonts w:ascii="仿宋_GB2312"/>
          <w:szCs w:val="32"/>
        </w:rPr>
      </w:pPr>
      <w:r>
        <w:rPr>
          <w:rFonts w:hint="eastAsia" w:ascii="仿宋_GB2312"/>
          <w:szCs w:val="32"/>
        </w:rPr>
        <w:t>管理流程</w:t>
      </w:r>
    </w:p>
    <w:p>
      <w:pPr>
        <w:pStyle w:val="7"/>
        <w:numPr>
          <w:ilvl w:val="0"/>
          <w:numId w:val="117"/>
        </w:numPr>
        <w:ind w:firstLine="643"/>
      </w:pPr>
      <w:r>
        <w:rPr>
          <w:rFonts w:hint="eastAsia"/>
        </w:rPr>
        <w:t>风险预警流程</w:t>
      </w:r>
    </w:p>
    <w:p>
      <w:pPr>
        <w:ind w:firstLine="640"/>
        <w:jc w:val="left"/>
        <w:rPr>
          <w:rFonts w:ascii="仿宋_GB2312" w:hAnsi="仿宋"/>
          <w:szCs w:val="32"/>
        </w:rPr>
      </w:pPr>
      <w:r>
        <w:rPr>
          <w:rFonts w:hint="eastAsia" w:ascii="仿宋_GB2312" w:hAnsi="仿宋"/>
          <w:szCs w:val="32"/>
        </w:rPr>
        <w:t>客运索道预警系统根据库内基础数据，对有中、高运行风险的客运索道，通过相应的平台向监管人员、使用单位管理人员推送预警信息。</w:t>
      </w:r>
    </w:p>
    <w:p>
      <w:pPr>
        <w:ind w:firstLine="640"/>
        <w:jc w:val="left"/>
        <w:rPr>
          <w:rFonts w:ascii="仿宋_GB2312" w:hAnsi="仿宋"/>
          <w:szCs w:val="32"/>
        </w:rPr>
      </w:pPr>
      <w:r>
        <w:rPr>
          <w:rFonts w:hint="eastAsia" w:ascii="仿宋_GB2312" w:hAnsi="仿宋"/>
          <w:szCs w:val="32"/>
        </w:rPr>
        <w:t>风险等级判定</w:t>
      </w:r>
    </w:p>
    <w:p>
      <w:pPr>
        <w:ind w:firstLine="640"/>
        <w:jc w:val="left"/>
        <w:rPr>
          <w:rFonts w:ascii="仿宋_GB2312" w:hAnsi="仿宋"/>
          <w:szCs w:val="32"/>
        </w:rPr>
      </w:pPr>
      <w:r>
        <w:rPr>
          <w:rFonts w:hint="eastAsia" w:ascii="仿宋_GB2312" w:hAnsi="仿宋"/>
          <w:szCs w:val="32"/>
        </w:rPr>
        <w:t>预警系统实时监测物联网数据。根据环境及天气条件、雷电、运行状况、作业人员进行判断大型游乐设施处于的风险等级。</w:t>
      </w:r>
    </w:p>
    <w:p>
      <w:pPr>
        <w:numPr>
          <w:ilvl w:val="0"/>
          <w:numId w:val="118"/>
        </w:numPr>
        <w:ind w:left="0" w:firstLine="640"/>
        <w:jc w:val="left"/>
        <w:rPr>
          <w:rFonts w:ascii="仿宋_GB2312" w:hAnsi="仿宋"/>
          <w:szCs w:val="32"/>
        </w:rPr>
      </w:pPr>
      <w:r>
        <w:rPr>
          <w:rFonts w:hint="eastAsia" w:ascii="仿宋_GB2312" w:hAnsi="仿宋"/>
          <w:szCs w:val="32"/>
        </w:rPr>
        <w:t>风险阈值</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04"/>
        <w:gridCol w:w="2749"/>
        <w:gridCol w:w="3469"/>
        <w:gridCol w:w="15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4" w:type="dxa"/>
          </w:tcPr>
          <w:p>
            <w:pPr>
              <w:ind w:left="0" w:leftChars="0" w:firstLine="0" w:firstLineChars="0"/>
              <w:jc w:val="center"/>
              <w:rPr>
                <w:rFonts w:hint="eastAsia" w:ascii="仿宋_GB2312" w:hAnsi="仿宋" w:eastAsia="仿宋_GB2312"/>
                <w:b/>
                <w:bCs/>
                <w:szCs w:val="32"/>
                <w:vertAlign w:val="baseline"/>
                <w:lang w:val="en-US" w:eastAsia="zh-CN"/>
              </w:rPr>
            </w:pPr>
            <w:r>
              <w:rPr>
                <w:rFonts w:hint="eastAsia" w:ascii="仿宋_GB2312" w:hAnsi="仿宋"/>
                <w:b/>
                <w:bCs/>
                <w:szCs w:val="32"/>
                <w:vertAlign w:val="baseline"/>
                <w:lang w:val="en-US" w:eastAsia="zh-CN"/>
              </w:rPr>
              <w:t>风险源</w:t>
            </w:r>
          </w:p>
        </w:tc>
        <w:tc>
          <w:tcPr>
            <w:tcW w:w="2749" w:type="dxa"/>
          </w:tcPr>
          <w:p>
            <w:pPr>
              <w:ind w:left="0" w:leftChars="0" w:firstLine="0" w:firstLineChars="0"/>
              <w:jc w:val="center"/>
              <w:rPr>
                <w:rFonts w:hint="default" w:ascii="仿宋_GB2312" w:hAnsi="仿宋" w:eastAsia="仿宋_GB2312"/>
                <w:b/>
                <w:bCs/>
                <w:szCs w:val="32"/>
                <w:vertAlign w:val="baseline"/>
                <w:lang w:val="en-US" w:eastAsia="zh-CN"/>
              </w:rPr>
            </w:pPr>
            <w:r>
              <w:rPr>
                <w:rFonts w:hint="eastAsia" w:ascii="仿宋_GB2312" w:hAnsi="仿宋"/>
                <w:b/>
                <w:bCs/>
                <w:szCs w:val="32"/>
                <w:vertAlign w:val="baseline"/>
                <w:lang w:val="en-US" w:eastAsia="zh-CN"/>
              </w:rPr>
              <w:t>判定条件</w:t>
            </w:r>
          </w:p>
        </w:tc>
        <w:tc>
          <w:tcPr>
            <w:tcW w:w="3469" w:type="dxa"/>
          </w:tcPr>
          <w:p>
            <w:pPr>
              <w:ind w:left="0" w:leftChars="0" w:firstLine="0" w:firstLineChars="0"/>
              <w:jc w:val="center"/>
              <w:rPr>
                <w:rFonts w:hint="default" w:ascii="仿宋_GB2312" w:hAnsi="仿宋"/>
                <w:b/>
                <w:bCs/>
                <w:szCs w:val="32"/>
                <w:vertAlign w:val="baseline"/>
                <w:lang w:val="en-US" w:eastAsia="zh-CN"/>
              </w:rPr>
            </w:pPr>
            <w:r>
              <w:rPr>
                <w:rFonts w:hint="eastAsia" w:ascii="仿宋_GB2312" w:hAnsi="仿宋"/>
                <w:b/>
                <w:bCs/>
                <w:szCs w:val="32"/>
                <w:vertAlign w:val="baseline"/>
                <w:lang w:val="en-US" w:eastAsia="zh-CN"/>
              </w:rPr>
              <w:t>处置措施</w:t>
            </w:r>
          </w:p>
        </w:tc>
        <w:tc>
          <w:tcPr>
            <w:tcW w:w="1538" w:type="dxa"/>
          </w:tcPr>
          <w:p>
            <w:pPr>
              <w:ind w:left="0" w:leftChars="0" w:firstLine="0" w:firstLineChars="0"/>
              <w:jc w:val="center"/>
              <w:rPr>
                <w:rFonts w:hint="default" w:ascii="仿宋_GB2312" w:hAnsi="仿宋"/>
                <w:b/>
                <w:bCs/>
                <w:szCs w:val="32"/>
                <w:vertAlign w:val="baseline"/>
                <w:lang w:val="en-US" w:eastAsia="zh-CN"/>
              </w:rPr>
            </w:pPr>
            <w:r>
              <w:rPr>
                <w:rFonts w:hint="eastAsia" w:ascii="仿宋_GB2312" w:hAnsi="仿宋"/>
                <w:b/>
                <w:bCs/>
                <w:szCs w:val="32"/>
                <w:vertAlign w:val="baseline"/>
                <w:lang w:val="en-US" w:eastAsia="zh-CN"/>
              </w:rPr>
              <w:t>风险等级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4" w:type="dxa"/>
            <w:vAlign w:val="center"/>
          </w:tcPr>
          <w:p>
            <w:pPr>
              <w:ind w:left="0" w:leftChars="0" w:firstLine="0" w:firstLineChars="0"/>
              <w:jc w:val="center"/>
              <w:rPr>
                <w:rFonts w:hint="eastAsia" w:ascii="仿宋_GB2312" w:hAnsi="仿宋"/>
                <w:szCs w:val="32"/>
                <w:vertAlign w:val="baseline"/>
                <w:lang w:val="en-US" w:eastAsia="zh-CN"/>
              </w:rPr>
            </w:pPr>
            <w:r>
              <w:rPr>
                <w:rFonts w:hint="eastAsia" w:ascii="仿宋_GB2312" w:hAnsi="仿宋"/>
                <w:szCs w:val="32"/>
                <w:vertAlign w:val="baseline"/>
                <w:lang w:val="en-US" w:eastAsia="zh-CN"/>
              </w:rPr>
              <w:t>气象</w:t>
            </w:r>
          </w:p>
          <w:p>
            <w:pPr>
              <w:ind w:left="0" w:leftChars="0" w:firstLine="0" w:firstLineChars="0"/>
              <w:jc w:val="center"/>
              <w:rPr>
                <w:rFonts w:hint="default" w:ascii="仿宋_GB2312" w:hAnsi="仿宋"/>
                <w:szCs w:val="32"/>
                <w:vertAlign w:val="baseline"/>
                <w:lang w:val="en-US" w:eastAsia="zh-CN"/>
              </w:rPr>
            </w:pPr>
            <w:r>
              <w:rPr>
                <w:rFonts w:hint="eastAsia" w:ascii="仿宋_GB2312" w:hAnsi="仿宋"/>
                <w:szCs w:val="32"/>
                <w:vertAlign w:val="baseline"/>
                <w:lang w:val="en-US" w:eastAsia="zh-CN"/>
              </w:rPr>
              <w:t>违规</w:t>
            </w:r>
          </w:p>
        </w:tc>
        <w:tc>
          <w:tcPr>
            <w:tcW w:w="2749" w:type="dxa"/>
            <w:vAlign w:val="center"/>
          </w:tcPr>
          <w:p>
            <w:pPr>
              <w:ind w:left="0" w:leftChars="0" w:firstLine="0" w:firstLineChars="0"/>
              <w:jc w:val="center"/>
              <w:rPr>
                <w:rFonts w:hint="default" w:ascii="仿宋_GB2312" w:hAnsi="仿宋"/>
                <w:szCs w:val="32"/>
                <w:vertAlign w:val="baseline"/>
                <w:lang w:val="en-US" w:eastAsia="zh-CN"/>
              </w:rPr>
            </w:pPr>
            <w:r>
              <w:rPr>
                <w:rFonts w:hint="eastAsia" w:ascii="仿宋_GB2312" w:hAnsi="仿宋"/>
                <w:szCs w:val="32"/>
                <w:vertAlign w:val="baseline"/>
                <w:lang w:val="en-US" w:eastAsia="zh-CN"/>
              </w:rPr>
              <w:t>超设计风速、打雷</w:t>
            </w:r>
          </w:p>
        </w:tc>
        <w:tc>
          <w:tcPr>
            <w:tcW w:w="3469" w:type="dxa"/>
            <w:vAlign w:val="center"/>
          </w:tcPr>
          <w:p>
            <w:pPr>
              <w:numPr>
                <w:ilvl w:val="0"/>
                <w:numId w:val="119"/>
              </w:numPr>
              <w:ind w:left="0" w:leftChars="0" w:firstLine="0" w:firstLineChars="0"/>
              <w:jc w:val="left"/>
              <w:rPr>
                <w:rFonts w:hint="eastAsia" w:ascii="仿宋_GB2312" w:hAnsi="仿宋"/>
                <w:szCs w:val="32"/>
                <w:vertAlign w:val="baseline"/>
                <w:lang w:val="en-US" w:eastAsia="zh-CN"/>
              </w:rPr>
            </w:pPr>
            <w:r>
              <w:rPr>
                <w:rFonts w:hint="eastAsia" w:ascii="仿宋_GB2312" w:hAnsi="仿宋"/>
                <w:szCs w:val="32"/>
                <w:vertAlign w:val="baseline"/>
                <w:lang w:val="en-US" w:eastAsia="zh-CN"/>
              </w:rPr>
              <w:t>向索道司机预警;</w:t>
            </w:r>
          </w:p>
          <w:p>
            <w:pPr>
              <w:numPr>
                <w:ilvl w:val="0"/>
                <w:numId w:val="119"/>
              </w:numPr>
              <w:ind w:left="0" w:leftChars="0" w:firstLine="0" w:firstLineChars="0"/>
              <w:jc w:val="left"/>
              <w:rPr>
                <w:rFonts w:hint="eastAsia" w:ascii="仿宋_GB2312" w:hAnsi="仿宋"/>
                <w:szCs w:val="32"/>
                <w:vertAlign w:val="baseline"/>
                <w:lang w:val="en-US" w:eastAsia="zh-CN"/>
              </w:rPr>
            </w:pPr>
            <w:r>
              <w:rPr>
                <w:rFonts w:hint="eastAsia" w:ascii="仿宋_GB2312" w:hAnsi="仿宋"/>
                <w:szCs w:val="32"/>
                <w:vertAlign w:val="baseline"/>
                <w:lang w:val="en-US" w:eastAsia="zh-CN"/>
              </w:rPr>
              <w:t>向安全管理人员进行预警；</w:t>
            </w:r>
          </w:p>
          <w:p>
            <w:pPr>
              <w:numPr>
                <w:ilvl w:val="0"/>
                <w:numId w:val="119"/>
              </w:numPr>
              <w:ind w:left="0" w:leftChars="0" w:firstLine="0" w:firstLineChars="0"/>
              <w:jc w:val="left"/>
              <w:rPr>
                <w:rFonts w:hint="eastAsia" w:ascii="仿宋_GB2312" w:hAnsi="仿宋"/>
                <w:szCs w:val="32"/>
                <w:vertAlign w:val="baseline"/>
                <w:lang w:val="en-US" w:eastAsia="zh-CN"/>
              </w:rPr>
            </w:pPr>
            <w:r>
              <w:rPr>
                <w:rFonts w:hint="eastAsia" w:ascii="仿宋_GB2312" w:hAnsi="仿宋"/>
                <w:szCs w:val="32"/>
                <w:vertAlign w:val="baseline"/>
                <w:lang w:val="en-US" w:eastAsia="zh-CN"/>
              </w:rPr>
              <w:t>一个月累计违规作业3次,向监察人员进行报警。</w:t>
            </w:r>
          </w:p>
        </w:tc>
        <w:tc>
          <w:tcPr>
            <w:tcW w:w="1538" w:type="dxa"/>
            <w:vAlign w:val="center"/>
          </w:tcPr>
          <w:p>
            <w:pPr>
              <w:ind w:left="0" w:leftChars="0" w:firstLine="0" w:firstLineChars="0"/>
              <w:jc w:val="center"/>
              <w:rPr>
                <w:rFonts w:hint="default" w:ascii="仿宋_GB2312" w:hAnsi="仿宋"/>
                <w:szCs w:val="32"/>
                <w:vertAlign w:val="baseline"/>
                <w:lang w:val="en-US" w:eastAsia="zh-CN"/>
              </w:rPr>
            </w:pPr>
            <w:r>
              <w:rPr>
                <w:rFonts w:hint="eastAsia" w:ascii="仿宋_GB2312" w:hAnsi="仿宋"/>
                <w:szCs w:val="32"/>
                <w:vertAlign w:val="baseline"/>
                <w:lang w:val="en-US" w:eastAsia="zh-CN"/>
              </w:rPr>
              <w:t>高风险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4" w:type="dxa"/>
            <w:vMerge w:val="restart"/>
            <w:vAlign w:val="center"/>
          </w:tcPr>
          <w:p>
            <w:pPr>
              <w:ind w:left="0" w:leftChars="0" w:firstLine="0" w:firstLineChars="0"/>
              <w:jc w:val="center"/>
              <w:rPr>
                <w:rFonts w:hint="eastAsia" w:ascii="仿宋_GB2312" w:hAnsi="仿宋"/>
                <w:szCs w:val="32"/>
                <w:vertAlign w:val="baseline"/>
                <w:lang w:val="en-US" w:eastAsia="zh-CN"/>
              </w:rPr>
            </w:pPr>
            <w:r>
              <w:rPr>
                <w:rFonts w:hint="eastAsia" w:ascii="仿宋_GB2312" w:hAnsi="仿宋"/>
                <w:szCs w:val="32"/>
                <w:vertAlign w:val="baseline"/>
                <w:lang w:val="en-US" w:eastAsia="zh-CN"/>
              </w:rPr>
              <w:t>运行</w:t>
            </w:r>
          </w:p>
          <w:p>
            <w:pPr>
              <w:ind w:left="0" w:leftChars="0" w:firstLine="0" w:firstLineChars="0"/>
              <w:jc w:val="center"/>
              <w:rPr>
                <w:rFonts w:hint="default" w:ascii="仿宋_GB2312" w:hAnsi="仿宋"/>
                <w:szCs w:val="32"/>
                <w:vertAlign w:val="baseline"/>
                <w:lang w:val="en-US" w:eastAsia="zh-CN"/>
              </w:rPr>
            </w:pPr>
            <w:r>
              <w:rPr>
                <w:rFonts w:hint="eastAsia" w:ascii="仿宋_GB2312" w:hAnsi="仿宋"/>
                <w:szCs w:val="32"/>
                <w:vertAlign w:val="baseline"/>
                <w:lang w:val="en-US" w:eastAsia="zh-CN"/>
              </w:rPr>
              <w:t>异常</w:t>
            </w:r>
          </w:p>
        </w:tc>
        <w:tc>
          <w:tcPr>
            <w:tcW w:w="2749" w:type="dxa"/>
            <w:vAlign w:val="center"/>
          </w:tcPr>
          <w:p>
            <w:pPr>
              <w:ind w:left="0" w:leftChars="0" w:firstLine="0" w:firstLineChars="0"/>
              <w:jc w:val="center"/>
              <w:rPr>
                <w:rFonts w:hint="default" w:ascii="仿宋_GB2312" w:hAnsi="仿宋"/>
                <w:szCs w:val="32"/>
                <w:vertAlign w:val="baseline"/>
                <w:lang w:val="en-US" w:eastAsia="zh-CN"/>
              </w:rPr>
            </w:pPr>
            <w:r>
              <w:rPr>
                <w:rFonts w:hint="eastAsia" w:ascii="仿宋_GB2312" w:hAnsi="仿宋"/>
                <w:szCs w:val="32"/>
                <w:vertAlign w:val="baseline"/>
                <w:lang w:val="en-US" w:eastAsia="zh-CN"/>
              </w:rPr>
              <w:t>主电机三相运行电流大于额定电流</w:t>
            </w:r>
          </w:p>
        </w:tc>
        <w:tc>
          <w:tcPr>
            <w:tcW w:w="3469" w:type="dxa"/>
            <w:vAlign w:val="center"/>
          </w:tcPr>
          <w:p>
            <w:pPr>
              <w:numPr>
                <w:ilvl w:val="0"/>
                <w:numId w:val="0"/>
              </w:numPr>
              <w:ind w:leftChars="0"/>
              <w:jc w:val="left"/>
              <w:rPr>
                <w:rFonts w:hint="eastAsia" w:ascii="仿宋_GB2312" w:hAnsi="仿宋"/>
                <w:szCs w:val="32"/>
                <w:vertAlign w:val="baseline"/>
                <w:lang w:val="en-US" w:eastAsia="zh-CN"/>
              </w:rPr>
            </w:pPr>
            <w:r>
              <w:rPr>
                <w:rFonts w:hint="eastAsia" w:ascii="仿宋_GB2312" w:hAnsi="仿宋"/>
                <w:szCs w:val="32"/>
                <w:vertAlign w:val="baseline"/>
                <w:lang w:val="en-US" w:eastAsia="zh-CN"/>
              </w:rPr>
              <w:t>1.向安全管理人员进行预警；</w:t>
            </w:r>
          </w:p>
          <w:p>
            <w:pPr>
              <w:ind w:left="0" w:leftChars="0" w:firstLine="0" w:firstLineChars="0"/>
              <w:jc w:val="left"/>
              <w:rPr>
                <w:rFonts w:hint="eastAsia" w:ascii="仿宋_GB2312" w:hAnsi="仿宋"/>
                <w:szCs w:val="32"/>
                <w:vertAlign w:val="baseline"/>
                <w:lang w:val="en-US" w:eastAsia="zh-CN"/>
              </w:rPr>
            </w:pPr>
            <w:r>
              <w:rPr>
                <w:rFonts w:hint="eastAsia" w:ascii="仿宋_GB2312" w:hAnsi="仿宋"/>
                <w:szCs w:val="32"/>
                <w:vertAlign w:val="baseline"/>
                <w:lang w:val="en-US" w:eastAsia="zh-CN"/>
              </w:rPr>
              <w:t>2.一个月累计违规作业3次,向监察人员进行报警。</w:t>
            </w:r>
          </w:p>
        </w:tc>
        <w:tc>
          <w:tcPr>
            <w:tcW w:w="1538" w:type="dxa"/>
            <w:vAlign w:val="center"/>
          </w:tcPr>
          <w:p>
            <w:pPr>
              <w:ind w:left="0" w:leftChars="0" w:firstLine="0" w:firstLineChars="0"/>
              <w:jc w:val="center"/>
              <w:rPr>
                <w:rFonts w:hint="default" w:ascii="仿宋_GB2312" w:hAnsi="仿宋"/>
                <w:szCs w:val="32"/>
                <w:vertAlign w:val="baseline"/>
                <w:lang w:val="en-US" w:eastAsia="zh-CN"/>
              </w:rPr>
            </w:pPr>
            <w:r>
              <w:rPr>
                <w:rFonts w:hint="eastAsia" w:ascii="仿宋_GB2312" w:hAnsi="仿宋"/>
                <w:szCs w:val="32"/>
                <w:vertAlign w:val="baseline"/>
                <w:lang w:val="en-US" w:eastAsia="zh-CN"/>
              </w:rPr>
              <w:t>高风险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4" w:type="dxa"/>
            <w:vMerge w:val="continue"/>
            <w:vAlign w:val="center"/>
          </w:tcPr>
          <w:p>
            <w:pPr>
              <w:ind w:left="0" w:leftChars="0" w:firstLine="0" w:firstLineChars="0"/>
              <w:jc w:val="center"/>
              <w:rPr>
                <w:rFonts w:hint="eastAsia" w:ascii="仿宋_GB2312" w:hAnsi="仿宋"/>
                <w:szCs w:val="32"/>
                <w:vertAlign w:val="baseline"/>
                <w:lang w:val="en-US" w:eastAsia="zh-CN"/>
              </w:rPr>
            </w:pPr>
          </w:p>
        </w:tc>
        <w:tc>
          <w:tcPr>
            <w:tcW w:w="2749" w:type="dxa"/>
            <w:vAlign w:val="center"/>
          </w:tcPr>
          <w:p>
            <w:pPr>
              <w:ind w:left="0" w:leftChars="0" w:firstLine="0" w:firstLineChars="0"/>
              <w:jc w:val="center"/>
              <w:rPr>
                <w:rFonts w:hint="default" w:ascii="仿宋_GB2312" w:hAnsi="仿宋"/>
                <w:szCs w:val="32"/>
                <w:vertAlign w:val="baseline"/>
                <w:lang w:val="en-US" w:eastAsia="zh-CN"/>
              </w:rPr>
            </w:pPr>
            <w:r>
              <w:rPr>
                <w:rFonts w:hint="eastAsia" w:ascii="仿宋_GB2312" w:hAnsi="仿宋"/>
                <w:szCs w:val="32"/>
                <w:vertAlign w:val="baseline"/>
                <w:lang w:val="en-US" w:eastAsia="zh-CN"/>
              </w:rPr>
              <w:t>主电机电压三相运行电压超过380±10%范围</w:t>
            </w:r>
          </w:p>
        </w:tc>
        <w:tc>
          <w:tcPr>
            <w:tcW w:w="3469" w:type="dxa"/>
            <w:vAlign w:val="center"/>
          </w:tcPr>
          <w:p>
            <w:pPr>
              <w:numPr>
                <w:ilvl w:val="0"/>
                <w:numId w:val="0"/>
              </w:numPr>
              <w:ind w:leftChars="0"/>
              <w:jc w:val="left"/>
              <w:rPr>
                <w:rFonts w:hint="eastAsia" w:ascii="仿宋_GB2312" w:hAnsi="仿宋"/>
                <w:szCs w:val="32"/>
                <w:vertAlign w:val="baseline"/>
                <w:lang w:val="en-US" w:eastAsia="zh-CN"/>
              </w:rPr>
            </w:pPr>
            <w:r>
              <w:rPr>
                <w:rFonts w:hint="eastAsia" w:ascii="仿宋_GB2312" w:hAnsi="仿宋"/>
                <w:szCs w:val="32"/>
                <w:vertAlign w:val="baseline"/>
                <w:lang w:val="en-US" w:eastAsia="zh-CN"/>
              </w:rPr>
              <w:t>1.向安全管理人员进行预警；</w:t>
            </w:r>
          </w:p>
          <w:p>
            <w:pPr>
              <w:ind w:left="0" w:leftChars="0" w:firstLine="0" w:firstLineChars="0"/>
              <w:jc w:val="center"/>
              <w:rPr>
                <w:rFonts w:hint="eastAsia" w:ascii="仿宋_GB2312" w:hAnsi="仿宋"/>
                <w:szCs w:val="32"/>
                <w:vertAlign w:val="baseline"/>
                <w:lang w:val="en-US" w:eastAsia="zh-CN"/>
              </w:rPr>
            </w:pPr>
            <w:r>
              <w:rPr>
                <w:rFonts w:hint="eastAsia" w:ascii="仿宋_GB2312" w:hAnsi="仿宋"/>
                <w:szCs w:val="32"/>
                <w:vertAlign w:val="baseline"/>
                <w:lang w:val="en-US" w:eastAsia="zh-CN"/>
              </w:rPr>
              <w:t>2.一个月累计违规作业3次,向监察人员进行报警。</w:t>
            </w:r>
          </w:p>
        </w:tc>
        <w:tc>
          <w:tcPr>
            <w:tcW w:w="1538" w:type="dxa"/>
            <w:vAlign w:val="center"/>
          </w:tcPr>
          <w:p>
            <w:pPr>
              <w:ind w:left="0" w:leftChars="0" w:firstLine="0" w:firstLineChars="0"/>
              <w:jc w:val="center"/>
              <w:rPr>
                <w:rFonts w:hint="default" w:ascii="仿宋_GB2312" w:hAnsi="仿宋"/>
                <w:szCs w:val="32"/>
                <w:vertAlign w:val="baseline"/>
                <w:lang w:val="en-US" w:eastAsia="zh-CN"/>
              </w:rPr>
            </w:pPr>
            <w:r>
              <w:rPr>
                <w:rFonts w:hint="eastAsia" w:ascii="仿宋_GB2312" w:hAnsi="仿宋"/>
                <w:szCs w:val="32"/>
                <w:vertAlign w:val="baseline"/>
                <w:lang w:val="en-US" w:eastAsia="zh-CN"/>
              </w:rPr>
              <w:t>中风险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4" w:type="dxa"/>
            <w:vAlign w:val="center"/>
          </w:tcPr>
          <w:p>
            <w:pPr>
              <w:ind w:left="0" w:leftChars="0" w:firstLine="0" w:firstLineChars="0"/>
              <w:jc w:val="center"/>
              <w:rPr>
                <w:rFonts w:hint="eastAsia" w:ascii="仿宋_GB2312" w:hAnsi="仿宋"/>
                <w:szCs w:val="32"/>
                <w:vertAlign w:val="baseline"/>
                <w:lang w:val="en-US" w:eastAsia="zh-CN"/>
              </w:rPr>
            </w:pPr>
            <w:r>
              <w:rPr>
                <w:rFonts w:hint="eastAsia" w:ascii="仿宋_GB2312" w:hAnsi="仿宋"/>
                <w:szCs w:val="32"/>
                <w:vertAlign w:val="baseline"/>
                <w:lang w:val="en-US" w:eastAsia="zh-CN"/>
              </w:rPr>
              <w:t>持证</w:t>
            </w:r>
          </w:p>
          <w:p>
            <w:pPr>
              <w:ind w:left="0" w:leftChars="0" w:firstLine="0" w:firstLineChars="0"/>
              <w:jc w:val="center"/>
              <w:rPr>
                <w:rFonts w:hint="default" w:ascii="仿宋_GB2312" w:hAnsi="仿宋"/>
                <w:szCs w:val="32"/>
                <w:vertAlign w:val="baseline"/>
                <w:lang w:val="en-US" w:eastAsia="zh-CN"/>
              </w:rPr>
            </w:pPr>
            <w:r>
              <w:rPr>
                <w:rFonts w:hint="eastAsia" w:ascii="仿宋_GB2312" w:hAnsi="仿宋"/>
                <w:szCs w:val="32"/>
                <w:vertAlign w:val="baseline"/>
                <w:lang w:val="en-US" w:eastAsia="zh-CN"/>
              </w:rPr>
              <w:t>违规</w:t>
            </w:r>
          </w:p>
        </w:tc>
        <w:tc>
          <w:tcPr>
            <w:tcW w:w="2749" w:type="dxa"/>
            <w:vAlign w:val="center"/>
          </w:tcPr>
          <w:p>
            <w:pPr>
              <w:ind w:left="0" w:leftChars="0" w:firstLine="0" w:firstLineChars="0"/>
              <w:jc w:val="center"/>
              <w:rPr>
                <w:rFonts w:hint="default" w:ascii="仿宋_GB2312" w:hAnsi="仿宋"/>
                <w:szCs w:val="32"/>
                <w:vertAlign w:val="baseline"/>
                <w:lang w:val="en-US" w:eastAsia="zh-CN"/>
              </w:rPr>
            </w:pPr>
            <w:r>
              <w:rPr>
                <w:rFonts w:hint="eastAsia" w:ascii="仿宋_GB2312" w:hAnsi="仿宋"/>
                <w:szCs w:val="32"/>
                <w:vertAlign w:val="baseline"/>
                <w:lang w:val="en-US" w:eastAsia="zh-CN"/>
              </w:rPr>
              <w:t>设备处于运行状态，持证司机数量为0</w:t>
            </w:r>
          </w:p>
        </w:tc>
        <w:tc>
          <w:tcPr>
            <w:tcW w:w="3469" w:type="dxa"/>
            <w:vAlign w:val="center"/>
          </w:tcPr>
          <w:p>
            <w:pPr>
              <w:numPr>
                <w:ilvl w:val="0"/>
                <w:numId w:val="0"/>
              </w:numPr>
              <w:ind w:leftChars="0"/>
              <w:jc w:val="left"/>
              <w:rPr>
                <w:rFonts w:hint="eastAsia" w:ascii="仿宋_GB2312" w:hAnsi="仿宋"/>
                <w:szCs w:val="32"/>
                <w:vertAlign w:val="baseline"/>
                <w:lang w:val="en-US" w:eastAsia="zh-CN"/>
              </w:rPr>
            </w:pPr>
            <w:r>
              <w:rPr>
                <w:rFonts w:hint="eastAsia" w:ascii="仿宋_GB2312" w:hAnsi="仿宋"/>
                <w:szCs w:val="32"/>
                <w:vertAlign w:val="baseline"/>
                <w:lang w:val="en-US" w:eastAsia="zh-CN"/>
              </w:rPr>
              <w:t>1.向安全管理人员进行预警；</w:t>
            </w:r>
          </w:p>
          <w:p>
            <w:pPr>
              <w:ind w:left="0" w:leftChars="0" w:firstLine="0" w:firstLineChars="0"/>
              <w:jc w:val="center"/>
              <w:rPr>
                <w:rFonts w:hint="eastAsia" w:ascii="仿宋_GB2312" w:hAnsi="仿宋"/>
                <w:szCs w:val="32"/>
                <w:vertAlign w:val="baseline"/>
                <w:lang w:val="en-US" w:eastAsia="zh-CN"/>
              </w:rPr>
            </w:pPr>
            <w:r>
              <w:rPr>
                <w:rFonts w:hint="eastAsia" w:ascii="仿宋_GB2312" w:hAnsi="仿宋"/>
                <w:szCs w:val="32"/>
                <w:vertAlign w:val="baseline"/>
                <w:lang w:val="en-US" w:eastAsia="zh-CN"/>
              </w:rPr>
              <w:t>2.一个月累计违规作业3次,向监察人员进行报警。</w:t>
            </w:r>
          </w:p>
        </w:tc>
        <w:tc>
          <w:tcPr>
            <w:tcW w:w="1538" w:type="dxa"/>
            <w:vAlign w:val="center"/>
          </w:tcPr>
          <w:p>
            <w:pPr>
              <w:ind w:left="0" w:leftChars="0" w:firstLine="0" w:firstLineChars="0"/>
              <w:jc w:val="center"/>
              <w:rPr>
                <w:rFonts w:hint="default" w:ascii="仿宋_GB2312" w:hAnsi="仿宋"/>
                <w:szCs w:val="32"/>
                <w:vertAlign w:val="baseline"/>
                <w:lang w:val="en-US" w:eastAsia="zh-CN"/>
              </w:rPr>
            </w:pPr>
            <w:r>
              <w:rPr>
                <w:rFonts w:hint="eastAsia" w:ascii="仿宋_GB2312" w:hAnsi="仿宋"/>
                <w:szCs w:val="32"/>
                <w:vertAlign w:val="baseline"/>
                <w:lang w:val="en-US" w:eastAsia="zh-CN"/>
              </w:rPr>
              <w:t>高风险</w:t>
            </w:r>
          </w:p>
        </w:tc>
      </w:tr>
    </w:tbl>
    <w:p>
      <w:pPr>
        <w:numPr>
          <w:ilvl w:val="0"/>
          <w:numId w:val="0"/>
        </w:numPr>
        <w:jc w:val="left"/>
        <w:rPr>
          <w:rFonts w:ascii="仿宋_GB2312" w:hAnsi="仿宋"/>
          <w:szCs w:val="32"/>
        </w:rPr>
      </w:pPr>
    </w:p>
    <w:p>
      <w:pPr>
        <w:pStyle w:val="7"/>
        <w:numPr>
          <w:ilvl w:val="0"/>
          <w:numId w:val="80"/>
        </w:numPr>
        <w:ind w:firstLine="643"/>
      </w:pPr>
      <w:r>
        <w:rPr>
          <w:rFonts w:hint="eastAsia"/>
        </w:rPr>
        <w:t>信息查询流程</w:t>
      </w:r>
    </w:p>
    <w:p>
      <w:pPr>
        <w:ind w:firstLine="640"/>
        <w:jc w:val="left"/>
        <w:rPr>
          <w:rFonts w:ascii="仿宋_GB2312" w:hAnsi="仿宋"/>
          <w:szCs w:val="32"/>
        </w:rPr>
      </w:pPr>
      <w:r>
        <w:rPr>
          <w:rFonts w:hint="eastAsia" w:ascii="仿宋_GB2312" w:hAnsi="仿宋"/>
          <w:szCs w:val="32"/>
        </w:rPr>
        <w:t>通过微信扫一扫，乘客可以查询客运索道健康码。选择感兴趣的信息内容，也可以查询具体信息，或通过“健康码”进行救援。</w:t>
      </w:r>
    </w:p>
    <w:p>
      <w:pPr>
        <w:pStyle w:val="6"/>
        <w:numPr>
          <w:ilvl w:val="0"/>
          <w:numId w:val="114"/>
        </w:numPr>
        <w:ind w:left="0" w:firstLine="640"/>
        <w:rPr>
          <w:rFonts w:ascii="仿宋_GB2312"/>
          <w:szCs w:val="32"/>
        </w:rPr>
      </w:pPr>
      <w:r>
        <w:rPr>
          <w:rFonts w:hint="eastAsia" w:ascii="仿宋_GB2312"/>
          <w:szCs w:val="32"/>
        </w:rPr>
        <w:t>责任划分</w:t>
      </w:r>
    </w:p>
    <w:p>
      <w:pPr>
        <w:ind w:firstLine="640"/>
        <w:jc w:val="left"/>
        <w:rPr>
          <w:rFonts w:ascii="仿宋_GB2312" w:hAnsi="仿宋"/>
          <w:szCs w:val="32"/>
        </w:rPr>
      </w:pPr>
      <w:r>
        <w:rPr>
          <w:rFonts w:hint="eastAsia" w:ascii="仿宋_GB2312"/>
          <w:bCs/>
          <w:szCs w:val="32"/>
        </w:rPr>
        <w:t>省</w:t>
      </w:r>
      <w:r>
        <w:rPr>
          <w:rFonts w:hint="eastAsia" w:ascii="仿宋_GB2312" w:hAnsi="仿宋"/>
          <w:szCs w:val="32"/>
        </w:rPr>
        <w:t>局统一建设客运索道智控系统，负责组织开发相关相对应软件系统，协调数据接入。</w:t>
      </w:r>
    </w:p>
    <w:p>
      <w:pPr>
        <w:ind w:firstLine="640"/>
        <w:jc w:val="left"/>
        <w:rPr>
          <w:rFonts w:ascii="仿宋_GB2312" w:hAnsi="仿宋"/>
          <w:szCs w:val="32"/>
        </w:rPr>
      </w:pPr>
      <w:r>
        <w:rPr>
          <w:rFonts w:hint="eastAsia" w:ascii="仿宋_GB2312" w:hAnsi="仿宋"/>
          <w:szCs w:val="32"/>
        </w:rPr>
        <w:t>各市局做好自己地区客运索道物联网数据接入工作，督促安装物联智控装置的客运索道将数据按照要求传输至信息系统，打击私自拆除、停用物联智控装置，做好风险处置闭环工作。</w:t>
      </w:r>
    </w:p>
    <w:p>
      <w:pPr>
        <w:ind w:firstLine="640"/>
        <w:jc w:val="left"/>
        <w:rPr>
          <w:rFonts w:ascii="仿宋_GB2312" w:hAnsi="仿宋"/>
          <w:szCs w:val="32"/>
        </w:rPr>
      </w:pPr>
      <w:r>
        <w:rPr>
          <w:rFonts w:hint="eastAsia" w:ascii="仿宋_GB2312" w:hAnsi="仿宋"/>
          <w:szCs w:val="32"/>
        </w:rPr>
        <w:t>各客运索道使用单位，安装浙里办应用，时刻关注推送信息，做好相应的救援、应急准备等工作。</w:t>
      </w:r>
    </w:p>
    <w:p>
      <w:pPr>
        <w:ind w:firstLine="640"/>
        <w:jc w:val="left"/>
        <w:rPr>
          <w:rFonts w:ascii="仿宋_GB2312" w:hAnsi="仿宋"/>
          <w:szCs w:val="32"/>
        </w:rPr>
      </w:pPr>
      <w:r>
        <w:rPr>
          <w:rFonts w:hint="eastAsia" w:ascii="仿宋_GB2312" w:hAnsi="仿宋"/>
          <w:szCs w:val="32"/>
        </w:rPr>
        <w:t>物联网监测系统不增加现场作业人员工作量，采用少维护或免维护形式。不干涉设备运行，不降低客运索道安全性，监测传感器、取电模板及信号输出均应独立于设备控制系统，取电模块及信号电缆均采用屏蔽线，屏蔽层和本系统的接地相连，</w:t>
      </w:r>
      <w:r>
        <w:rPr>
          <w:rFonts w:hint="eastAsia"/>
          <w:szCs w:val="32"/>
        </w:rPr>
        <w:t>EMI</w:t>
      </w:r>
      <w:r>
        <w:rPr>
          <w:rFonts w:hint="eastAsia" w:ascii="仿宋_GB2312" w:hAnsi="仿宋"/>
          <w:szCs w:val="32"/>
        </w:rPr>
        <w:t>指标符合国家标准要求。</w:t>
      </w:r>
    </w:p>
    <w:p>
      <w:pPr>
        <w:ind w:firstLine="640"/>
        <w:jc w:val="left"/>
        <w:rPr>
          <w:rFonts w:ascii="仿宋_GB2312" w:hAnsi="仿宋"/>
          <w:szCs w:val="32"/>
        </w:rPr>
      </w:pPr>
      <w:r>
        <w:rPr>
          <w:rFonts w:hint="eastAsia" w:ascii="仿宋_GB2312" w:hAnsi="仿宋"/>
          <w:szCs w:val="32"/>
        </w:rPr>
        <w:t>物联网监测系统应取得计划安装的客运索道设计单位、制造单位、使用单位同意，并通过设计安全评估后投入调试运行。</w:t>
      </w:r>
    </w:p>
    <w:p>
      <w:pPr>
        <w:pStyle w:val="5"/>
        <w:numPr>
          <w:ilvl w:val="3"/>
          <w:numId w:val="112"/>
        </w:numPr>
        <w:ind w:left="0" w:firstLine="643"/>
        <w:rPr>
          <w:rFonts w:ascii="仿宋_GB2312"/>
          <w:szCs w:val="32"/>
        </w:rPr>
      </w:pPr>
      <w:bookmarkStart w:id="139" w:name="_Toc19091"/>
      <w:bookmarkStart w:id="140" w:name="_Toc13021"/>
      <w:r>
        <w:rPr>
          <w:rFonts w:hint="eastAsia" w:ascii="仿宋_GB2312"/>
          <w:szCs w:val="32"/>
        </w:rPr>
        <w:t>整合数据资源</w:t>
      </w:r>
      <w:bookmarkEnd w:id="139"/>
      <w:bookmarkEnd w:id="140"/>
    </w:p>
    <w:p>
      <w:pPr>
        <w:pStyle w:val="6"/>
        <w:numPr>
          <w:ilvl w:val="0"/>
          <w:numId w:val="120"/>
        </w:numPr>
        <w:ind w:left="0" w:firstLine="640"/>
        <w:rPr>
          <w:rFonts w:ascii="仿宋_GB2312"/>
          <w:szCs w:val="32"/>
        </w:rPr>
      </w:pPr>
      <w:r>
        <w:rPr>
          <w:rFonts w:hint="eastAsia" w:ascii="仿宋_GB2312"/>
          <w:szCs w:val="32"/>
        </w:rPr>
        <w:t>对接局内系统情况</w:t>
      </w:r>
    </w:p>
    <w:p>
      <w:pPr>
        <w:ind w:firstLine="640"/>
        <w:jc w:val="left"/>
        <w:rPr>
          <w:rFonts w:ascii="仿宋_GB2312" w:hAnsi="仿宋"/>
          <w:szCs w:val="32"/>
        </w:rPr>
      </w:pPr>
      <w:r>
        <w:rPr>
          <w:rFonts w:hint="eastAsia" w:ascii="仿宋_GB2312" w:hAnsi="仿宋"/>
          <w:szCs w:val="32"/>
        </w:rPr>
        <w:t>行政执法平台，接口形式对接。</w:t>
      </w:r>
    </w:p>
    <w:p>
      <w:pPr>
        <w:pStyle w:val="6"/>
        <w:numPr>
          <w:ilvl w:val="0"/>
          <w:numId w:val="120"/>
        </w:numPr>
        <w:ind w:left="0" w:firstLine="640"/>
        <w:rPr>
          <w:rFonts w:ascii="仿宋_GB2312"/>
          <w:szCs w:val="32"/>
        </w:rPr>
      </w:pPr>
      <w:r>
        <w:rPr>
          <w:rFonts w:hint="eastAsia" w:ascii="仿宋_GB2312"/>
          <w:szCs w:val="32"/>
        </w:rPr>
        <w:t>其他部门系统情况</w:t>
      </w:r>
    </w:p>
    <w:p>
      <w:pPr>
        <w:numPr>
          <w:ilvl w:val="0"/>
          <w:numId w:val="121"/>
        </w:numPr>
        <w:ind w:left="0" w:firstLine="640"/>
        <w:jc w:val="left"/>
        <w:rPr>
          <w:rFonts w:ascii="仿宋_GB2312" w:hAnsi="仿宋"/>
          <w:szCs w:val="32"/>
        </w:rPr>
      </w:pPr>
      <w:r>
        <w:rPr>
          <w:rFonts w:hint="eastAsia" w:ascii="仿宋_GB2312" w:hAnsi="仿宋"/>
          <w:szCs w:val="32"/>
        </w:rPr>
        <w:t>气象预告系统，接口形式对接。</w:t>
      </w:r>
    </w:p>
    <w:p>
      <w:pPr>
        <w:numPr>
          <w:ilvl w:val="0"/>
          <w:numId w:val="121"/>
        </w:numPr>
        <w:ind w:left="0" w:firstLine="640"/>
        <w:jc w:val="left"/>
        <w:rPr>
          <w:szCs w:val="32"/>
        </w:rPr>
      </w:pPr>
      <w:r>
        <w:rPr>
          <w:rFonts w:hint="eastAsia" w:ascii="仿宋_GB2312" w:hAnsi="仿宋"/>
          <w:szCs w:val="32"/>
        </w:rPr>
        <w:t>电力信息发布系统，接口形式对接。</w:t>
      </w:r>
    </w:p>
    <w:p>
      <w:pPr>
        <w:pStyle w:val="4"/>
        <w:numPr>
          <w:ilvl w:val="2"/>
          <w:numId w:val="59"/>
        </w:numPr>
        <w:spacing w:before="0" w:after="0" w:line="580" w:lineRule="exact"/>
        <w:ind w:left="0" w:firstLine="640"/>
        <w:rPr>
          <w:rFonts w:ascii="楷体_GB2312" w:eastAsia="楷体_GB2312"/>
        </w:rPr>
      </w:pPr>
      <w:bookmarkStart w:id="141" w:name="_Toc17625"/>
      <w:bookmarkStart w:id="142" w:name="_Toc30848"/>
      <w:r>
        <w:rPr>
          <w:rFonts w:hint="eastAsia" w:ascii="楷体_GB2312" w:eastAsia="楷体_GB2312"/>
        </w:rPr>
        <w:t>大型游乐设施智控应用场景</w:t>
      </w:r>
      <w:bookmarkEnd w:id="141"/>
      <w:bookmarkEnd w:id="142"/>
    </w:p>
    <w:p>
      <w:pPr>
        <w:pStyle w:val="5"/>
        <w:numPr>
          <w:ilvl w:val="3"/>
          <w:numId w:val="122"/>
        </w:numPr>
        <w:ind w:left="0" w:firstLine="643"/>
        <w:rPr>
          <w:rFonts w:ascii="仿宋_GB2312"/>
          <w:szCs w:val="32"/>
        </w:rPr>
      </w:pPr>
      <w:bookmarkStart w:id="143" w:name="_Toc2798"/>
      <w:bookmarkStart w:id="144" w:name="_Toc8002"/>
      <w:r>
        <w:rPr>
          <w:rFonts w:hint="eastAsia" w:ascii="仿宋_GB2312"/>
          <w:szCs w:val="32"/>
        </w:rPr>
        <w:t>功能描述</w:t>
      </w:r>
      <w:bookmarkEnd w:id="143"/>
      <w:bookmarkEnd w:id="144"/>
    </w:p>
    <w:p>
      <w:pPr>
        <w:ind w:firstLine="640"/>
        <w:rPr>
          <w:rFonts w:ascii="仿宋_GB2312" w:hAnsi="仿宋" w:cs="Times New Roman"/>
          <w:sz w:val="28"/>
          <w:szCs w:val="28"/>
        </w:rPr>
      </w:pPr>
      <w:r>
        <w:rPr>
          <w:rFonts w:hint="eastAsia" w:ascii="仿宋_GB2312" w:hAnsi="仿宋" w:cs="Times New Roman"/>
          <w:szCs w:val="32"/>
        </w:rPr>
        <w:t>运用物联网、人工智能、大数据等现代信息技术，及时掌握大型游乐设施运行环境、运行状态等安全运行数据，推进大型游乐设施风险预警工作，不断提升大型游乐设施使用安全风险预警、应急处置与应急救援能力水平，持续提高大型游乐设施安全使用性能，有效指导并督促使用单位切实落实安全主体责任。</w:t>
      </w:r>
    </w:p>
    <w:p>
      <w:pPr>
        <w:pStyle w:val="5"/>
        <w:numPr>
          <w:ilvl w:val="3"/>
          <w:numId w:val="122"/>
        </w:numPr>
        <w:ind w:left="0" w:firstLine="643"/>
        <w:rPr>
          <w:rFonts w:ascii="仿宋_GB2312"/>
          <w:szCs w:val="32"/>
        </w:rPr>
      </w:pPr>
      <w:bookmarkStart w:id="145" w:name="_Toc5037"/>
      <w:bookmarkStart w:id="146" w:name="_Toc19496"/>
      <w:r>
        <w:rPr>
          <w:rFonts w:hint="eastAsia" w:ascii="仿宋_GB2312"/>
          <w:szCs w:val="32"/>
        </w:rPr>
        <w:t>业务内容</w:t>
      </w:r>
      <w:bookmarkEnd w:id="145"/>
      <w:bookmarkEnd w:id="146"/>
    </w:p>
    <w:p>
      <w:pPr>
        <w:pStyle w:val="6"/>
        <w:numPr>
          <w:ilvl w:val="0"/>
          <w:numId w:val="123"/>
        </w:numPr>
        <w:ind w:left="0" w:firstLine="640"/>
        <w:rPr>
          <w:rFonts w:ascii="仿宋_GB2312"/>
          <w:szCs w:val="32"/>
        </w:rPr>
      </w:pPr>
      <w:r>
        <w:rPr>
          <w:rFonts w:hint="eastAsia" w:ascii="仿宋_GB2312"/>
          <w:szCs w:val="32"/>
        </w:rPr>
        <w:t>风险预警</w:t>
      </w:r>
    </w:p>
    <w:p>
      <w:pPr>
        <w:ind w:firstLine="640"/>
        <w:rPr>
          <w:rFonts w:ascii="仿宋_GB2312" w:hAnsi="仿宋" w:cs="Times New Roman"/>
          <w:szCs w:val="32"/>
        </w:rPr>
      </w:pPr>
      <w:r>
        <w:rPr>
          <w:rFonts w:hint="eastAsia" w:ascii="仿宋_GB2312" w:hAnsi="仿宋" w:cs="Times New Roman"/>
          <w:szCs w:val="32"/>
        </w:rPr>
        <w:t>运用信息技术，及时掌握大型游乐设施当地气象数据。运用物联网与传感器技术，采集大型游乐设施运行状况数据，对违规作业的信息进行记录并发送预警信息给设备管理人员及监察人员。</w:t>
      </w:r>
    </w:p>
    <w:p>
      <w:pPr>
        <w:pStyle w:val="7"/>
        <w:numPr>
          <w:ilvl w:val="0"/>
          <w:numId w:val="124"/>
        </w:numPr>
        <w:ind w:firstLine="643"/>
      </w:pPr>
      <w:r>
        <w:rPr>
          <w:rFonts w:hint="eastAsia"/>
          <w:lang w:val="en-US" w:eastAsia="zh-CN"/>
        </w:rPr>
        <w:t>气象违规</w:t>
      </w:r>
      <w:r>
        <w:rPr>
          <w:rFonts w:hint="eastAsia"/>
        </w:rPr>
        <w:t>智能预警</w:t>
      </w:r>
    </w:p>
    <w:p>
      <w:pPr>
        <w:tabs>
          <w:tab w:val="left" w:pos="312"/>
        </w:tabs>
        <w:ind w:firstLine="640"/>
        <w:rPr>
          <w:rFonts w:ascii="仿宋_GB2312" w:hAnsi="仿宋" w:cs="Times New Roman"/>
          <w:szCs w:val="32"/>
        </w:rPr>
      </w:pPr>
      <w:r>
        <w:rPr>
          <w:rFonts w:hint="eastAsia" w:ascii="仿宋_GB2312" w:hAnsi="仿宋" w:cs="Times New Roman"/>
          <w:szCs w:val="32"/>
        </w:rPr>
        <w:t>采集大型游乐设施地区气象数据，用于室外大型游乐设施气象违规判定。当气象条件不满足要求，系统自动发送预警信息至现场操作人员，预警信息发出10分钟后，设备还处于运行状态，系统自动发送违规信息至现场安全管理人员;当1个月内累计违规作业3次，系统自动发送违规信息给监察人员，提示监察人员增加使用单位安全检查频次。</w:t>
      </w:r>
    </w:p>
    <w:p>
      <w:pPr>
        <w:pStyle w:val="7"/>
        <w:numPr>
          <w:ilvl w:val="0"/>
          <w:numId w:val="80"/>
        </w:numPr>
        <w:ind w:firstLine="643"/>
      </w:pPr>
      <w:r>
        <w:rPr>
          <w:rFonts w:hint="eastAsia"/>
        </w:rPr>
        <w:t>运行</w:t>
      </w:r>
      <w:r>
        <w:rPr>
          <w:rFonts w:hint="eastAsia"/>
          <w:lang w:val="en-US" w:eastAsia="zh-CN"/>
        </w:rPr>
        <w:t>异常</w:t>
      </w:r>
      <w:r>
        <w:rPr>
          <w:rFonts w:hint="eastAsia"/>
        </w:rPr>
        <w:t>智能预警</w:t>
      </w:r>
    </w:p>
    <w:p>
      <w:pPr>
        <w:ind w:firstLine="640"/>
        <w:rPr>
          <w:rFonts w:ascii="仿宋_GB2312" w:hAnsi="仿宋" w:cs="Times New Roman"/>
          <w:szCs w:val="32"/>
        </w:rPr>
      </w:pPr>
      <w:r>
        <w:rPr>
          <w:rFonts w:hint="eastAsia" w:ascii="仿宋_GB2312" w:hAnsi="仿宋" w:cs="Times New Roman"/>
          <w:szCs w:val="32"/>
        </w:rPr>
        <w:t>采集大型游乐设施运行电流、电压数据，用于大型游乐设施运行异常判定。当设备运行电流、电压异常时，系统自动发送设备运行异常信息至现场安全管理人员；当 1 个月内累计异常作业 3 次，系统自动发送预警信息给监察人员，提示监察人员增加使用单位安全检查频次。</w:t>
      </w:r>
    </w:p>
    <w:p>
      <w:pPr>
        <w:ind w:firstLine="640"/>
        <w:jc w:val="center"/>
        <w:rPr>
          <w:rFonts w:ascii="仿宋_GB2312" w:hAnsi="仿宋" w:cs="Times New Roman"/>
          <w:szCs w:val="32"/>
        </w:rPr>
      </w:pPr>
    </w:p>
    <w:p>
      <w:pPr>
        <w:ind w:firstLine="640"/>
        <w:jc w:val="center"/>
        <w:rPr>
          <w:rFonts w:ascii="仿宋_GB2312" w:hAnsi="仿宋" w:cs="Times New Roman"/>
          <w:szCs w:val="32"/>
        </w:rPr>
      </w:pPr>
      <w:r>
        <w:rPr>
          <w:rFonts w:ascii="Calibri" w:hAnsi="Calibri" w:cs="Times New Roman"/>
          <w:szCs w:val="22"/>
        </w:rPr>
        <w:drawing>
          <wp:anchor distT="0" distB="0" distL="0" distR="0" simplePos="0" relativeHeight="251658240" behindDoc="0" locked="0" layoutInCell="1" allowOverlap="1">
            <wp:simplePos x="0" y="0"/>
            <wp:positionH relativeFrom="column">
              <wp:posOffset>753110</wp:posOffset>
            </wp:positionH>
            <wp:positionV relativeFrom="paragraph">
              <wp:posOffset>3418205</wp:posOffset>
            </wp:positionV>
            <wp:extent cx="4013835" cy="3808730"/>
            <wp:effectExtent l="0" t="0" r="9525" b="127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5"/>
                    <a:stretch>
                      <a:fillRect/>
                    </a:stretch>
                  </pic:blipFill>
                  <pic:spPr>
                    <a:xfrm>
                      <a:off x="0" y="0"/>
                      <a:ext cx="4013835" cy="3808730"/>
                    </a:xfrm>
                    <a:prstGeom prst="rect">
                      <a:avLst/>
                    </a:prstGeom>
                  </pic:spPr>
                </pic:pic>
              </a:graphicData>
            </a:graphic>
          </wp:anchor>
        </w:drawing>
      </w:r>
      <w:r>
        <w:rPr>
          <w:rFonts w:ascii="Calibri" w:hAnsi="Calibri" w:cs="Times New Roman"/>
          <w:szCs w:val="22"/>
        </w:rPr>
        <w:drawing>
          <wp:anchor distT="0" distB="0" distL="0" distR="0" simplePos="0" relativeHeight="251658240" behindDoc="0" locked="0" layoutInCell="1" allowOverlap="1">
            <wp:simplePos x="0" y="0"/>
            <wp:positionH relativeFrom="column">
              <wp:posOffset>299720</wp:posOffset>
            </wp:positionH>
            <wp:positionV relativeFrom="paragraph">
              <wp:posOffset>20320</wp:posOffset>
            </wp:positionV>
            <wp:extent cx="5342255" cy="3190240"/>
            <wp:effectExtent l="0" t="0" r="0" b="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6"/>
                    <a:stretch>
                      <a:fillRect/>
                    </a:stretch>
                  </pic:blipFill>
                  <pic:spPr>
                    <a:xfrm>
                      <a:off x="0" y="0"/>
                      <a:ext cx="5342857" cy="3190476"/>
                    </a:xfrm>
                    <a:prstGeom prst="rect">
                      <a:avLst/>
                    </a:prstGeom>
                  </pic:spPr>
                </pic:pic>
              </a:graphicData>
            </a:graphic>
          </wp:anchor>
        </w:drawing>
      </w:r>
    </w:p>
    <w:p>
      <w:pPr>
        <w:pStyle w:val="7"/>
        <w:numPr>
          <w:ilvl w:val="0"/>
          <w:numId w:val="80"/>
        </w:numPr>
        <w:ind w:firstLine="643"/>
      </w:pPr>
      <w:r>
        <w:rPr>
          <w:rFonts w:hint="eastAsia"/>
        </w:rPr>
        <w:t>作业人员智能预警</w:t>
      </w:r>
    </w:p>
    <w:p>
      <w:pPr>
        <w:keepNext w:val="0"/>
        <w:keepLines w:val="0"/>
        <w:widowControl/>
        <w:suppressLineNumbers w:val="0"/>
        <w:jc w:val="left"/>
      </w:pPr>
      <w:r>
        <w:rPr>
          <w:rFonts w:ascii="仿宋_GB2312" w:hAnsi="宋体" w:eastAsia="仿宋_GB2312" w:cs="仿宋_GB2312"/>
          <w:color w:val="000000"/>
          <w:kern w:val="0"/>
          <w:sz w:val="31"/>
          <w:szCs w:val="31"/>
          <w:lang w:val="en-US" w:eastAsia="zh-CN" w:bidi="ar"/>
        </w:rPr>
        <w:t>采集设备运行状态，用于大型游乐设施运行异常判定。</w:t>
      </w:r>
      <w:r>
        <w:rPr>
          <w:rFonts w:hint="eastAsia" w:ascii="仿宋_GB2312" w:hAnsi="宋体" w:eastAsia="仿宋_GB2312" w:cs="仿宋_GB2312"/>
          <w:color w:val="000000"/>
          <w:kern w:val="0"/>
          <w:sz w:val="31"/>
          <w:szCs w:val="31"/>
          <w:lang w:val="en-US" w:eastAsia="zh-CN" w:bidi="ar"/>
        </w:rPr>
        <w:t>当设备处于运行状态，且作业人员数量低于法规要求时，系统自动发送违规信息至现场安全管理人员；当 1 个月内累计违规作业 3 次，系统自动发送违规信息给监察人员，提示监察人员增加使用单位安全检查频次。</w:t>
      </w:r>
    </w:p>
    <w:p>
      <w:pPr>
        <w:pStyle w:val="5"/>
        <w:numPr>
          <w:ilvl w:val="3"/>
          <w:numId w:val="122"/>
        </w:numPr>
        <w:ind w:left="0" w:firstLine="643"/>
        <w:rPr>
          <w:rFonts w:ascii="仿宋_GB2312"/>
          <w:szCs w:val="32"/>
        </w:rPr>
      </w:pPr>
      <w:bookmarkStart w:id="147" w:name="_Toc27138"/>
      <w:bookmarkStart w:id="148" w:name="_Toc17115"/>
      <w:r>
        <w:rPr>
          <w:rFonts w:hint="eastAsia" w:ascii="仿宋_GB2312"/>
          <w:szCs w:val="32"/>
        </w:rPr>
        <w:t>统一标准规范</w:t>
      </w:r>
      <w:bookmarkEnd w:id="147"/>
      <w:bookmarkEnd w:id="148"/>
    </w:p>
    <w:p>
      <w:pPr>
        <w:ind w:firstLine="640"/>
        <w:rPr>
          <w:rFonts w:ascii="仿宋_GB2312" w:hAnsi="仿宋" w:cs="Times New Roman"/>
          <w:szCs w:val="32"/>
        </w:rPr>
      </w:pPr>
      <w:r>
        <w:rPr>
          <w:rFonts w:hint="eastAsia" w:ascii="仿宋_GB2312" w:hAnsi="仿宋" w:cs="Times New Roman"/>
          <w:szCs w:val="32"/>
        </w:rPr>
        <w:t>大型游乐设施智控应用场景设计依托特种设备风险防范预警系统（以下简称预警系统）实现。</w:t>
      </w:r>
    </w:p>
    <w:p>
      <w:pPr>
        <w:pStyle w:val="6"/>
        <w:numPr>
          <w:ilvl w:val="0"/>
          <w:numId w:val="125"/>
        </w:numPr>
        <w:ind w:left="0" w:firstLine="640"/>
        <w:rPr>
          <w:rFonts w:ascii="仿宋_GB2312"/>
          <w:szCs w:val="32"/>
        </w:rPr>
      </w:pPr>
      <w:r>
        <w:rPr>
          <w:rFonts w:hint="eastAsia" w:ascii="仿宋_GB2312"/>
          <w:szCs w:val="32"/>
        </w:rPr>
        <w:t>业务对象</w:t>
      </w:r>
    </w:p>
    <w:p>
      <w:pPr>
        <w:ind w:firstLine="640"/>
        <w:rPr>
          <w:rFonts w:ascii="仿宋_GB2312" w:hAnsi="仿宋" w:cs="Times New Roman"/>
          <w:szCs w:val="32"/>
        </w:rPr>
      </w:pPr>
      <w:r>
        <w:rPr>
          <w:rFonts w:hint="eastAsia" w:ascii="仿宋_GB2312" w:hAnsi="仿宋" w:cs="Times New Roman"/>
          <w:szCs w:val="32"/>
        </w:rPr>
        <w:t>浙江省所有各级大型游乐设施监管部门、使用单位、</w:t>
      </w:r>
      <w:r>
        <w:rPr>
          <w:rFonts w:hint="eastAsia" w:ascii="仿宋_GB2312" w:hAnsi="仿宋" w:cs="Times New Roman"/>
          <w:b/>
          <w:bCs/>
          <w:szCs w:val="32"/>
        </w:rPr>
        <w:t>乘客。</w:t>
      </w:r>
    </w:p>
    <w:p>
      <w:pPr>
        <w:pStyle w:val="6"/>
        <w:numPr>
          <w:ilvl w:val="0"/>
          <w:numId w:val="125"/>
        </w:numPr>
        <w:ind w:left="0" w:firstLine="640"/>
        <w:rPr>
          <w:rFonts w:ascii="仿宋_GB2312"/>
          <w:szCs w:val="32"/>
        </w:rPr>
      </w:pPr>
      <w:r>
        <w:rPr>
          <w:rFonts w:hint="eastAsia" w:ascii="仿宋_GB2312"/>
          <w:szCs w:val="32"/>
        </w:rPr>
        <w:t>技术手段</w:t>
      </w:r>
    </w:p>
    <w:p>
      <w:pPr>
        <w:ind w:firstLine="640"/>
        <w:rPr>
          <w:rFonts w:ascii="仿宋_GB2312" w:hAnsi="仿宋" w:cs="Times New Roman"/>
          <w:szCs w:val="32"/>
        </w:rPr>
      </w:pPr>
      <w:r>
        <w:rPr>
          <w:rFonts w:hint="eastAsia" w:ascii="仿宋_GB2312" w:hAnsi="仿宋" w:cs="Times New Roman"/>
          <w:szCs w:val="32"/>
        </w:rPr>
        <w:t>运用物联网技术实时获取大型游乐设施运行环境、运行状态监测数据。利用大数据存储分析技术保存物联网数据，并结合数据库中其他信息分析判断大型游乐设施运行状态。通过人工智能技术建立大型游乐设施风险预测模型，实现大型游乐设施风险预警功能。</w:t>
      </w:r>
    </w:p>
    <w:p>
      <w:pPr>
        <w:pStyle w:val="6"/>
        <w:numPr>
          <w:ilvl w:val="0"/>
          <w:numId w:val="125"/>
        </w:numPr>
        <w:ind w:left="0" w:firstLine="640"/>
        <w:rPr>
          <w:rFonts w:ascii="仿宋_GB2312"/>
          <w:szCs w:val="32"/>
        </w:rPr>
      </w:pPr>
      <w:r>
        <w:rPr>
          <w:rFonts w:hint="eastAsia" w:ascii="仿宋_GB2312"/>
          <w:szCs w:val="32"/>
        </w:rPr>
        <w:t>具体要求</w:t>
      </w:r>
    </w:p>
    <w:p>
      <w:pPr>
        <w:pStyle w:val="7"/>
        <w:numPr>
          <w:ilvl w:val="0"/>
          <w:numId w:val="126"/>
        </w:numPr>
        <w:ind w:firstLine="643"/>
      </w:pPr>
      <w:r>
        <w:rPr>
          <w:rFonts w:hint="eastAsia"/>
        </w:rPr>
        <w:t>大型游乐设施物联智控装置功能要求</w:t>
      </w:r>
    </w:p>
    <w:p>
      <w:pPr>
        <w:ind w:firstLine="640"/>
        <w:rPr>
          <w:rFonts w:ascii="仿宋_GB2312" w:hAnsi="仿宋" w:cs="Times New Roman"/>
          <w:szCs w:val="32"/>
        </w:rPr>
      </w:pPr>
      <w:r>
        <w:rPr>
          <w:rFonts w:hint="eastAsia" w:ascii="仿宋_GB2312" w:hAnsi="仿宋" w:cs="Times New Roman"/>
          <w:szCs w:val="32"/>
        </w:rPr>
        <w:t>大型游乐设施物联智控装置必须能够实时采集并传输以下大型游乐设施运行环境、运行状态数据。</w:t>
      </w:r>
    </w:p>
    <w:p>
      <w:pPr>
        <w:ind w:firstLine="640"/>
        <w:rPr>
          <w:rFonts w:ascii="仿宋_GB2312" w:hAnsi="仿宋" w:cs="Times New Roman"/>
          <w:szCs w:val="32"/>
        </w:rPr>
      </w:pPr>
      <w:r>
        <w:rPr>
          <w:rFonts w:hint="eastAsia" w:ascii="仿宋_GB2312" w:hAnsi="仿宋" w:cs="Times New Roman"/>
          <w:szCs w:val="32"/>
        </w:rPr>
        <w:t>运行环境参数包括：风速、温湿度、雷电、天气、照度。</w:t>
      </w:r>
    </w:p>
    <w:p>
      <w:pPr>
        <w:numPr>
          <w:ilvl w:val="0"/>
          <w:numId w:val="127"/>
        </w:numPr>
        <w:ind w:left="0" w:firstLine="640"/>
        <w:jc w:val="left"/>
        <w:rPr>
          <w:rFonts w:ascii="仿宋_GB2312" w:hAnsi="仿宋"/>
          <w:szCs w:val="32"/>
        </w:rPr>
      </w:pPr>
      <w:r>
        <w:rPr>
          <w:rFonts w:hint="eastAsia" w:ascii="仿宋_GB2312" w:hAnsi="仿宋"/>
          <w:szCs w:val="32"/>
        </w:rPr>
        <w:t>运行环境监控参数表</w:t>
      </w:r>
    </w:p>
    <w:tbl>
      <w:tblPr>
        <w:tblStyle w:val="27"/>
        <w:tblW w:w="9178" w:type="dxa"/>
        <w:tblInd w:w="0" w:type="dxa"/>
        <w:tblBorders>
          <w:top w:val="single" w:color="auto" w:sz="18" w:space="0"/>
          <w:left w:val="single" w:color="auto" w:sz="18" w:space="0"/>
          <w:bottom w:val="single" w:color="auto" w:sz="18" w:space="0"/>
          <w:right w:val="single" w:color="auto" w:sz="18" w:space="0"/>
          <w:insideH w:val="single" w:color="auto" w:sz="6" w:space="0"/>
          <w:insideV w:val="single" w:color="auto" w:sz="6" w:space="0"/>
        </w:tblBorders>
        <w:tblLayout w:type="fixed"/>
        <w:tblCellMar>
          <w:top w:w="0" w:type="dxa"/>
          <w:left w:w="108" w:type="dxa"/>
          <w:bottom w:w="0" w:type="dxa"/>
          <w:right w:w="108" w:type="dxa"/>
        </w:tblCellMar>
      </w:tblPr>
      <w:tblGrid>
        <w:gridCol w:w="918"/>
        <w:gridCol w:w="1708"/>
        <w:gridCol w:w="3612"/>
        <w:gridCol w:w="2940"/>
      </w:tblGrid>
      <w:tr>
        <w:tblPrEx>
          <w:tblBorders>
            <w:top w:val="single" w:color="auto" w:sz="18" w:space="0"/>
            <w:left w:val="single" w:color="auto" w:sz="18" w:space="0"/>
            <w:bottom w:val="single" w:color="auto" w:sz="18" w:space="0"/>
            <w:right w:val="single" w:color="auto" w:sz="18" w:space="0"/>
            <w:insideH w:val="single" w:color="auto" w:sz="6" w:space="0"/>
            <w:insideV w:val="single" w:color="auto" w:sz="6" w:space="0"/>
          </w:tblBorders>
          <w:tblCellMar>
            <w:top w:w="0" w:type="dxa"/>
            <w:left w:w="108" w:type="dxa"/>
            <w:bottom w:w="0" w:type="dxa"/>
            <w:right w:w="108" w:type="dxa"/>
          </w:tblCellMar>
        </w:tblPrEx>
        <w:tc>
          <w:tcPr>
            <w:tcW w:w="918" w:type="dxa"/>
            <w:shd w:val="clear" w:color="auto" w:fill="auto"/>
            <w:vAlign w:val="center"/>
          </w:tcPr>
          <w:p>
            <w:pPr>
              <w:ind w:firstLine="0" w:firstLineChars="0"/>
              <w:jc w:val="center"/>
              <w:rPr>
                <w:rFonts w:ascii="仿宋_GB2312" w:hAnsi="仿宋_GB2312" w:cs="仿宋_GB2312"/>
                <w:sz w:val="30"/>
                <w:szCs w:val="30"/>
              </w:rPr>
            </w:pPr>
            <w:r>
              <w:rPr>
                <w:rFonts w:hint="eastAsia" w:ascii="仿宋_GB2312" w:hAnsi="仿宋_GB2312" w:cs="仿宋_GB2312"/>
                <w:sz w:val="30"/>
                <w:szCs w:val="30"/>
              </w:rPr>
              <w:t>序号</w:t>
            </w:r>
          </w:p>
        </w:tc>
        <w:tc>
          <w:tcPr>
            <w:tcW w:w="1708" w:type="dxa"/>
            <w:shd w:val="clear" w:color="auto" w:fill="auto"/>
            <w:vAlign w:val="center"/>
          </w:tcPr>
          <w:p>
            <w:pPr>
              <w:ind w:firstLine="0" w:firstLineChars="0"/>
              <w:jc w:val="center"/>
              <w:rPr>
                <w:rFonts w:ascii="仿宋_GB2312" w:hAnsi="仿宋_GB2312" w:cs="仿宋_GB2312"/>
                <w:sz w:val="30"/>
                <w:szCs w:val="30"/>
              </w:rPr>
            </w:pPr>
            <w:r>
              <w:rPr>
                <w:rFonts w:hint="eastAsia" w:ascii="仿宋_GB2312" w:hAnsi="仿宋_GB2312" w:cs="仿宋_GB2312"/>
                <w:sz w:val="30"/>
                <w:szCs w:val="30"/>
              </w:rPr>
              <w:t>数据名称</w:t>
            </w:r>
          </w:p>
        </w:tc>
        <w:tc>
          <w:tcPr>
            <w:tcW w:w="3612" w:type="dxa"/>
            <w:shd w:val="clear" w:color="auto" w:fill="auto"/>
            <w:vAlign w:val="center"/>
          </w:tcPr>
          <w:p>
            <w:pPr>
              <w:ind w:firstLine="0" w:firstLineChars="0"/>
              <w:jc w:val="center"/>
              <w:rPr>
                <w:rFonts w:ascii="仿宋_GB2312" w:hAnsi="仿宋_GB2312" w:cs="仿宋_GB2312"/>
                <w:sz w:val="30"/>
                <w:szCs w:val="30"/>
              </w:rPr>
            </w:pPr>
            <w:r>
              <w:rPr>
                <w:rFonts w:hint="eastAsia" w:ascii="仿宋_GB2312" w:hAnsi="仿宋_GB2312" w:cs="仿宋_GB2312"/>
                <w:sz w:val="30"/>
                <w:szCs w:val="30"/>
              </w:rPr>
              <w:t>采集位置</w:t>
            </w:r>
          </w:p>
        </w:tc>
        <w:tc>
          <w:tcPr>
            <w:tcW w:w="2940" w:type="dxa"/>
            <w:shd w:val="clear" w:color="auto" w:fill="auto"/>
            <w:vAlign w:val="center"/>
          </w:tcPr>
          <w:p>
            <w:pPr>
              <w:ind w:firstLine="0" w:firstLineChars="0"/>
              <w:jc w:val="center"/>
              <w:rPr>
                <w:rFonts w:ascii="仿宋_GB2312" w:hAnsi="仿宋_GB2312" w:cs="仿宋_GB2312"/>
                <w:sz w:val="30"/>
                <w:szCs w:val="30"/>
              </w:rPr>
            </w:pPr>
            <w:r>
              <w:rPr>
                <w:rFonts w:hint="eastAsia" w:ascii="仿宋_GB2312" w:hAnsi="仿宋_GB2312" w:cs="仿宋_GB2312"/>
                <w:sz w:val="30"/>
                <w:szCs w:val="30"/>
              </w:rPr>
              <w:t>参数范围</w:t>
            </w:r>
          </w:p>
        </w:tc>
      </w:tr>
      <w:tr>
        <w:tblPrEx>
          <w:tblBorders>
            <w:top w:val="single" w:color="auto" w:sz="18" w:space="0"/>
            <w:left w:val="single" w:color="auto" w:sz="18" w:space="0"/>
            <w:bottom w:val="single" w:color="auto" w:sz="18" w:space="0"/>
            <w:right w:val="single" w:color="auto" w:sz="18" w:space="0"/>
            <w:insideH w:val="single" w:color="auto" w:sz="6" w:space="0"/>
            <w:insideV w:val="single" w:color="auto" w:sz="6" w:space="0"/>
          </w:tblBorders>
          <w:tblCellMar>
            <w:top w:w="0" w:type="dxa"/>
            <w:left w:w="108" w:type="dxa"/>
            <w:bottom w:w="0" w:type="dxa"/>
            <w:right w:w="108" w:type="dxa"/>
          </w:tblCellMar>
        </w:tblPrEx>
        <w:trPr>
          <w:trHeight w:val="1313" w:hRule="atLeast"/>
        </w:trPr>
        <w:tc>
          <w:tcPr>
            <w:tcW w:w="918" w:type="dxa"/>
            <w:shd w:val="clear" w:color="auto" w:fill="auto"/>
            <w:vAlign w:val="center"/>
          </w:tcPr>
          <w:p>
            <w:pPr>
              <w:ind w:firstLine="0" w:firstLineChars="0"/>
              <w:jc w:val="center"/>
              <w:rPr>
                <w:rFonts w:ascii="仿宋_GB2312" w:hAnsi="仿宋_GB2312" w:cs="仿宋_GB2312"/>
                <w:sz w:val="30"/>
                <w:szCs w:val="30"/>
              </w:rPr>
            </w:pPr>
            <w:r>
              <w:rPr>
                <w:rFonts w:hint="eastAsia" w:cs="仿宋_GB2312"/>
                <w:szCs w:val="30"/>
              </w:rPr>
              <w:t>1</w:t>
            </w:r>
          </w:p>
        </w:tc>
        <w:tc>
          <w:tcPr>
            <w:tcW w:w="1708" w:type="dxa"/>
            <w:shd w:val="clear" w:color="auto" w:fill="auto"/>
            <w:vAlign w:val="center"/>
          </w:tcPr>
          <w:p>
            <w:pPr>
              <w:ind w:firstLine="0" w:firstLineChars="0"/>
              <w:jc w:val="left"/>
              <w:rPr>
                <w:rFonts w:ascii="仿宋_GB2312" w:hAnsi="仿宋_GB2312" w:cs="仿宋_GB2312"/>
                <w:sz w:val="30"/>
                <w:szCs w:val="30"/>
              </w:rPr>
            </w:pPr>
            <w:r>
              <w:rPr>
                <w:rFonts w:hint="eastAsia" w:ascii="仿宋_GB2312" w:hAnsi="仿宋_GB2312" w:cs="仿宋_GB2312"/>
                <w:sz w:val="30"/>
                <w:szCs w:val="30"/>
              </w:rPr>
              <w:t>风速</w:t>
            </w:r>
          </w:p>
        </w:tc>
        <w:tc>
          <w:tcPr>
            <w:tcW w:w="3612" w:type="dxa"/>
            <w:shd w:val="clear" w:color="auto" w:fill="auto"/>
            <w:vAlign w:val="center"/>
          </w:tcPr>
          <w:p>
            <w:pPr>
              <w:ind w:firstLine="0" w:firstLineChars="0"/>
              <w:jc w:val="left"/>
              <w:rPr>
                <w:rFonts w:ascii="仿宋_GB2312" w:hAnsi="仿宋_GB2312" w:cs="仿宋_GB2312"/>
                <w:sz w:val="30"/>
                <w:szCs w:val="30"/>
              </w:rPr>
            </w:pPr>
            <w:r>
              <w:rPr>
                <w:rFonts w:hint="eastAsia" w:ascii="仿宋_GB2312" w:hAnsi="仿宋_GB2312" w:cs="仿宋_GB2312"/>
                <w:sz w:val="30"/>
                <w:szCs w:val="30"/>
              </w:rPr>
              <w:t>设备运行范围附近风口</w:t>
            </w:r>
          </w:p>
        </w:tc>
        <w:tc>
          <w:tcPr>
            <w:tcW w:w="2940" w:type="dxa"/>
            <w:shd w:val="clear" w:color="auto" w:fill="auto"/>
            <w:vAlign w:val="center"/>
          </w:tcPr>
          <w:p>
            <w:pPr>
              <w:ind w:firstLine="0" w:firstLineChars="0"/>
              <w:jc w:val="left"/>
              <w:rPr>
                <w:rFonts w:ascii="仿宋_GB2312" w:hAnsi="仿宋_GB2312" w:cs="仿宋_GB2312"/>
                <w:sz w:val="30"/>
                <w:szCs w:val="30"/>
              </w:rPr>
            </w:pPr>
            <w:r>
              <w:rPr>
                <w:rFonts w:hint="eastAsia" w:ascii="仿宋_GB2312" w:hAnsi="仿宋_GB2312" w:cs="仿宋_GB2312"/>
                <w:sz w:val="30"/>
                <w:szCs w:val="30"/>
              </w:rPr>
              <w:t>＜</w:t>
            </w:r>
            <w:r>
              <w:rPr>
                <w:rFonts w:hint="eastAsia" w:cs="仿宋_GB2312"/>
                <w:szCs w:val="30"/>
              </w:rPr>
              <w:t>15m</w:t>
            </w:r>
            <w:r>
              <w:rPr>
                <w:rFonts w:hint="eastAsia" w:ascii="仿宋_GB2312" w:hAnsi="仿宋_GB2312" w:cs="仿宋_GB2312"/>
                <w:sz w:val="30"/>
                <w:szCs w:val="30"/>
              </w:rPr>
              <w:t>/</w:t>
            </w:r>
            <w:r>
              <w:rPr>
                <w:rFonts w:hint="eastAsia" w:cs="仿宋_GB2312"/>
                <w:szCs w:val="30"/>
              </w:rPr>
              <w:t>s</w:t>
            </w:r>
            <w:r>
              <w:rPr>
                <w:rFonts w:hint="eastAsia" w:ascii="仿宋_GB2312" w:hAnsi="仿宋_GB2312" w:cs="仿宋_GB2312"/>
                <w:sz w:val="30"/>
                <w:szCs w:val="30"/>
              </w:rPr>
              <w:t>，特殊游乐设施除外</w:t>
            </w:r>
          </w:p>
        </w:tc>
      </w:tr>
      <w:tr>
        <w:tblPrEx>
          <w:tblBorders>
            <w:top w:val="single" w:color="auto" w:sz="18" w:space="0"/>
            <w:left w:val="single" w:color="auto" w:sz="18" w:space="0"/>
            <w:bottom w:val="single" w:color="auto" w:sz="18" w:space="0"/>
            <w:right w:val="single" w:color="auto" w:sz="18" w:space="0"/>
            <w:insideH w:val="single" w:color="auto" w:sz="6" w:space="0"/>
            <w:insideV w:val="single" w:color="auto" w:sz="6" w:space="0"/>
          </w:tblBorders>
          <w:tblCellMar>
            <w:top w:w="0" w:type="dxa"/>
            <w:left w:w="108" w:type="dxa"/>
            <w:bottom w:w="0" w:type="dxa"/>
            <w:right w:w="108" w:type="dxa"/>
          </w:tblCellMar>
        </w:tblPrEx>
        <w:trPr>
          <w:trHeight w:val="853" w:hRule="atLeast"/>
        </w:trPr>
        <w:tc>
          <w:tcPr>
            <w:tcW w:w="918" w:type="dxa"/>
            <w:shd w:val="clear" w:color="auto" w:fill="auto"/>
            <w:vAlign w:val="center"/>
          </w:tcPr>
          <w:p>
            <w:pPr>
              <w:ind w:firstLine="0" w:firstLineChars="0"/>
              <w:jc w:val="center"/>
              <w:rPr>
                <w:rFonts w:ascii="仿宋_GB2312" w:hAnsi="仿宋_GB2312" w:cs="仿宋_GB2312"/>
                <w:sz w:val="30"/>
                <w:szCs w:val="30"/>
              </w:rPr>
            </w:pPr>
            <w:r>
              <w:rPr>
                <w:rFonts w:hint="eastAsia" w:cs="仿宋_GB2312"/>
                <w:szCs w:val="30"/>
              </w:rPr>
              <w:t>2</w:t>
            </w:r>
          </w:p>
        </w:tc>
        <w:tc>
          <w:tcPr>
            <w:tcW w:w="1708" w:type="dxa"/>
            <w:shd w:val="clear" w:color="auto" w:fill="auto"/>
            <w:vAlign w:val="center"/>
          </w:tcPr>
          <w:p>
            <w:pPr>
              <w:ind w:firstLine="0" w:firstLineChars="0"/>
              <w:jc w:val="left"/>
              <w:rPr>
                <w:rFonts w:ascii="仿宋_GB2312" w:hAnsi="仿宋_GB2312" w:cs="仿宋_GB2312"/>
                <w:sz w:val="30"/>
                <w:szCs w:val="30"/>
              </w:rPr>
            </w:pPr>
            <w:r>
              <w:rPr>
                <w:rFonts w:hint="eastAsia" w:ascii="仿宋_GB2312" w:hAnsi="仿宋_GB2312" w:cs="仿宋_GB2312"/>
                <w:sz w:val="30"/>
                <w:szCs w:val="30"/>
              </w:rPr>
              <w:t>温湿度</w:t>
            </w:r>
          </w:p>
        </w:tc>
        <w:tc>
          <w:tcPr>
            <w:tcW w:w="3612" w:type="dxa"/>
            <w:shd w:val="clear" w:color="auto" w:fill="auto"/>
            <w:vAlign w:val="center"/>
          </w:tcPr>
          <w:p>
            <w:pPr>
              <w:ind w:firstLine="0" w:firstLineChars="0"/>
              <w:jc w:val="left"/>
              <w:rPr>
                <w:rFonts w:ascii="仿宋_GB2312" w:hAnsi="仿宋_GB2312" w:cs="仿宋_GB2312"/>
                <w:sz w:val="30"/>
                <w:szCs w:val="30"/>
              </w:rPr>
            </w:pPr>
            <w:r>
              <w:rPr>
                <w:rFonts w:hint="eastAsia" w:ascii="仿宋_GB2312" w:hAnsi="仿宋_GB2312" w:cs="仿宋_GB2312"/>
                <w:sz w:val="30"/>
                <w:szCs w:val="30"/>
              </w:rPr>
              <w:t>设备控制室、配电柜房</w:t>
            </w:r>
          </w:p>
        </w:tc>
        <w:tc>
          <w:tcPr>
            <w:tcW w:w="2940" w:type="dxa"/>
            <w:shd w:val="clear" w:color="auto" w:fill="auto"/>
            <w:vAlign w:val="center"/>
          </w:tcPr>
          <w:p>
            <w:pPr>
              <w:ind w:firstLine="0" w:firstLineChars="0"/>
              <w:jc w:val="left"/>
              <w:rPr>
                <w:rFonts w:ascii="仿宋_GB2312" w:hAnsi="仿宋_GB2312" w:cs="仿宋_GB2312"/>
                <w:sz w:val="30"/>
                <w:szCs w:val="30"/>
              </w:rPr>
            </w:pPr>
            <w:r>
              <w:rPr>
                <w:rFonts w:hint="eastAsia" w:ascii="仿宋_GB2312" w:hAnsi="仿宋_GB2312" w:cs="仿宋_GB2312"/>
                <w:sz w:val="30"/>
                <w:szCs w:val="30"/>
              </w:rPr>
              <w:t>依据设备使用说明书</w:t>
            </w:r>
          </w:p>
        </w:tc>
      </w:tr>
      <w:tr>
        <w:tblPrEx>
          <w:tblBorders>
            <w:top w:val="single" w:color="auto" w:sz="18" w:space="0"/>
            <w:left w:val="single" w:color="auto" w:sz="18" w:space="0"/>
            <w:bottom w:val="single" w:color="auto" w:sz="18" w:space="0"/>
            <w:right w:val="single" w:color="auto" w:sz="18" w:space="0"/>
            <w:insideH w:val="single" w:color="auto" w:sz="6" w:space="0"/>
            <w:insideV w:val="single" w:color="auto" w:sz="6" w:space="0"/>
          </w:tblBorders>
          <w:tblCellMar>
            <w:top w:w="0" w:type="dxa"/>
            <w:left w:w="108" w:type="dxa"/>
            <w:bottom w:w="0" w:type="dxa"/>
            <w:right w:w="108" w:type="dxa"/>
          </w:tblCellMar>
        </w:tblPrEx>
        <w:trPr>
          <w:trHeight w:val="1337" w:hRule="atLeast"/>
        </w:trPr>
        <w:tc>
          <w:tcPr>
            <w:tcW w:w="918" w:type="dxa"/>
            <w:shd w:val="clear" w:color="auto" w:fill="auto"/>
            <w:vAlign w:val="center"/>
          </w:tcPr>
          <w:p>
            <w:pPr>
              <w:ind w:firstLine="0" w:firstLineChars="0"/>
              <w:jc w:val="center"/>
              <w:rPr>
                <w:rFonts w:ascii="仿宋_GB2312" w:hAnsi="仿宋_GB2312" w:cs="仿宋_GB2312"/>
                <w:sz w:val="30"/>
                <w:szCs w:val="30"/>
              </w:rPr>
            </w:pPr>
            <w:r>
              <w:rPr>
                <w:rFonts w:hint="eastAsia" w:cs="仿宋_GB2312"/>
                <w:szCs w:val="30"/>
              </w:rPr>
              <w:t>3</w:t>
            </w:r>
          </w:p>
        </w:tc>
        <w:tc>
          <w:tcPr>
            <w:tcW w:w="1708" w:type="dxa"/>
            <w:shd w:val="clear" w:color="auto" w:fill="auto"/>
            <w:vAlign w:val="center"/>
          </w:tcPr>
          <w:p>
            <w:pPr>
              <w:ind w:firstLine="0" w:firstLineChars="0"/>
              <w:jc w:val="left"/>
              <w:rPr>
                <w:rFonts w:ascii="仿宋_GB2312" w:hAnsi="仿宋_GB2312" w:cs="仿宋_GB2312"/>
                <w:sz w:val="30"/>
                <w:szCs w:val="30"/>
              </w:rPr>
            </w:pPr>
            <w:r>
              <w:rPr>
                <w:rFonts w:hint="eastAsia" w:ascii="仿宋_GB2312" w:hAnsi="仿宋_GB2312" w:cs="仿宋_GB2312"/>
                <w:sz w:val="30"/>
                <w:szCs w:val="30"/>
              </w:rPr>
              <w:t>雷电</w:t>
            </w:r>
          </w:p>
        </w:tc>
        <w:tc>
          <w:tcPr>
            <w:tcW w:w="3612" w:type="dxa"/>
            <w:shd w:val="clear" w:color="auto" w:fill="auto"/>
            <w:vAlign w:val="center"/>
          </w:tcPr>
          <w:p>
            <w:pPr>
              <w:ind w:firstLine="0" w:firstLineChars="0"/>
              <w:jc w:val="left"/>
              <w:rPr>
                <w:rFonts w:ascii="仿宋_GB2312" w:hAnsi="仿宋_GB2312" w:cs="仿宋_GB2312"/>
                <w:sz w:val="30"/>
                <w:szCs w:val="30"/>
              </w:rPr>
            </w:pPr>
            <w:r>
              <w:rPr>
                <w:rFonts w:hint="eastAsia" w:ascii="仿宋_GB2312" w:hAnsi="仿宋_GB2312" w:cs="仿宋_GB2312"/>
                <w:sz w:val="30"/>
                <w:szCs w:val="30"/>
              </w:rPr>
              <w:t>设备运行范围附近或气象部门</w:t>
            </w:r>
          </w:p>
        </w:tc>
        <w:tc>
          <w:tcPr>
            <w:tcW w:w="2940" w:type="dxa"/>
            <w:shd w:val="clear" w:color="auto" w:fill="auto"/>
            <w:vAlign w:val="center"/>
          </w:tcPr>
          <w:p>
            <w:pPr>
              <w:ind w:firstLine="0" w:firstLineChars="0"/>
              <w:jc w:val="left"/>
              <w:rPr>
                <w:rFonts w:ascii="仿宋_GB2312" w:hAnsi="仿宋_GB2312" w:cs="仿宋_GB2312"/>
                <w:sz w:val="30"/>
                <w:szCs w:val="30"/>
              </w:rPr>
            </w:pPr>
            <w:r>
              <w:rPr>
                <w:rFonts w:hint="eastAsia" w:ascii="仿宋_GB2312" w:hAnsi="仿宋_GB2312" w:cs="仿宋_GB2312"/>
                <w:sz w:val="30"/>
                <w:szCs w:val="30"/>
              </w:rPr>
              <w:t>开机前、开机时无雷电</w:t>
            </w:r>
          </w:p>
        </w:tc>
      </w:tr>
      <w:tr>
        <w:tblPrEx>
          <w:tblBorders>
            <w:top w:val="single" w:color="auto" w:sz="18" w:space="0"/>
            <w:left w:val="single" w:color="auto" w:sz="18" w:space="0"/>
            <w:bottom w:val="single" w:color="auto" w:sz="18" w:space="0"/>
            <w:right w:val="single" w:color="auto" w:sz="18" w:space="0"/>
            <w:insideH w:val="single" w:color="auto" w:sz="6" w:space="0"/>
            <w:insideV w:val="single" w:color="auto" w:sz="6" w:space="0"/>
          </w:tblBorders>
          <w:tblCellMar>
            <w:top w:w="0" w:type="dxa"/>
            <w:left w:w="108" w:type="dxa"/>
            <w:bottom w:w="0" w:type="dxa"/>
            <w:right w:w="108" w:type="dxa"/>
          </w:tblCellMar>
        </w:tblPrEx>
        <w:trPr>
          <w:trHeight w:val="829" w:hRule="atLeast"/>
        </w:trPr>
        <w:tc>
          <w:tcPr>
            <w:tcW w:w="918" w:type="dxa"/>
            <w:shd w:val="clear" w:color="auto" w:fill="auto"/>
            <w:vAlign w:val="center"/>
          </w:tcPr>
          <w:p>
            <w:pPr>
              <w:ind w:firstLine="0" w:firstLineChars="0"/>
              <w:jc w:val="center"/>
              <w:rPr>
                <w:rFonts w:ascii="仿宋_GB2312" w:hAnsi="仿宋_GB2312" w:cs="仿宋_GB2312"/>
                <w:sz w:val="30"/>
                <w:szCs w:val="30"/>
              </w:rPr>
            </w:pPr>
            <w:r>
              <w:rPr>
                <w:rFonts w:hint="eastAsia" w:cs="仿宋_GB2312"/>
                <w:szCs w:val="30"/>
              </w:rPr>
              <w:t>4</w:t>
            </w:r>
          </w:p>
        </w:tc>
        <w:tc>
          <w:tcPr>
            <w:tcW w:w="1708" w:type="dxa"/>
            <w:shd w:val="clear" w:color="auto" w:fill="auto"/>
            <w:vAlign w:val="center"/>
          </w:tcPr>
          <w:p>
            <w:pPr>
              <w:ind w:firstLine="0" w:firstLineChars="0"/>
              <w:jc w:val="left"/>
              <w:rPr>
                <w:rFonts w:ascii="仿宋_GB2312" w:hAnsi="仿宋_GB2312" w:cs="仿宋_GB2312"/>
                <w:sz w:val="30"/>
                <w:szCs w:val="30"/>
              </w:rPr>
            </w:pPr>
            <w:r>
              <w:rPr>
                <w:rFonts w:hint="eastAsia" w:ascii="仿宋_GB2312" w:hAnsi="仿宋_GB2312" w:cs="仿宋_GB2312"/>
                <w:sz w:val="30"/>
                <w:szCs w:val="30"/>
              </w:rPr>
              <w:t>天气</w:t>
            </w:r>
          </w:p>
        </w:tc>
        <w:tc>
          <w:tcPr>
            <w:tcW w:w="3612" w:type="dxa"/>
            <w:shd w:val="clear" w:color="auto" w:fill="auto"/>
            <w:vAlign w:val="center"/>
          </w:tcPr>
          <w:p>
            <w:pPr>
              <w:ind w:firstLine="0" w:firstLineChars="0"/>
              <w:jc w:val="left"/>
              <w:rPr>
                <w:rFonts w:ascii="仿宋_GB2312" w:hAnsi="仿宋_GB2312" w:cs="仿宋_GB2312"/>
                <w:sz w:val="30"/>
                <w:szCs w:val="30"/>
              </w:rPr>
            </w:pPr>
            <w:r>
              <w:rPr>
                <w:rFonts w:hint="eastAsia" w:ascii="仿宋_GB2312" w:hAnsi="仿宋_GB2312" w:cs="仿宋_GB2312"/>
                <w:sz w:val="30"/>
                <w:szCs w:val="30"/>
              </w:rPr>
              <w:t>设备运行范围附近</w:t>
            </w:r>
          </w:p>
        </w:tc>
        <w:tc>
          <w:tcPr>
            <w:tcW w:w="2940" w:type="dxa"/>
            <w:shd w:val="clear" w:color="auto" w:fill="auto"/>
            <w:vAlign w:val="center"/>
          </w:tcPr>
          <w:p>
            <w:pPr>
              <w:ind w:firstLine="0" w:firstLineChars="0"/>
              <w:jc w:val="left"/>
              <w:rPr>
                <w:rFonts w:ascii="仿宋_GB2312" w:hAnsi="仿宋_GB2312" w:cs="仿宋_GB2312"/>
                <w:sz w:val="30"/>
                <w:szCs w:val="30"/>
              </w:rPr>
            </w:pPr>
            <w:r>
              <w:rPr>
                <w:rFonts w:hint="eastAsia" w:ascii="仿宋_GB2312" w:hAnsi="仿宋_GB2312" w:cs="仿宋_GB2312"/>
                <w:sz w:val="30"/>
                <w:szCs w:val="30"/>
              </w:rPr>
              <w:t>运行过程无雨雪天气</w:t>
            </w:r>
          </w:p>
        </w:tc>
      </w:tr>
      <w:tr>
        <w:tblPrEx>
          <w:tblBorders>
            <w:top w:val="single" w:color="auto" w:sz="18" w:space="0"/>
            <w:left w:val="single" w:color="auto" w:sz="18" w:space="0"/>
            <w:bottom w:val="single" w:color="auto" w:sz="18" w:space="0"/>
            <w:right w:val="single" w:color="auto" w:sz="18" w:space="0"/>
            <w:insideH w:val="single" w:color="auto" w:sz="6" w:space="0"/>
            <w:insideV w:val="single" w:color="auto" w:sz="6" w:space="0"/>
          </w:tblBorders>
          <w:tblCellMar>
            <w:top w:w="0" w:type="dxa"/>
            <w:left w:w="108" w:type="dxa"/>
            <w:bottom w:w="0" w:type="dxa"/>
            <w:right w:w="108" w:type="dxa"/>
          </w:tblCellMar>
        </w:tblPrEx>
        <w:tc>
          <w:tcPr>
            <w:tcW w:w="918" w:type="dxa"/>
            <w:shd w:val="clear" w:color="auto" w:fill="auto"/>
            <w:vAlign w:val="center"/>
          </w:tcPr>
          <w:p>
            <w:pPr>
              <w:ind w:firstLine="0" w:firstLineChars="0"/>
              <w:jc w:val="center"/>
              <w:rPr>
                <w:rFonts w:ascii="仿宋_GB2312" w:hAnsi="仿宋_GB2312" w:cs="仿宋_GB2312"/>
                <w:sz w:val="30"/>
                <w:szCs w:val="30"/>
              </w:rPr>
            </w:pPr>
            <w:r>
              <w:rPr>
                <w:rFonts w:hint="eastAsia" w:cs="仿宋_GB2312"/>
                <w:szCs w:val="30"/>
              </w:rPr>
              <w:t>5</w:t>
            </w:r>
          </w:p>
        </w:tc>
        <w:tc>
          <w:tcPr>
            <w:tcW w:w="1708" w:type="dxa"/>
            <w:shd w:val="clear" w:color="auto" w:fill="auto"/>
            <w:vAlign w:val="center"/>
          </w:tcPr>
          <w:p>
            <w:pPr>
              <w:ind w:firstLine="0" w:firstLineChars="0"/>
              <w:jc w:val="left"/>
              <w:rPr>
                <w:rFonts w:ascii="仿宋_GB2312" w:hAnsi="仿宋_GB2312" w:cs="仿宋_GB2312"/>
                <w:sz w:val="30"/>
                <w:szCs w:val="30"/>
              </w:rPr>
            </w:pPr>
            <w:r>
              <w:rPr>
                <w:rFonts w:hint="eastAsia" w:ascii="仿宋_GB2312" w:hAnsi="仿宋_GB2312" w:cs="仿宋_GB2312"/>
                <w:sz w:val="30"/>
                <w:szCs w:val="30"/>
              </w:rPr>
              <w:t>夜间照度</w:t>
            </w:r>
          </w:p>
        </w:tc>
        <w:tc>
          <w:tcPr>
            <w:tcW w:w="3612" w:type="dxa"/>
            <w:shd w:val="clear" w:color="auto" w:fill="auto"/>
            <w:vAlign w:val="center"/>
          </w:tcPr>
          <w:p>
            <w:pPr>
              <w:ind w:firstLine="0" w:firstLineChars="0"/>
              <w:jc w:val="left"/>
              <w:rPr>
                <w:rFonts w:ascii="仿宋_GB2312" w:hAnsi="仿宋_GB2312" w:cs="仿宋_GB2312"/>
                <w:sz w:val="30"/>
                <w:szCs w:val="30"/>
              </w:rPr>
            </w:pPr>
            <w:r>
              <w:rPr>
                <w:rFonts w:hint="eastAsia" w:ascii="仿宋_GB2312" w:hAnsi="仿宋_GB2312" w:cs="仿宋_GB2312"/>
                <w:sz w:val="30"/>
                <w:szCs w:val="30"/>
              </w:rPr>
              <w:t>设备运行范围附近</w:t>
            </w:r>
          </w:p>
        </w:tc>
        <w:tc>
          <w:tcPr>
            <w:tcW w:w="2940" w:type="dxa"/>
            <w:shd w:val="clear" w:color="auto" w:fill="auto"/>
            <w:vAlign w:val="center"/>
          </w:tcPr>
          <w:p>
            <w:pPr>
              <w:ind w:firstLine="0" w:firstLineChars="0"/>
              <w:jc w:val="left"/>
              <w:rPr>
                <w:rFonts w:ascii="仿宋_GB2312" w:hAnsi="仿宋_GB2312" w:cs="仿宋_GB2312"/>
                <w:sz w:val="30"/>
                <w:szCs w:val="30"/>
              </w:rPr>
            </w:pPr>
            <w:r>
              <w:rPr>
                <w:rFonts w:hint="eastAsia" w:ascii="仿宋_GB2312" w:hAnsi="仿宋_GB2312" w:cs="仿宋_GB2312"/>
                <w:sz w:val="30"/>
                <w:szCs w:val="30"/>
              </w:rPr>
              <w:t>陆地设备＞</w:t>
            </w:r>
            <w:r>
              <w:rPr>
                <w:rFonts w:hint="eastAsia" w:cs="仿宋_GB2312"/>
                <w:szCs w:val="30"/>
              </w:rPr>
              <w:t>60lx</w:t>
            </w:r>
            <w:r>
              <w:rPr>
                <w:rFonts w:hint="eastAsia" w:ascii="仿宋_GB2312" w:hAnsi="仿宋_GB2312" w:cs="仿宋_GB2312"/>
                <w:sz w:val="30"/>
                <w:szCs w:val="30"/>
              </w:rPr>
              <w:t>，水上设备落水池＞</w:t>
            </w:r>
            <w:r>
              <w:rPr>
                <w:rFonts w:hint="eastAsia" w:cs="仿宋_GB2312"/>
                <w:szCs w:val="30"/>
              </w:rPr>
              <w:t>80lx</w:t>
            </w:r>
          </w:p>
        </w:tc>
      </w:tr>
    </w:tbl>
    <w:p>
      <w:pPr>
        <w:ind w:firstLine="640"/>
        <w:rPr>
          <w:rFonts w:ascii="仿宋_GB2312" w:hAnsi="仿宋" w:cs="Times New Roman"/>
          <w:szCs w:val="32"/>
        </w:rPr>
      </w:pPr>
      <w:r>
        <w:rPr>
          <w:rFonts w:hint="eastAsia" w:ascii="仿宋_GB2312" w:hAnsi="仿宋" w:cs="Times New Roman"/>
          <w:szCs w:val="32"/>
        </w:rPr>
        <w:t>运行参数包括：电压、电流、运行状态、物联智控装置状态。</w:t>
      </w:r>
    </w:p>
    <w:p>
      <w:pPr>
        <w:numPr>
          <w:ilvl w:val="0"/>
          <w:numId w:val="127"/>
        </w:numPr>
        <w:ind w:left="0" w:firstLine="640"/>
        <w:jc w:val="left"/>
        <w:rPr>
          <w:rFonts w:ascii="仿宋_GB2312" w:hAnsi="仿宋"/>
          <w:szCs w:val="32"/>
        </w:rPr>
      </w:pPr>
      <w:r>
        <w:rPr>
          <w:rFonts w:hint="eastAsia" w:ascii="仿宋_GB2312" w:hAnsi="仿宋"/>
          <w:szCs w:val="32"/>
        </w:rPr>
        <w:t>运行状态监控参数表</w:t>
      </w:r>
    </w:p>
    <w:tbl>
      <w:tblPr>
        <w:tblStyle w:val="27"/>
        <w:tblW w:w="9060" w:type="dxa"/>
        <w:tblInd w:w="0" w:type="dxa"/>
        <w:tblBorders>
          <w:top w:val="single" w:color="auto" w:sz="18" w:space="0"/>
          <w:left w:val="single" w:color="auto" w:sz="18" w:space="0"/>
          <w:bottom w:val="single" w:color="auto" w:sz="18" w:space="0"/>
          <w:right w:val="single" w:color="auto" w:sz="18" w:space="0"/>
          <w:insideH w:val="single" w:color="auto" w:sz="6" w:space="0"/>
          <w:insideV w:val="single" w:color="auto" w:sz="6" w:space="0"/>
        </w:tblBorders>
        <w:tblLayout w:type="fixed"/>
        <w:tblCellMar>
          <w:top w:w="0" w:type="dxa"/>
          <w:left w:w="108" w:type="dxa"/>
          <w:bottom w:w="0" w:type="dxa"/>
          <w:right w:w="108" w:type="dxa"/>
        </w:tblCellMar>
      </w:tblPr>
      <w:tblGrid>
        <w:gridCol w:w="958"/>
        <w:gridCol w:w="1560"/>
        <w:gridCol w:w="3119"/>
        <w:gridCol w:w="3423"/>
      </w:tblGrid>
      <w:tr>
        <w:tblPrEx>
          <w:tblBorders>
            <w:top w:val="single" w:color="auto" w:sz="18" w:space="0"/>
            <w:left w:val="single" w:color="auto" w:sz="18" w:space="0"/>
            <w:bottom w:val="single" w:color="auto" w:sz="18" w:space="0"/>
            <w:right w:val="single" w:color="auto" w:sz="18" w:space="0"/>
            <w:insideH w:val="single" w:color="auto" w:sz="6" w:space="0"/>
            <w:insideV w:val="single" w:color="auto" w:sz="6" w:space="0"/>
          </w:tblBorders>
          <w:tblCellMar>
            <w:top w:w="0" w:type="dxa"/>
            <w:left w:w="108" w:type="dxa"/>
            <w:bottom w:w="0" w:type="dxa"/>
            <w:right w:w="108" w:type="dxa"/>
          </w:tblCellMar>
        </w:tblPrEx>
        <w:tc>
          <w:tcPr>
            <w:tcW w:w="958" w:type="dxa"/>
            <w:shd w:val="clear" w:color="auto" w:fill="auto"/>
            <w:vAlign w:val="center"/>
          </w:tcPr>
          <w:p>
            <w:pPr>
              <w:ind w:firstLine="0" w:firstLineChars="0"/>
              <w:jc w:val="center"/>
              <w:rPr>
                <w:rFonts w:ascii="仿宋" w:hAnsi="仿宋" w:eastAsia="仿宋" w:cs="Times New Roman"/>
                <w:sz w:val="30"/>
                <w:szCs w:val="30"/>
              </w:rPr>
            </w:pPr>
            <w:r>
              <w:rPr>
                <w:rFonts w:hint="eastAsia" w:ascii="仿宋" w:hAnsi="仿宋" w:eastAsia="仿宋" w:cs="Times New Roman"/>
                <w:sz w:val="30"/>
                <w:szCs w:val="30"/>
              </w:rPr>
              <w:t>序号</w:t>
            </w:r>
          </w:p>
        </w:tc>
        <w:tc>
          <w:tcPr>
            <w:tcW w:w="1560" w:type="dxa"/>
            <w:shd w:val="clear" w:color="auto" w:fill="auto"/>
            <w:vAlign w:val="center"/>
          </w:tcPr>
          <w:p>
            <w:pPr>
              <w:ind w:firstLine="0" w:firstLineChars="0"/>
              <w:jc w:val="center"/>
              <w:rPr>
                <w:rFonts w:ascii="仿宋" w:hAnsi="仿宋" w:eastAsia="仿宋" w:cs="Times New Roman"/>
                <w:sz w:val="30"/>
                <w:szCs w:val="30"/>
              </w:rPr>
            </w:pPr>
            <w:r>
              <w:rPr>
                <w:rFonts w:hint="eastAsia" w:ascii="仿宋" w:hAnsi="仿宋" w:eastAsia="仿宋" w:cs="Times New Roman"/>
                <w:sz w:val="30"/>
                <w:szCs w:val="30"/>
              </w:rPr>
              <w:t>监控参数</w:t>
            </w:r>
          </w:p>
        </w:tc>
        <w:tc>
          <w:tcPr>
            <w:tcW w:w="3119" w:type="dxa"/>
          </w:tcPr>
          <w:p>
            <w:pPr>
              <w:ind w:firstLine="0" w:firstLineChars="0"/>
              <w:jc w:val="center"/>
              <w:rPr>
                <w:rFonts w:ascii="仿宋" w:hAnsi="仿宋" w:eastAsia="仿宋" w:cs="Times New Roman"/>
                <w:sz w:val="30"/>
                <w:szCs w:val="30"/>
              </w:rPr>
            </w:pPr>
            <w:r>
              <w:rPr>
                <w:rFonts w:hint="eastAsia" w:ascii="仿宋" w:hAnsi="仿宋" w:eastAsia="仿宋" w:cs="Times New Roman"/>
                <w:sz w:val="30"/>
                <w:szCs w:val="30"/>
              </w:rPr>
              <w:t>采集位置</w:t>
            </w:r>
          </w:p>
        </w:tc>
        <w:tc>
          <w:tcPr>
            <w:tcW w:w="3423" w:type="dxa"/>
            <w:shd w:val="clear" w:color="auto" w:fill="auto"/>
            <w:vAlign w:val="center"/>
          </w:tcPr>
          <w:p>
            <w:pPr>
              <w:ind w:firstLine="0" w:firstLineChars="0"/>
              <w:jc w:val="center"/>
              <w:rPr>
                <w:rFonts w:ascii="仿宋" w:hAnsi="仿宋" w:eastAsia="仿宋" w:cs="Times New Roman"/>
                <w:sz w:val="30"/>
                <w:szCs w:val="30"/>
              </w:rPr>
            </w:pPr>
            <w:r>
              <w:rPr>
                <w:rFonts w:hint="eastAsia" w:ascii="仿宋" w:hAnsi="仿宋" w:eastAsia="仿宋" w:cs="Times New Roman"/>
                <w:sz w:val="30"/>
                <w:szCs w:val="30"/>
              </w:rPr>
              <w:t>监控要求</w:t>
            </w:r>
          </w:p>
        </w:tc>
      </w:tr>
      <w:tr>
        <w:tblPrEx>
          <w:tblBorders>
            <w:top w:val="single" w:color="auto" w:sz="18" w:space="0"/>
            <w:left w:val="single" w:color="auto" w:sz="18" w:space="0"/>
            <w:bottom w:val="single" w:color="auto" w:sz="18" w:space="0"/>
            <w:right w:val="single" w:color="auto" w:sz="18" w:space="0"/>
            <w:insideH w:val="single" w:color="auto" w:sz="6" w:space="0"/>
            <w:insideV w:val="single" w:color="auto" w:sz="6" w:space="0"/>
          </w:tblBorders>
          <w:tblCellMar>
            <w:top w:w="0" w:type="dxa"/>
            <w:left w:w="108" w:type="dxa"/>
            <w:bottom w:w="0" w:type="dxa"/>
            <w:right w:w="108" w:type="dxa"/>
          </w:tblCellMar>
        </w:tblPrEx>
        <w:tc>
          <w:tcPr>
            <w:tcW w:w="958" w:type="dxa"/>
            <w:shd w:val="clear" w:color="auto" w:fill="auto"/>
            <w:vAlign w:val="center"/>
          </w:tcPr>
          <w:p>
            <w:pPr>
              <w:ind w:firstLine="0" w:firstLineChars="0"/>
              <w:jc w:val="center"/>
              <w:rPr>
                <w:rFonts w:ascii="仿宋" w:hAnsi="仿宋" w:eastAsia="仿宋" w:cs="Times New Roman"/>
                <w:sz w:val="30"/>
                <w:szCs w:val="30"/>
              </w:rPr>
            </w:pPr>
            <w:r>
              <w:rPr>
                <w:rFonts w:hint="eastAsia" w:eastAsia="仿宋" w:cs="Times New Roman"/>
                <w:szCs w:val="30"/>
              </w:rPr>
              <w:t>1</w:t>
            </w:r>
          </w:p>
        </w:tc>
        <w:tc>
          <w:tcPr>
            <w:tcW w:w="1560" w:type="dxa"/>
            <w:shd w:val="clear" w:color="auto" w:fill="auto"/>
            <w:vAlign w:val="center"/>
          </w:tcPr>
          <w:p>
            <w:pPr>
              <w:ind w:firstLine="0" w:firstLineChars="0"/>
              <w:jc w:val="left"/>
              <w:rPr>
                <w:rFonts w:ascii="仿宋" w:hAnsi="仿宋" w:eastAsia="仿宋" w:cs="Times New Roman"/>
                <w:sz w:val="30"/>
                <w:szCs w:val="30"/>
              </w:rPr>
            </w:pPr>
            <w:r>
              <w:rPr>
                <w:rFonts w:hint="eastAsia" w:ascii="仿宋" w:hAnsi="仿宋" w:eastAsia="仿宋" w:cs="Times New Roman"/>
                <w:sz w:val="30"/>
                <w:szCs w:val="30"/>
              </w:rPr>
              <w:t>电压</w:t>
            </w:r>
          </w:p>
        </w:tc>
        <w:tc>
          <w:tcPr>
            <w:tcW w:w="3119" w:type="dxa"/>
            <w:vAlign w:val="center"/>
          </w:tcPr>
          <w:p>
            <w:pPr>
              <w:ind w:firstLine="0" w:firstLineChars="0"/>
              <w:jc w:val="left"/>
              <w:rPr>
                <w:rFonts w:ascii="仿宋" w:hAnsi="仿宋" w:eastAsia="仿宋" w:cs="Times New Roman"/>
                <w:sz w:val="30"/>
                <w:szCs w:val="30"/>
              </w:rPr>
            </w:pPr>
            <w:r>
              <w:rPr>
                <w:rFonts w:hint="eastAsia" w:ascii="仿宋" w:hAnsi="仿宋" w:eastAsia="仿宋" w:cs="Times New Roman"/>
                <w:sz w:val="30"/>
                <w:szCs w:val="30"/>
              </w:rPr>
              <w:t>控制柜进线端或电力部门</w:t>
            </w:r>
          </w:p>
        </w:tc>
        <w:tc>
          <w:tcPr>
            <w:tcW w:w="3423" w:type="dxa"/>
            <w:shd w:val="clear" w:color="auto" w:fill="auto"/>
            <w:vAlign w:val="center"/>
          </w:tcPr>
          <w:p>
            <w:pPr>
              <w:ind w:firstLine="0" w:firstLineChars="0"/>
              <w:jc w:val="left"/>
              <w:rPr>
                <w:rFonts w:ascii="仿宋" w:hAnsi="仿宋" w:eastAsia="仿宋" w:cs="Times New Roman"/>
                <w:sz w:val="30"/>
                <w:szCs w:val="30"/>
              </w:rPr>
            </w:pPr>
            <w:r>
              <w:rPr>
                <w:rFonts w:hint="eastAsia" w:eastAsia="仿宋" w:cs="Times New Roman"/>
                <w:szCs w:val="30"/>
              </w:rPr>
              <w:t>380v</w:t>
            </w:r>
            <w:r>
              <w:rPr>
                <w:rFonts w:ascii="仿宋" w:hAnsi="仿宋" w:eastAsia="仿宋" w:cs="Times New Roman"/>
                <w:sz w:val="30"/>
                <w:szCs w:val="30"/>
              </w:rPr>
              <w:t>±</w:t>
            </w:r>
            <w:r>
              <w:rPr>
                <w:rFonts w:hint="eastAsia" w:eastAsia="仿宋" w:cs="Times New Roman"/>
                <w:szCs w:val="30"/>
              </w:rPr>
              <w:t>10</w:t>
            </w:r>
            <w:r>
              <w:rPr>
                <w:rFonts w:hint="eastAsia" w:ascii="仿宋" w:hAnsi="仿宋" w:eastAsia="仿宋" w:cs="Times New Roman"/>
                <w:sz w:val="30"/>
                <w:szCs w:val="30"/>
              </w:rPr>
              <w:t>%，无缺相</w:t>
            </w:r>
          </w:p>
        </w:tc>
      </w:tr>
      <w:tr>
        <w:tblPrEx>
          <w:tblBorders>
            <w:top w:val="single" w:color="auto" w:sz="18" w:space="0"/>
            <w:left w:val="single" w:color="auto" w:sz="18" w:space="0"/>
            <w:bottom w:val="single" w:color="auto" w:sz="18" w:space="0"/>
            <w:right w:val="single" w:color="auto" w:sz="18" w:space="0"/>
            <w:insideH w:val="single" w:color="auto" w:sz="6" w:space="0"/>
            <w:insideV w:val="single" w:color="auto" w:sz="6" w:space="0"/>
          </w:tblBorders>
          <w:tblCellMar>
            <w:top w:w="0" w:type="dxa"/>
            <w:left w:w="108" w:type="dxa"/>
            <w:bottom w:w="0" w:type="dxa"/>
            <w:right w:w="108" w:type="dxa"/>
          </w:tblCellMar>
        </w:tblPrEx>
        <w:tc>
          <w:tcPr>
            <w:tcW w:w="958" w:type="dxa"/>
            <w:shd w:val="clear" w:color="auto" w:fill="auto"/>
            <w:vAlign w:val="center"/>
          </w:tcPr>
          <w:p>
            <w:pPr>
              <w:ind w:firstLine="0" w:firstLineChars="0"/>
              <w:jc w:val="center"/>
              <w:rPr>
                <w:rFonts w:ascii="仿宋" w:hAnsi="仿宋" w:eastAsia="仿宋" w:cs="Times New Roman"/>
                <w:sz w:val="30"/>
                <w:szCs w:val="30"/>
              </w:rPr>
            </w:pPr>
            <w:r>
              <w:rPr>
                <w:rFonts w:hint="eastAsia" w:eastAsia="仿宋" w:cs="Times New Roman"/>
                <w:szCs w:val="30"/>
              </w:rPr>
              <w:t>2</w:t>
            </w:r>
          </w:p>
        </w:tc>
        <w:tc>
          <w:tcPr>
            <w:tcW w:w="1560" w:type="dxa"/>
            <w:shd w:val="clear" w:color="auto" w:fill="auto"/>
            <w:vAlign w:val="center"/>
          </w:tcPr>
          <w:p>
            <w:pPr>
              <w:ind w:firstLine="0" w:firstLineChars="0"/>
              <w:jc w:val="left"/>
              <w:rPr>
                <w:rFonts w:ascii="仿宋" w:hAnsi="仿宋" w:eastAsia="仿宋" w:cs="Times New Roman"/>
                <w:sz w:val="30"/>
                <w:szCs w:val="30"/>
              </w:rPr>
            </w:pPr>
            <w:r>
              <w:rPr>
                <w:rFonts w:hint="eastAsia" w:ascii="仿宋" w:hAnsi="仿宋" w:eastAsia="仿宋" w:cs="Times New Roman"/>
                <w:sz w:val="30"/>
                <w:szCs w:val="30"/>
              </w:rPr>
              <w:t>电流</w:t>
            </w:r>
          </w:p>
        </w:tc>
        <w:tc>
          <w:tcPr>
            <w:tcW w:w="3119" w:type="dxa"/>
            <w:vAlign w:val="center"/>
          </w:tcPr>
          <w:p>
            <w:pPr>
              <w:ind w:firstLine="0" w:firstLineChars="0"/>
              <w:jc w:val="left"/>
              <w:rPr>
                <w:rFonts w:ascii="仿宋" w:hAnsi="仿宋" w:eastAsia="仿宋" w:cs="Times New Roman"/>
                <w:sz w:val="30"/>
                <w:szCs w:val="30"/>
              </w:rPr>
            </w:pPr>
            <w:r>
              <w:rPr>
                <w:rFonts w:hint="eastAsia" w:ascii="仿宋" w:hAnsi="仿宋" w:eastAsia="仿宋" w:cs="Times New Roman"/>
                <w:sz w:val="30"/>
                <w:szCs w:val="30"/>
              </w:rPr>
              <w:t>控制柜进线端</w:t>
            </w:r>
          </w:p>
        </w:tc>
        <w:tc>
          <w:tcPr>
            <w:tcW w:w="3423" w:type="dxa"/>
            <w:shd w:val="clear" w:color="auto" w:fill="auto"/>
            <w:vAlign w:val="center"/>
          </w:tcPr>
          <w:p>
            <w:pPr>
              <w:ind w:firstLine="0" w:firstLineChars="0"/>
              <w:jc w:val="left"/>
              <w:rPr>
                <w:rFonts w:ascii="仿宋" w:hAnsi="仿宋" w:eastAsia="仿宋" w:cs="Times New Roman"/>
                <w:sz w:val="30"/>
                <w:szCs w:val="30"/>
              </w:rPr>
            </w:pPr>
            <w:r>
              <w:rPr>
                <w:rFonts w:hint="eastAsia" w:ascii="仿宋" w:hAnsi="仿宋" w:eastAsia="仿宋" w:cs="Times New Roman"/>
                <w:sz w:val="30"/>
                <w:szCs w:val="30"/>
              </w:rPr>
              <w:t>运行电流小于额定电流</w:t>
            </w:r>
          </w:p>
        </w:tc>
      </w:tr>
      <w:tr>
        <w:tblPrEx>
          <w:tblBorders>
            <w:top w:val="single" w:color="auto" w:sz="18" w:space="0"/>
            <w:left w:val="single" w:color="auto" w:sz="18" w:space="0"/>
            <w:bottom w:val="single" w:color="auto" w:sz="18" w:space="0"/>
            <w:right w:val="single" w:color="auto" w:sz="18" w:space="0"/>
            <w:insideH w:val="single" w:color="auto" w:sz="6" w:space="0"/>
            <w:insideV w:val="single" w:color="auto" w:sz="6" w:space="0"/>
          </w:tblBorders>
          <w:tblCellMar>
            <w:top w:w="0" w:type="dxa"/>
            <w:left w:w="108" w:type="dxa"/>
            <w:bottom w:w="0" w:type="dxa"/>
            <w:right w:w="108" w:type="dxa"/>
          </w:tblCellMar>
        </w:tblPrEx>
        <w:tc>
          <w:tcPr>
            <w:tcW w:w="958" w:type="dxa"/>
            <w:shd w:val="clear" w:color="auto" w:fill="auto"/>
            <w:vAlign w:val="center"/>
          </w:tcPr>
          <w:p>
            <w:pPr>
              <w:ind w:firstLine="0" w:firstLineChars="0"/>
              <w:jc w:val="center"/>
              <w:rPr>
                <w:rFonts w:ascii="仿宋" w:hAnsi="仿宋" w:eastAsia="仿宋" w:cs="Times New Roman"/>
                <w:sz w:val="30"/>
                <w:szCs w:val="30"/>
              </w:rPr>
            </w:pPr>
            <w:r>
              <w:rPr>
                <w:rFonts w:hint="eastAsia" w:eastAsia="仿宋" w:cs="Times New Roman"/>
                <w:szCs w:val="30"/>
              </w:rPr>
              <w:t>3</w:t>
            </w:r>
          </w:p>
        </w:tc>
        <w:tc>
          <w:tcPr>
            <w:tcW w:w="1560" w:type="dxa"/>
            <w:shd w:val="clear" w:color="auto" w:fill="auto"/>
            <w:vAlign w:val="center"/>
          </w:tcPr>
          <w:p>
            <w:pPr>
              <w:ind w:firstLine="0" w:firstLineChars="0"/>
              <w:jc w:val="left"/>
              <w:rPr>
                <w:rFonts w:ascii="仿宋" w:hAnsi="仿宋" w:eastAsia="仿宋" w:cs="Times New Roman"/>
                <w:sz w:val="30"/>
                <w:szCs w:val="30"/>
              </w:rPr>
            </w:pPr>
            <w:r>
              <w:rPr>
                <w:rFonts w:hint="eastAsia" w:ascii="仿宋" w:hAnsi="仿宋" w:eastAsia="仿宋" w:cs="Times New Roman"/>
                <w:sz w:val="30"/>
                <w:szCs w:val="30"/>
              </w:rPr>
              <w:t>运行状态</w:t>
            </w:r>
          </w:p>
        </w:tc>
        <w:tc>
          <w:tcPr>
            <w:tcW w:w="3119" w:type="dxa"/>
            <w:vAlign w:val="center"/>
          </w:tcPr>
          <w:p>
            <w:pPr>
              <w:ind w:firstLine="0" w:firstLineChars="0"/>
              <w:jc w:val="left"/>
              <w:rPr>
                <w:rFonts w:ascii="仿宋" w:hAnsi="仿宋" w:eastAsia="仿宋" w:cs="Times New Roman"/>
                <w:sz w:val="30"/>
                <w:szCs w:val="30"/>
              </w:rPr>
            </w:pPr>
            <w:r>
              <w:rPr>
                <w:rFonts w:hint="eastAsia" w:ascii="仿宋" w:hAnsi="仿宋" w:eastAsia="仿宋" w:cs="Times New Roman"/>
                <w:sz w:val="30"/>
                <w:szCs w:val="30"/>
              </w:rPr>
              <w:t>主驱动电机电源线</w:t>
            </w:r>
          </w:p>
        </w:tc>
        <w:tc>
          <w:tcPr>
            <w:tcW w:w="3423" w:type="dxa"/>
            <w:shd w:val="clear" w:color="auto" w:fill="auto"/>
            <w:vAlign w:val="center"/>
          </w:tcPr>
          <w:p>
            <w:pPr>
              <w:ind w:firstLine="0" w:firstLineChars="0"/>
              <w:jc w:val="left"/>
              <w:rPr>
                <w:rFonts w:ascii="仿宋" w:hAnsi="仿宋" w:eastAsia="仿宋" w:cs="Times New Roman"/>
                <w:sz w:val="30"/>
                <w:szCs w:val="30"/>
              </w:rPr>
            </w:pPr>
            <w:r>
              <w:rPr>
                <w:rFonts w:hint="eastAsia" w:ascii="仿宋" w:hAnsi="仿宋" w:eastAsia="仿宋" w:cs="Times New Roman"/>
                <w:sz w:val="30"/>
                <w:szCs w:val="30"/>
              </w:rPr>
              <w:t>不满足运行条件时，设备运行状态应为停机状态</w:t>
            </w:r>
          </w:p>
        </w:tc>
      </w:tr>
      <w:tr>
        <w:tblPrEx>
          <w:tblBorders>
            <w:top w:val="single" w:color="auto" w:sz="18" w:space="0"/>
            <w:left w:val="single" w:color="auto" w:sz="18" w:space="0"/>
            <w:bottom w:val="single" w:color="auto" w:sz="18" w:space="0"/>
            <w:right w:val="single" w:color="auto" w:sz="18" w:space="0"/>
            <w:insideH w:val="single" w:color="auto" w:sz="6" w:space="0"/>
            <w:insideV w:val="single" w:color="auto" w:sz="6" w:space="0"/>
          </w:tblBorders>
          <w:tblCellMar>
            <w:top w:w="0" w:type="dxa"/>
            <w:left w:w="108" w:type="dxa"/>
            <w:bottom w:w="0" w:type="dxa"/>
            <w:right w:w="108" w:type="dxa"/>
          </w:tblCellMar>
        </w:tblPrEx>
        <w:tc>
          <w:tcPr>
            <w:tcW w:w="958" w:type="dxa"/>
            <w:shd w:val="clear" w:color="auto" w:fill="auto"/>
            <w:vAlign w:val="center"/>
          </w:tcPr>
          <w:p>
            <w:pPr>
              <w:ind w:firstLine="0" w:firstLineChars="0"/>
              <w:jc w:val="center"/>
              <w:rPr>
                <w:rFonts w:ascii="仿宋" w:hAnsi="仿宋" w:eastAsia="仿宋" w:cs="Times New Roman"/>
                <w:sz w:val="30"/>
                <w:szCs w:val="30"/>
              </w:rPr>
            </w:pPr>
            <w:r>
              <w:rPr>
                <w:rFonts w:hint="eastAsia" w:eastAsia="仿宋" w:cs="Times New Roman"/>
                <w:szCs w:val="30"/>
              </w:rPr>
              <w:t>4</w:t>
            </w:r>
          </w:p>
        </w:tc>
        <w:tc>
          <w:tcPr>
            <w:tcW w:w="1560" w:type="dxa"/>
            <w:shd w:val="clear" w:color="auto" w:fill="auto"/>
            <w:vAlign w:val="center"/>
          </w:tcPr>
          <w:p>
            <w:pPr>
              <w:ind w:firstLine="0" w:firstLineChars="0"/>
              <w:jc w:val="left"/>
              <w:rPr>
                <w:rFonts w:ascii="仿宋" w:hAnsi="仿宋" w:eastAsia="仿宋" w:cs="Times New Roman"/>
                <w:sz w:val="30"/>
                <w:szCs w:val="30"/>
              </w:rPr>
            </w:pPr>
            <w:r>
              <w:rPr>
                <w:rFonts w:hint="eastAsia" w:ascii="仿宋" w:hAnsi="仿宋" w:eastAsia="仿宋" w:cs="Times New Roman"/>
                <w:sz w:val="30"/>
                <w:szCs w:val="30"/>
              </w:rPr>
              <w:t>智控装置状态</w:t>
            </w:r>
          </w:p>
        </w:tc>
        <w:tc>
          <w:tcPr>
            <w:tcW w:w="3119" w:type="dxa"/>
            <w:vAlign w:val="center"/>
          </w:tcPr>
          <w:p>
            <w:pPr>
              <w:ind w:firstLine="0" w:firstLineChars="0"/>
              <w:jc w:val="left"/>
              <w:rPr>
                <w:rFonts w:ascii="仿宋" w:hAnsi="仿宋" w:eastAsia="仿宋" w:cs="Times New Roman"/>
                <w:sz w:val="30"/>
                <w:szCs w:val="30"/>
              </w:rPr>
            </w:pPr>
            <w:r>
              <w:rPr>
                <w:rFonts w:hint="eastAsia" w:ascii="仿宋" w:hAnsi="仿宋" w:eastAsia="仿宋" w:cs="Times New Roman"/>
                <w:sz w:val="30"/>
                <w:szCs w:val="30"/>
              </w:rPr>
              <w:t>装置电源</w:t>
            </w:r>
          </w:p>
        </w:tc>
        <w:tc>
          <w:tcPr>
            <w:tcW w:w="3423" w:type="dxa"/>
            <w:shd w:val="clear" w:color="auto" w:fill="auto"/>
            <w:vAlign w:val="center"/>
          </w:tcPr>
          <w:p>
            <w:pPr>
              <w:ind w:firstLine="0" w:firstLineChars="0"/>
              <w:jc w:val="left"/>
              <w:rPr>
                <w:rFonts w:ascii="仿宋" w:hAnsi="仿宋" w:eastAsia="仿宋" w:cs="Times New Roman"/>
                <w:sz w:val="30"/>
                <w:szCs w:val="30"/>
              </w:rPr>
            </w:pPr>
            <w:r>
              <w:rPr>
                <w:rFonts w:hint="eastAsia" w:ascii="仿宋" w:hAnsi="仿宋" w:eastAsia="仿宋" w:cs="Times New Roman"/>
                <w:sz w:val="30"/>
                <w:szCs w:val="30"/>
              </w:rPr>
              <w:t>持续在线</w:t>
            </w:r>
          </w:p>
        </w:tc>
      </w:tr>
      <w:tr>
        <w:tblPrEx>
          <w:tblBorders>
            <w:top w:val="single" w:color="auto" w:sz="18" w:space="0"/>
            <w:left w:val="single" w:color="auto" w:sz="18" w:space="0"/>
            <w:bottom w:val="single" w:color="auto" w:sz="18" w:space="0"/>
            <w:right w:val="single" w:color="auto" w:sz="18" w:space="0"/>
            <w:insideH w:val="single" w:color="auto" w:sz="6" w:space="0"/>
            <w:insideV w:val="single" w:color="auto" w:sz="6" w:space="0"/>
          </w:tblBorders>
          <w:tblCellMar>
            <w:top w:w="0" w:type="dxa"/>
            <w:left w:w="108" w:type="dxa"/>
            <w:bottom w:w="0" w:type="dxa"/>
            <w:right w:w="108" w:type="dxa"/>
          </w:tblCellMar>
        </w:tblPrEx>
        <w:tc>
          <w:tcPr>
            <w:tcW w:w="9060" w:type="dxa"/>
            <w:gridSpan w:val="4"/>
          </w:tcPr>
          <w:p>
            <w:pPr>
              <w:ind w:firstLine="0" w:firstLineChars="0"/>
              <w:jc w:val="center"/>
              <w:rPr>
                <w:rFonts w:ascii="仿宋" w:hAnsi="仿宋" w:eastAsia="仿宋" w:cs="Times New Roman"/>
                <w:sz w:val="30"/>
                <w:szCs w:val="30"/>
              </w:rPr>
            </w:pPr>
            <w:r>
              <w:rPr>
                <w:rFonts w:hint="eastAsia" w:ascii="仿宋" w:hAnsi="仿宋" w:eastAsia="仿宋" w:cs="Times New Roman"/>
                <w:sz w:val="30"/>
                <w:szCs w:val="30"/>
              </w:rPr>
              <w:t>注：依据设备运动特性和原理，不同类型游乐设施运行数据不一</w:t>
            </w:r>
          </w:p>
        </w:tc>
      </w:tr>
    </w:tbl>
    <w:p>
      <w:pPr>
        <w:pStyle w:val="7"/>
        <w:numPr>
          <w:ilvl w:val="0"/>
          <w:numId w:val="80"/>
        </w:numPr>
        <w:ind w:firstLine="643"/>
      </w:pPr>
      <w:r>
        <w:rPr>
          <w:rFonts w:hint="eastAsia"/>
        </w:rPr>
        <w:t>大型游乐设施风险预警计算模型要求</w:t>
      </w:r>
    </w:p>
    <w:p>
      <w:pPr>
        <w:ind w:firstLine="640"/>
        <w:rPr>
          <w:rFonts w:ascii="仿宋_GB2312" w:hAnsi="仿宋" w:cs="Times New Roman"/>
          <w:szCs w:val="32"/>
        </w:rPr>
      </w:pPr>
      <w:r>
        <w:rPr>
          <w:rFonts w:hint="eastAsia" w:ascii="仿宋_GB2312" w:hAnsi="仿宋" w:cs="Times New Roman"/>
          <w:szCs w:val="32"/>
        </w:rPr>
        <w:t>大型游乐设施的风险预警模型根据单一的因素判断风险指数。计算模型分为三种，缺陷风险、运行安全风险和环境安全风险。缺陷风险是特定型号大型游乐设施固有缺陷带来的系统性风险，一般通过检验信息、事故案例等发现；运行安全风险是大型游乐设施供电出现问题或运行状态不正常等问题导致的风险，通过分析判断电力部门的供电信息及行状态数据发现；环境安全风险是如高温、雷电、大风、雨雪等天气对设备及乘客造成的损害的风险，通过分析判断气象部门天气预告及运行环境数据发现。</w:t>
      </w:r>
    </w:p>
    <w:p>
      <w:pPr>
        <w:pStyle w:val="6"/>
        <w:numPr>
          <w:ilvl w:val="0"/>
          <w:numId w:val="125"/>
        </w:numPr>
        <w:ind w:left="0" w:firstLine="640"/>
        <w:rPr>
          <w:rFonts w:ascii="仿宋_GB2312"/>
          <w:szCs w:val="32"/>
        </w:rPr>
      </w:pPr>
      <w:r>
        <w:rPr>
          <w:rFonts w:hint="eastAsia" w:ascii="仿宋_GB2312"/>
          <w:szCs w:val="32"/>
        </w:rPr>
        <w:t>管理模式</w:t>
      </w:r>
    </w:p>
    <w:p>
      <w:pPr>
        <w:ind w:firstLine="640"/>
        <w:rPr>
          <w:rFonts w:ascii="仿宋_GB2312" w:hAnsi="仿宋" w:cs="Times New Roman"/>
          <w:szCs w:val="32"/>
        </w:rPr>
      </w:pPr>
      <w:r>
        <w:rPr>
          <w:rFonts w:hint="eastAsia" w:ascii="仿宋_GB2312" w:hAnsi="仿宋" w:cs="Times New Roman"/>
          <w:szCs w:val="32"/>
        </w:rPr>
        <w:t>大型游乐设施智控的信息流转全部在线上完成。线下主要应急处置与应急救援等事宜，信息流转结构如图</w:t>
      </w:r>
      <w:r>
        <w:rPr>
          <w:rFonts w:hint="eastAsia" w:cs="Times New Roman"/>
          <w:szCs w:val="32"/>
        </w:rPr>
        <w:t>1</w:t>
      </w:r>
      <w:r>
        <w:rPr>
          <w:rFonts w:hint="eastAsia" w:ascii="仿宋_GB2312" w:hAnsi="仿宋" w:cs="Times New Roman"/>
          <w:szCs w:val="32"/>
        </w:rPr>
        <w:t>所示。实现大型游乐设施智控应用场景需要多个信息系统协同合作。预警系统采集特种设备安全监管基础数据、大型游乐设施物联网智控监测数据、电力部门和气象部门等数据。通过分析计算，将处理后的信息向其他各个软件系统推送。综合风险信息向行政执法平台推送，行政执法平台对高风险大型游乐设施自动建立核查任务，提高中风险大型游乐设施双随机抽查比例；浙政钉平台供监管人员使用，自动关联监管范围内的大型游乐设施，主动向监管人员推送风险预警等信息；</w:t>
      </w:r>
      <w:r>
        <w:rPr>
          <w:rFonts w:hint="eastAsia" w:ascii="仿宋_GB2312" w:hAnsi="仿宋" w:cs="Times New Roman"/>
          <w:b/>
          <w:szCs w:val="32"/>
        </w:rPr>
        <w:t>浙里办平台</w:t>
      </w:r>
      <w:r>
        <w:rPr>
          <w:rFonts w:hint="eastAsia" w:ascii="仿宋_GB2312" w:hAnsi="仿宋" w:cs="Times New Roman"/>
          <w:szCs w:val="32"/>
        </w:rPr>
        <w:t>使用单位使用，能够自动关联相关大型游乐设施，主动推送预警信息和部分救援信息；“</w:t>
      </w:r>
      <w:r>
        <w:rPr>
          <w:rFonts w:hint="eastAsia" w:ascii="仿宋_GB2312" w:hAnsi="仿宋" w:cs="Times New Roman"/>
          <w:b/>
          <w:szCs w:val="32"/>
        </w:rPr>
        <w:t>大型游乐设施健康码”</w:t>
      </w:r>
      <w:r>
        <w:rPr>
          <w:rFonts w:hint="eastAsia" w:ascii="仿宋_GB2312" w:hAnsi="仿宋" w:cs="Times New Roman"/>
          <w:szCs w:val="32"/>
        </w:rPr>
        <w:t>供乘客使用，提供大型游乐设施信息查询功能及应急情况对外呼叫救援。</w:t>
      </w:r>
    </w:p>
    <w:p>
      <w:pPr>
        <w:ind w:firstLine="640"/>
        <w:jc w:val="center"/>
        <w:rPr>
          <w:rFonts w:ascii="仿宋_GB2312" w:hAnsi="仿宋" w:cs="Times New Roman"/>
          <w:szCs w:val="32"/>
        </w:rPr>
      </w:pPr>
    </w:p>
    <w:p>
      <w:pPr>
        <w:ind w:firstLine="643"/>
        <w:jc w:val="center"/>
        <w:rPr>
          <w:rFonts w:ascii="仿宋_GB2312" w:hAnsi="仿宋" w:cs="Times New Roman"/>
          <w:b/>
          <w:bCs/>
          <w:szCs w:val="32"/>
        </w:rPr>
      </w:pPr>
    </w:p>
    <w:p>
      <w:pPr>
        <w:ind w:firstLine="643"/>
        <w:jc w:val="center"/>
        <w:rPr>
          <w:rFonts w:ascii="仿宋_GB2312" w:hAnsi="仿宋" w:cs="Times New Roman"/>
          <w:b/>
          <w:bCs/>
          <w:szCs w:val="32"/>
        </w:rPr>
      </w:pPr>
    </w:p>
    <w:p>
      <w:pPr>
        <w:pStyle w:val="15"/>
        <w:ind w:firstLine="482"/>
        <w:rPr>
          <w:rFonts w:ascii="仿宋_GB2312" w:hAnsi="仿宋" w:cs="Times New Roman"/>
          <w:b/>
          <w:bCs/>
          <w:szCs w:val="32"/>
        </w:rPr>
      </w:pPr>
    </w:p>
    <w:p>
      <w:pPr>
        <w:pStyle w:val="15"/>
        <w:ind w:firstLine="482"/>
        <w:rPr>
          <w:rFonts w:ascii="仿宋_GB2312" w:hAnsi="仿宋" w:cs="Times New Roman"/>
          <w:b/>
          <w:bCs/>
          <w:szCs w:val="32"/>
        </w:rPr>
      </w:pPr>
    </w:p>
    <w:p>
      <w:pPr>
        <w:pStyle w:val="15"/>
        <w:ind w:firstLine="482"/>
        <w:rPr>
          <w:rFonts w:ascii="仿宋_GB2312" w:hAnsi="仿宋" w:cs="Times New Roman"/>
          <w:b/>
          <w:bCs/>
          <w:szCs w:val="32"/>
        </w:rPr>
      </w:pPr>
    </w:p>
    <w:p>
      <w:pPr>
        <w:pStyle w:val="15"/>
        <w:ind w:firstLine="482"/>
        <w:rPr>
          <w:rFonts w:ascii="仿宋_GB2312" w:hAnsi="仿宋" w:cs="Times New Roman"/>
          <w:b/>
          <w:bCs/>
          <w:szCs w:val="32"/>
        </w:rPr>
      </w:pPr>
    </w:p>
    <w:p>
      <w:pPr>
        <w:ind w:firstLine="643"/>
        <w:jc w:val="center"/>
        <w:rPr>
          <w:rFonts w:ascii="仿宋_GB2312" w:hAnsi="仿宋" w:cs="Times New Roman"/>
          <w:b/>
          <w:bCs/>
          <w:szCs w:val="32"/>
        </w:rPr>
      </w:pPr>
      <w:r>
        <w:rPr>
          <w:rFonts w:hint="eastAsia" w:ascii="仿宋_GB2312" w:hAnsi="仿宋" w:cs="Times New Roman"/>
          <w:b/>
          <w:bCs/>
          <w:szCs w:val="32"/>
        </w:rPr>
        <w:t>信息流转结构</w:t>
      </w:r>
      <w:r>
        <w:rPr>
          <w:rFonts w:ascii="Calibri" w:hAnsi="Calibri" w:cs="Times New Roman"/>
          <w:szCs w:val="22"/>
        </w:rPr>
        <w:drawing>
          <wp:anchor distT="0" distB="0" distL="0" distR="0" simplePos="0" relativeHeight="251659264" behindDoc="0" locked="0" layoutInCell="1" allowOverlap="1">
            <wp:simplePos x="0" y="0"/>
            <wp:positionH relativeFrom="column">
              <wp:posOffset>748030</wp:posOffset>
            </wp:positionH>
            <wp:positionV relativeFrom="paragraph">
              <wp:posOffset>92710</wp:posOffset>
            </wp:positionV>
            <wp:extent cx="4056380" cy="3615690"/>
            <wp:effectExtent l="0" t="0" r="12700" b="1143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7"/>
                    <a:stretch>
                      <a:fillRect/>
                    </a:stretch>
                  </pic:blipFill>
                  <pic:spPr>
                    <a:xfrm>
                      <a:off x="0" y="0"/>
                      <a:ext cx="4056380" cy="3615690"/>
                    </a:xfrm>
                    <a:prstGeom prst="rect">
                      <a:avLst/>
                    </a:prstGeom>
                  </pic:spPr>
                </pic:pic>
              </a:graphicData>
            </a:graphic>
          </wp:anchor>
        </w:drawing>
      </w:r>
    </w:p>
    <w:p>
      <w:pPr>
        <w:pStyle w:val="6"/>
        <w:numPr>
          <w:ilvl w:val="0"/>
          <w:numId w:val="125"/>
        </w:numPr>
        <w:ind w:left="0" w:firstLine="640"/>
        <w:rPr>
          <w:rFonts w:ascii="仿宋_GB2312"/>
          <w:szCs w:val="32"/>
        </w:rPr>
      </w:pPr>
      <w:r>
        <w:rPr>
          <w:rFonts w:hint="eastAsia" w:ascii="仿宋_GB2312"/>
          <w:szCs w:val="32"/>
        </w:rPr>
        <w:t>管理流程</w:t>
      </w:r>
    </w:p>
    <w:p>
      <w:pPr>
        <w:pStyle w:val="7"/>
        <w:numPr>
          <w:ilvl w:val="0"/>
          <w:numId w:val="128"/>
        </w:numPr>
        <w:ind w:firstLine="643"/>
      </w:pPr>
      <w:r>
        <w:rPr>
          <w:rFonts w:hint="eastAsia"/>
        </w:rPr>
        <w:t>风险预警流程</w:t>
      </w:r>
    </w:p>
    <w:p>
      <w:pPr>
        <w:ind w:firstLine="640"/>
        <w:rPr>
          <w:rFonts w:ascii="仿宋_GB2312" w:hAnsi="仿宋" w:cs="Times New Roman"/>
          <w:szCs w:val="32"/>
        </w:rPr>
      </w:pPr>
      <w:r>
        <w:rPr>
          <w:rFonts w:hint="eastAsia" w:ascii="仿宋_GB2312" w:hAnsi="仿宋" w:cs="Times New Roman"/>
          <w:szCs w:val="32"/>
        </w:rPr>
        <w:t>大型游乐设施预警系统根据库内基础数据，对有中、高运行风险的大型游乐设施，通过相应的平台向监管人员、使用单位管理人员推送预警信息。</w:t>
      </w:r>
    </w:p>
    <w:p>
      <w:pPr>
        <w:pStyle w:val="7"/>
        <w:numPr>
          <w:ilvl w:val="0"/>
          <w:numId w:val="128"/>
        </w:numPr>
        <w:ind w:firstLine="643"/>
      </w:pPr>
      <w:r>
        <w:rPr>
          <w:rFonts w:hint="eastAsia"/>
        </w:rPr>
        <w:t>风险等级判定</w:t>
      </w:r>
    </w:p>
    <w:p>
      <w:pPr>
        <w:ind w:firstLine="640"/>
        <w:rPr>
          <w:rFonts w:ascii="仿宋" w:hAnsi="仿宋" w:eastAsia="仿宋" w:cs="Times New Roman"/>
          <w:szCs w:val="32"/>
        </w:rPr>
      </w:pPr>
      <w:r>
        <w:rPr>
          <w:rFonts w:hint="eastAsia" w:ascii="仿宋" w:hAnsi="仿宋" w:eastAsia="仿宋" w:cs="Times New Roman"/>
          <w:szCs w:val="32"/>
        </w:rPr>
        <w:t>预警系统实时监测物联网数据。根据环境及天气条件、雷电、运行状况、作业人员进行判断大型游乐设施处于的风险等级。</w:t>
      </w:r>
    </w:p>
    <w:p>
      <w:pPr>
        <w:pStyle w:val="15"/>
        <w:ind w:firstLine="480"/>
        <w:rPr>
          <w:rFonts w:ascii="仿宋" w:hAnsi="仿宋" w:eastAsia="仿宋" w:cs="Times New Roman"/>
          <w:szCs w:val="32"/>
        </w:rPr>
      </w:pPr>
    </w:p>
    <w:p>
      <w:pPr>
        <w:pStyle w:val="15"/>
        <w:ind w:firstLine="480"/>
        <w:rPr>
          <w:rFonts w:ascii="仿宋" w:hAnsi="仿宋" w:eastAsia="仿宋" w:cs="Times New Roman"/>
          <w:szCs w:val="32"/>
        </w:rPr>
      </w:pPr>
    </w:p>
    <w:p>
      <w:pPr>
        <w:numPr>
          <w:ilvl w:val="0"/>
          <w:numId w:val="129"/>
        </w:numPr>
        <w:ind w:left="0" w:firstLine="640"/>
        <w:rPr>
          <w:rFonts w:ascii="仿宋_GB2312" w:hAnsi="仿宋" w:cs="Times New Roman"/>
          <w:szCs w:val="32"/>
        </w:rPr>
      </w:pPr>
      <w:r>
        <w:rPr>
          <w:rFonts w:hint="eastAsia" w:ascii="仿宋" w:hAnsi="仿宋" w:eastAsia="仿宋" w:cs="Times New Roman"/>
          <w:szCs w:val="32"/>
        </w:rPr>
        <w:t>风险阀值</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04"/>
        <w:gridCol w:w="2749"/>
        <w:gridCol w:w="3469"/>
        <w:gridCol w:w="15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4" w:type="dxa"/>
          </w:tcPr>
          <w:p>
            <w:pPr>
              <w:ind w:left="0" w:leftChars="0" w:firstLine="0" w:firstLineChars="0"/>
              <w:jc w:val="center"/>
              <w:rPr>
                <w:rFonts w:hint="eastAsia" w:ascii="仿宋_GB2312" w:hAnsi="仿宋" w:eastAsia="仿宋_GB2312"/>
                <w:b/>
                <w:bCs/>
                <w:szCs w:val="32"/>
                <w:vertAlign w:val="baseline"/>
                <w:lang w:val="en-US" w:eastAsia="zh-CN"/>
              </w:rPr>
            </w:pPr>
            <w:r>
              <w:rPr>
                <w:rFonts w:hint="eastAsia" w:ascii="仿宋_GB2312" w:hAnsi="仿宋"/>
                <w:b/>
                <w:bCs/>
                <w:szCs w:val="32"/>
                <w:vertAlign w:val="baseline"/>
                <w:lang w:val="en-US" w:eastAsia="zh-CN"/>
              </w:rPr>
              <w:t>风险源</w:t>
            </w:r>
          </w:p>
        </w:tc>
        <w:tc>
          <w:tcPr>
            <w:tcW w:w="2749" w:type="dxa"/>
          </w:tcPr>
          <w:p>
            <w:pPr>
              <w:ind w:left="0" w:leftChars="0" w:firstLine="0" w:firstLineChars="0"/>
              <w:jc w:val="center"/>
              <w:rPr>
                <w:rFonts w:hint="default" w:ascii="仿宋_GB2312" w:hAnsi="仿宋" w:eastAsia="仿宋_GB2312"/>
                <w:b/>
                <w:bCs/>
                <w:szCs w:val="32"/>
                <w:vertAlign w:val="baseline"/>
                <w:lang w:val="en-US" w:eastAsia="zh-CN"/>
              </w:rPr>
            </w:pPr>
            <w:r>
              <w:rPr>
                <w:rFonts w:hint="eastAsia" w:ascii="仿宋_GB2312" w:hAnsi="仿宋"/>
                <w:b/>
                <w:bCs/>
                <w:szCs w:val="32"/>
                <w:vertAlign w:val="baseline"/>
                <w:lang w:val="en-US" w:eastAsia="zh-CN"/>
              </w:rPr>
              <w:t>判定条件</w:t>
            </w:r>
          </w:p>
        </w:tc>
        <w:tc>
          <w:tcPr>
            <w:tcW w:w="3469" w:type="dxa"/>
          </w:tcPr>
          <w:p>
            <w:pPr>
              <w:ind w:left="0" w:leftChars="0" w:firstLine="0" w:firstLineChars="0"/>
              <w:jc w:val="center"/>
              <w:rPr>
                <w:rFonts w:hint="default" w:ascii="仿宋_GB2312" w:hAnsi="仿宋"/>
                <w:b/>
                <w:bCs/>
                <w:szCs w:val="32"/>
                <w:vertAlign w:val="baseline"/>
                <w:lang w:val="en-US" w:eastAsia="zh-CN"/>
              </w:rPr>
            </w:pPr>
            <w:r>
              <w:rPr>
                <w:rFonts w:hint="eastAsia" w:ascii="仿宋_GB2312" w:hAnsi="仿宋"/>
                <w:b/>
                <w:bCs/>
                <w:szCs w:val="32"/>
                <w:vertAlign w:val="baseline"/>
                <w:lang w:val="en-US" w:eastAsia="zh-CN"/>
              </w:rPr>
              <w:t>处置措施</w:t>
            </w:r>
          </w:p>
        </w:tc>
        <w:tc>
          <w:tcPr>
            <w:tcW w:w="1538" w:type="dxa"/>
          </w:tcPr>
          <w:p>
            <w:pPr>
              <w:ind w:left="0" w:leftChars="0" w:firstLine="0" w:firstLineChars="0"/>
              <w:jc w:val="center"/>
              <w:rPr>
                <w:rFonts w:hint="default" w:ascii="仿宋_GB2312" w:hAnsi="仿宋"/>
                <w:b/>
                <w:bCs/>
                <w:szCs w:val="32"/>
                <w:vertAlign w:val="baseline"/>
                <w:lang w:val="en-US" w:eastAsia="zh-CN"/>
              </w:rPr>
            </w:pPr>
            <w:r>
              <w:rPr>
                <w:rFonts w:hint="eastAsia" w:ascii="仿宋_GB2312" w:hAnsi="仿宋"/>
                <w:b/>
                <w:bCs/>
                <w:szCs w:val="32"/>
                <w:vertAlign w:val="baseline"/>
                <w:lang w:val="en-US" w:eastAsia="zh-CN"/>
              </w:rPr>
              <w:t>风险等级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4" w:type="dxa"/>
            <w:vAlign w:val="center"/>
          </w:tcPr>
          <w:p>
            <w:pPr>
              <w:ind w:left="0" w:leftChars="0" w:firstLine="0" w:firstLineChars="0"/>
              <w:jc w:val="center"/>
              <w:rPr>
                <w:rFonts w:hint="eastAsia" w:ascii="仿宋_GB2312" w:hAnsi="仿宋"/>
                <w:szCs w:val="32"/>
                <w:vertAlign w:val="baseline"/>
                <w:lang w:val="en-US" w:eastAsia="zh-CN"/>
              </w:rPr>
            </w:pPr>
            <w:r>
              <w:rPr>
                <w:rFonts w:hint="eastAsia" w:ascii="仿宋_GB2312" w:hAnsi="仿宋"/>
                <w:szCs w:val="32"/>
                <w:vertAlign w:val="baseline"/>
                <w:lang w:val="en-US" w:eastAsia="zh-CN"/>
              </w:rPr>
              <w:t>气象</w:t>
            </w:r>
          </w:p>
          <w:p>
            <w:pPr>
              <w:ind w:left="0" w:leftChars="0" w:firstLine="0" w:firstLineChars="0"/>
              <w:jc w:val="center"/>
              <w:rPr>
                <w:rFonts w:hint="default" w:ascii="仿宋_GB2312" w:hAnsi="仿宋"/>
                <w:szCs w:val="32"/>
                <w:vertAlign w:val="baseline"/>
                <w:lang w:val="en-US" w:eastAsia="zh-CN"/>
              </w:rPr>
            </w:pPr>
            <w:r>
              <w:rPr>
                <w:rFonts w:hint="eastAsia" w:ascii="仿宋_GB2312" w:hAnsi="仿宋"/>
                <w:szCs w:val="32"/>
                <w:vertAlign w:val="baseline"/>
                <w:lang w:val="en-US" w:eastAsia="zh-CN"/>
              </w:rPr>
              <w:t>违规</w:t>
            </w:r>
          </w:p>
        </w:tc>
        <w:tc>
          <w:tcPr>
            <w:tcW w:w="2749" w:type="dxa"/>
            <w:vAlign w:val="center"/>
          </w:tcPr>
          <w:p>
            <w:pPr>
              <w:ind w:left="0" w:leftChars="0" w:firstLine="0" w:firstLineChars="0"/>
              <w:jc w:val="center"/>
              <w:rPr>
                <w:rFonts w:hint="default" w:ascii="仿宋_GB2312" w:hAnsi="仿宋"/>
                <w:szCs w:val="32"/>
                <w:vertAlign w:val="baseline"/>
                <w:lang w:val="en-US" w:eastAsia="zh-CN"/>
              </w:rPr>
            </w:pPr>
            <w:r>
              <w:rPr>
                <w:rFonts w:hint="default" w:ascii="仿宋_GB2312" w:hAnsi="仿宋"/>
                <w:szCs w:val="32"/>
                <w:vertAlign w:val="baseline"/>
                <w:lang w:val="en-US" w:eastAsia="zh-CN"/>
              </w:rPr>
              <w:t>室外大型游乐设施:大雨、暴雨、大雪、暴雪、风速超15m/s</w:t>
            </w:r>
          </w:p>
        </w:tc>
        <w:tc>
          <w:tcPr>
            <w:tcW w:w="3469" w:type="dxa"/>
            <w:vAlign w:val="center"/>
          </w:tcPr>
          <w:p>
            <w:pPr>
              <w:numPr>
                <w:ilvl w:val="0"/>
                <w:numId w:val="0"/>
              </w:numPr>
              <w:ind w:leftChars="0"/>
              <w:jc w:val="left"/>
              <w:rPr>
                <w:rFonts w:hint="eastAsia" w:ascii="仿宋_GB2312" w:hAnsi="仿宋"/>
                <w:szCs w:val="32"/>
                <w:vertAlign w:val="baseline"/>
                <w:lang w:val="en-US" w:eastAsia="zh-CN"/>
              </w:rPr>
            </w:pPr>
            <w:r>
              <w:rPr>
                <w:rFonts w:hint="eastAsia" w:ascii="仿宋_GB2312" w:hAnsi="仿宋"/>
                <w:szCs w:val="32"/>
                <w:vertAlign w:val="baseline"/>
                <w:lang w:val="en-US" w:eastAsia="zh-CN"/>
              </w:rPr>
              <w:t>1.向现场操作人员预警;</w:t>
            </w:r>
          </w:p>
          <w:p>
            <w:pPr>
              <w:numPr>
                <w:ilvl w:val="0"/>
                <w:numId w:val="0"/>
              </w:numPr>
              <w:ind w:leftChars="0"/>
              <w:jc w:val="left"/>
              <w:rPr>
                <w:rFonts w:hint="eastAsia" w:ascii="仿宋_GB2312" w:hAnsi="仿宋"/>
                <w:szCs w:val="32"/>
                <w:vertAlign w:val="baseline"/>
                <w:lang w:val="en-US" w:eastAsia="zh-CN"/>
              </w:rPr>
            </w:pPr>
            <w:r>
              <w:rPr>
                <w:rFonts w:hint="eastAsia" w:ascii="仿宋_GB2312" w:hAnsi="仿宋"/>
                <w:szCs w:val="32"/>
                <w:vertAlign w:val="baseline"/>
                <w:lang w:val="en-US" w:eastAsia="zh-CN"/>
              </w:rPr>
              <w:t>2.向安全管理人员进行预警；</w:t>
            </w:r>
          </w:p>
          <w:p>
            <w:pPr>
              <w:numPr>
                <w:ilvl w:val="0"/>
                <w:numId w:val="0"/>
              </w:numPr>
              <w:ind w:leftChars="0"/>
              <w:jc w:val="left"/>
              <w:rPr>
                <w:rFonts w:hint="eastAsia" w:ascii="仿宋_GB2312" w:hAnsi="仿宋"/>
                <w:szCs w:val="32"/>
                <w:vertAlign w:val="baseline"/>
                <w:lang w:val="en-US" w:eastAsia="zh-CN"/>
              </w:rPr>
            </w:pPr>
            <w:r>
              <w:rPr>
                <w:rFonts w:hint="eastAsia" w:ascii="仿宋_GB2312" w:hAnsi="仿宋"/>
                <w:szCs w:val="32"/>
                <w:vertAlign w:val="baseline"/>
                <w:lang w:val="en-US" w:eastAsia="zh-CN"/>
              </w:rPr>
              <w:t>3.一个月累计违规作业3次,向监察人员进行报警。</w:t>
            </w:r>
          </w:p>
        </w:tc>
        <w:tc>
          <w:tcPr>
            <w:tcW w:w="1538" w:type="dxa"/>
            <w:vAlign w:val="center"/>
          </w:tcPr>
          <w:p>
            <w:pPr>
              <w:ind w:left="0" w:leftChars="0" w:firstLine="0" w:firstLineChars="0"/>
              <w:jc w:val="center"/>
              <w:rPr>
                <w:rFonts w:hint="default" w:ascii="仿宋_GB2312" w:hAnsi="仿宋"/>
                <w:szCs w:val="32"/>
                <w:vertAlign w:val="baseline"/>
                <w:lang w:val="en-US" w:eastAsia="zh-CN"/>
              </w:rPr>
            </w:pPr>
            <w:r>
              <w:rPr>
                <w:rFonts w:hint="eastAsia" w:ascii="仿宋_GB2312" w:hAnsi="仿宋"/>
                <w:szCs w:val="32"/>
                <w:vertAlign w:val="baseline"/>
                <w:lang w:val="en-US" w:eastAsia="zh-CN"/>
              </w:rPr>
              <w:t>高风险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4" w:type="dxa"/>
            <w:vMerge w:val="restart"/>
            <w:vAlign w:val="center"/>
          </w:tcPr>
          <w:p>
            <w:pPr>
              <w:ind w:left="0" w:leftChars="0" w:firstLine="0" w:firstLineChars="0"/>
              <w:jc w:val="center"/>
              <w:rPr>
                <w:rFonts w:hint="eastAsia" w:ascii="仿宋_GB2312" w:hAnsi="仿宋"/>
                <w:szCs w:val="32"/>
                <w:vertAlign w:val="baseline"/>
                <w:lang w:val="en-US" w:eastAsia="zh-CN"/>
              </w:rPr>
            </w:pPr>
            <w:r>
              <w:rPr>
                <w:rFonts w:hint="eastAsia" w:ascii="仿宋_GB2312" w:hAnsi="仿宋"/>
                <w:szCs w:val="32"/>
                <w:vertAlign w:val="baseline"/>
                <w:lang w:val="en-US" w:eastAsia="zh-CN"/>
              </w:rPr>
              <w:t>运行</w:t>
            </w:r>
          </w:p>
          <w:p>
            <w:pPr>
              <w:ind w:left="0" w:leftChars="0" w:firstLine="0" w:firstLineChars="0"/>
              <w:jc w:val="center"/>
              <w:rPr>
                <w:rFonts w:hint="default" w:ascii="仿宋_GB2312" w:hAnsi="仿宋"/>
                <w:szCs w:val="32"/>
                <w:vertAlign w:val="baseline"/>
                <w:lang w:val="en-US" w:eastAsia="zh-CN"/>
              </w:rPr>
            </w:pPr>
            <w:r>
              <w:rPr>
                <w:rFonts w:hint="eastAsia" w:ascii="仿宋_GB2312" w:hAnsi="仿宋"/>
                <w:szCs w:val="32"/>
                <w:vertAlign w:val="baseline"/>
                <w:lang w:val="en-US" w:eastAsia="zh-CN"/>
              </w:rPr>
              <w:t>异常</w:t>
            </w:r>
          </w:p>
        </w:tc>
        <w:tc>
          <w:tcPr>
            <w:tcW w:w="2749" w:type="dxa"/>
            <w:vAlign w:val="center"/>
          </w:tcPr>
          <w:p>
            <w:pPr>
              <w:ind w:left="0" w:leftChars="0" w:firstLine="0" w:firstLineChars="0"/>
              <w:jc w:val="center"/>
              <w:rPr>
                <w:rFonts w:hint="default" w:ascii="仿宋_GB2312" w:hAnsi="仿宋"/>
                <w:szCs w:val="32"/>
                <w:vertAlign w:val="baseline"/>
                <w:lang w:val="en-US" w:eastAsia="zh-CN"/>
              </w:rPr>
            </w:pPr>
            <w:r>
              <w:rPr>
                <w:rFonts w:hint="eastAsia" w:ascii="仿宋_GB2312" w:hAnsi="仿宋"/>
                <w:szCs w:val="32"/>
                <w:vertAlign w:val="baseline"/>
                <w:lang w:val="en-US" w:eastAsia="zh-CN"/>
              </w:rPr>
              <w:t>主电机三相运行电流大于额定电流</w:t>
            </w:r>
          </w:p>
        </w:tc>
        <w:tc>
          <w:tcPr>
            <w:tcW w:w="3469" w:type="dxa"/>
            <w:vAlign w:val="center"/>
          </w:tcPr>
          <w:p>
            <w:pPr>
              <w:numPr>
                <w:ilvl w:val="0"/>
                <w:numId w:val="0"/>
              </w:numPr>
              <w:ind w:leftChars="0"/>
              <w:jc w:val="left"/>
              <w:rPr>
                <w:rFonts w:hint="eastAsia" w:ascii="仿宋_GB2312" w:hAnsi="仿宋"/>
                <w:szCs w:val="32"/>
                <w:vertAlign w:val="baseline"/>
                <w:lang w:val="en-US" w:eastAsia="zh-CN"/>
              </w:rPr>
            </w:pPr>
            <w:r>
              <w:rPr>
                <w:rFonts w:hint="eastAsia" w:ascii="仿宋_GB2312" w:hAnsi="仿宋"/>
                <w:szCs w:val="32"/>
                <w:vertAlign w:val="baseline"/>
                <w:lang w:val="en-US" w:eastAsia="zh-CN"/>
              </w:rPr>
              <w:t>1.向安全管理人员进行预警；</w:t>
            </w:r>
          </w:p>
          <w:p>
            <w:pPr>
              <w:ind w:left="0" w:leftChars="0" w:firstLine="0" w:firstLineChars="0"/>
              <w:jc w:val="left"/>
              <w:rPr>
                <w:rFonts w:hint="eastAsia" w:ascii="仿宋_GB2312" w:hAnsi="仿宋"/>
                <w:szCs w:val="32"/>
                <w:vertAlign w:val="baseline"/>
                <w:lang w:val="en-US" w:eastAsia="zh-CN"/>
              </w:rPr>
            </w:pPr>
            <w:r>
              <w:rPr>
                <w:rFonts w:hint="eastAsia" w:ascii="仿宋_GB2312" w:hAnsi="仿宋"/>
                <w:szCs w:val="32"/>
                <w:vertAlign w:val="baseline"/>
                <w:lang w:val="en-US" w:eastAsia="zh-CN"/>
              </w:rPr>
              <w:t>2.一个月累计违规作业3次,向监察人员进行报警。</w:t>
            </w:r>
          </w:p>
        </w:tc>
        <w:tc>
          <w:tcPr>
            <w:tcW w:w="1538" w:type="dxa"/>
            <w:vAlign w:val="center"/>
          </w:tcPr>
          <w:p>
            <w:pPr>
              <w:ind w:left="0" w:leftChars="0" w:firstLine="0" w:firstLineChars="0"/>
              <w:jc w:val="center"/>
              <w:rPr>
                <w:rFonts w:hint="default" w:ascii="仿宋_GB2312" w:hAnsi="仿宋"/>
                <w:szCs w:val="32"/>
                <w:vertAlign w:val="baseline"/>
                <w:lang w:val="en-US" w:eastAsia="zh-CN"/>
              </w:rPr>
            </w:pPr>
            <w:r>
              <w:rPr>
                <w:rFonts w:hint="eastAsia" w:ascii="仿宋_GB2312" w:hAnsi="仿宋"/>
                <w:szCs w:val="32"/>
                <w:vertAlign w:val="baseline"/>
                <w:lang w:val="en-US" w:eastAsia="zh-CN"/>
              </w:rPr>
              <w:t>高风险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4" w:type="dxa"/>
            <w:vMerge w:val="continue"/>
            <w:vAlign w:val="center"/>
          </w:tcPr>
          <w:p>
            <w:pPr>
              <w:ind w:left="0" w:leftChars="0" w:firstLine="0" w:firstLineChars="0"/>
              <w:jc w:val="center"/>
              <w:rPr>
                <w:rFonts w:hint="eastAsia" w:ascii="仿宋_GB2312" w:hAnsi="仿宋"/>
                <w:szCs w:val="32"/>
                <w:vertAlign w:val="baseline"/>
                <w:lang w:val="en-US" w:eastAsia="zh-CN"/>
              </w:rPr>
            </w:pPr>
          </w:p>
        </w:tc>
        <w:tc>
          <w:tcPr>
            <w:tcW w:w="2749" w:type="dxa"/>
            <w:vAlign w:val="center"/>
          </w:tcPr>
          <w:p>
            <w:pPr>
              <w:ind w:left="0" w:leftChars="0" w:firstLine="0" w:firstLineChars="0"/>
              <w:jc w:val="center"/>
              <w:rPr>
                <w:rFonts w:hint="default" w:ascii="仿宋_GB2312" w:hAnsi="仿宋"/>
                <w:szCs w:val="32"/>
                <w:vertAlign w:val="baseline"/>
                <w:lang w:val="en-US" w:eastAsia="zh-CN"/>
              </w:rPr>
            </w:pPr>
            <w:r>
              <w:rPr>
                <w:rFonts w:hint="eastAsia" w:ascii="仿宋_GB2312" w:hAnsi="仿宋"/>
                <w:szCs w:val="32"/>
                <w:vertAlign w:val="baseline"/>
                <w:lang w:val="en-US" w:eastAsia="zh-CN"/>
              </w:rPr>
              <w:t>主电机电压三相运行电压超过380±10%范围</w:t>
            </w:r>
          </w:p>
        </w:tc>
        <w:tc>
          <w:tcPr>
            <w:tcW w:w="3469" w:type="dxa"/>
            <w:vAlign w:val="center"/>
          </w:tcPr>
          <w:p>
            <w:pPr>
              <w:numPr>
                <w:ilvl w:val="0"/>
                <w:numId w:val="0"/>
              </w:numPr>
              <w:ind w:leftChars="0"/>
              <w:jc w:val="left"/>
              <w:rPr>
                <w:rFonts w:hint="eastAsia" w:ascii="仿宋_GB2312" w:hAnsi="仿宋"/>
                <w:szCs w:val="32"/>
                <w:vertAlign w:val="baseline"/>
                <w:lang w:val="en-US" w:eastAsia="zh-CN"/>
              </w:rPr>
            </w:pPr>
            <w:r>
              <w:rPr>
                <w:rFonts w:hint="eastAsia" w:ascii="仿宋_GB2312" w:hAnsi="仿宋"/>
                <w:szCs w:val="32"/>
                <w:vertAlign w:val="baseline"/>
                <w:lang w:val="en-US" w:eastAsia="zh-CN"/>
              </w:rPr>
              <w:t>1.向安全管理人员进行预警；</w:t>
            </w:r>
          </w:p>
          <w:p>
            <w:pPr>
              <w:ind w:left="0" w:leftChars="0" w:firstLine="0" w:firstLineChars="0"/>
              <w:jc w:val="center"/>
              <w:rPr>
                <w:rFonts w:hint="eastAsia" w:ascii="仿宋_GB2312" w:hAnsi="仿宋"/>
                <w:szCs w:val="32"/>
                <w:vertAlign w:val="baseline"/>
                <w:lang w:val="en-US" w:eastAsia="zh-CN"/>
              </w:rPr>
            </w:pPr>
            <w:r>
              <w:rPr>
                <w:rFonts w:hint="eastAsia" w:ascii="仿宋_GB2312" w:hAnsi="仿宋"/>
                <w:szCs w:val="32"/>
                <w:vertAlign w:val="baseline"/>
                <w:lang w:val="en-US" w:eastAsia="zh-CN"/>
              </w:rPr>
              <w:t>2.一个月累计违规作业3次,向监察人员进行报警。</w:t>
            </w:r>
          </w:p>
        </w:tc>
        <w:tc>
          <w:tcPr>
            <w:tcW w:w="1538" w:type="dxa"/>
            <w:vAlign w:val="center"/>
          </w:tcPr>
          <w:p>
            <w:pPr>
              <w:ind w:left="0" w:leftChars="0" w:firstLine="0" w:firstLineChars="0"/>
              <w:jc w:val="center"/>
              <w:rPr>
                <w:rFonts w:hint="default" w:ascii="仿宋_GB2312" w:hAnsi="仿宋"/>
                <w:szCs w:val="32"/>
                <w:vertAlign w:val="baseline"/>
                <w:lang w:val="en-US" w:eastAsia="zh-CN"/>
              </w:rPr>
            </w:pPr>
            <w:r>
              <w:rPr>
                <w:rFonts w:hint="eastAsia" w:ascii="仿宋_GB2312" w:hAnsi="仿宋"/>
                <w:szCs w:val="32"/>
                <w:vertAlign w:val="baseline"/>
                <w:lang w:val="en-US" w:eastAsia="zh-CN"/>
              </w:rPr>
              <w:t>中风险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4" w:type="dxa"/>
            <w:vAlign w:val="center"/>
          </w:tcPr>
          <w:p>
            <w:pPr>
              <w:ind w:left="0" w:leftChars="0" w:firstLine="0" w:firstLineChars="0"/>
              <w:jc w:val="center"/>
              <w:rPr>
                <w:rFonts w:hint="eastAsia" w:ascii="仿宋_GB2312" w:hAnsi="仿宋"/>
                <w:szCs w:val="32"/>
                <w:vertAlign w:val="baseline"/>
                <w:lang w:val="en-US" w:eastAsia="zh-CN"/>
              </w:rPr>
            </w:pPr>
            <w:r>
              <w:rPr>
                <w:rFonts w:hint="eastAsia" w:ascii="仿宋_GB2312" w:hAnsi="仿宋"/>
                <w:szCs w:val="32"/>
                <w:vertAlign w:val="baseline"/>
                <w:lang w:val="en-US" w:eastAsia="zh-CN"/>
              </w:rPr>
              <w:t>持证</w:t>
            </w:r>
          </w:p>
          <w:p>
            <w:pPr>
              <w:ind w:left="0" w:leftChars="0" w:firstLine="0" w:firstLineChars="0"/>
              <w:jc w:val="center"/>
              <w:rPr>
                <w:rFonts w:hint="default" w:ascii="仿宋_GB2312" w:hAnsi="仿宋"/>
                <w:szCs w:val="32"/>
                <w:vertAlign w:val="baseline"/>
                <w:lang w:val="en-US" w:eastAsia="zh-CN"/>
              </w:rPr>
            </w:pPr>
            <w:r>
              <w:rPr>
                <w:rFonts w:hint="eastAsia" w:ascii="仿宋_GB2312" w:hAnsi="仿宋"/>
                <w:szCs w:val="32"/>
                <w:vertAlign w:val="baseline"/>
                <w:lang w:val="en-US" w:eastAsia="zh-CN"/>
              </w:rPr>
              <w:t>违规</w:t>
            </w:r>
          </w:p>
        </w:tc>
        <w:tc>
          <w:tcPr>
            <w:tcW w:w="2749" w:type="dxa"/>
            <w:vAlign w:val="center"/>
          </w:tcPr>
          <w:p>
            <w:pPr>
              <w:ind w:left="0" w:leftChars="0" w:firstLine="0" w:firstLineChars="0"/>
              <w:jc w:val="center"/>
              <w:rPr>
                <w:rFonts w:hint="default" w:ascii="仿宋_GB2312" w:hAnsi="仿宋"/>
                <w:szCs w:val="32"/>
                <w:vertAlign w:val="baseline"/>
                <w:lang w:val="en-US" w:eastAsia="zh-CN"/>
              </w:rPr>
            </w:pPr>
            <w:r>
              <w:rPr>
                <w:rFonts w:hint="eastAsia" w:ascii="仿宋_GB2312" w:hAnsi="仿宋"/>
                <w:szCs w:val="32"/>
                <w:vertAlign w:val="baseline"/>
                <w:lang w:val="en-US" w:eastAsia="zh-CN"/>
              </w:rPr>
              <w:t>设备处于运行状态，持证操作人员数量为0</w:t>
            </w:r>
          </w:p>
        </w:tc>
        <w:tc>
          <w:tcPr>
            <w:tcW w:w="3469" w:type="dxa"/>
            <w:vAlign w:val="center"/>
          </w:tcPr>
          <w:p>
            <w:pPr>
              <w:numPr>
                <w:ilvl w:val="0"/>
                <w:numId w:val="0"/>
              </w:numPr>
              <w:ind w:leftChars="0"/>
              <w:jc w:val="left"/>
              <w:rPr>
                <w:rFonts w:hint="eastAsia" w:ascii="仿宋_GB2312" w:hAnsi="仿宋"/>
                <w:szCs w:val="32"/>
                <w:vertAlign w:val="baseline"/>
                <w:lang w:val="en-US" w:eastAsia="zh-CN"/>
              </w:rPr>
            </w:pPr>
            <w:r>
              <w:rPr>
                <w:rFonts w:hint="eastAsia" w:ascii="仿宋_GB2312" w:hAnsi="仿宋"/>
                <w:szCs w:val="32"/>
                <w:vertAlign w:val="baseline"/>
                <w:lang w:val="en-US" w:eastAsia="zh-CN"/>
              </w:rPr>
              <w:t>1.向安全管理人员进行预警；</w:t>
            </w:r>
          </w:p>
          <w:p>
            <w:pPr>
              <w:ind w:left="0" w:leftChars="0" w:firstLine="0" w:firstLineChars="0"/>
              <w:jc w:val="center"/>
              <w:rPr>
                <w:rFonts w:hint="eastAsia" w:ascii="仿宋_GB2312" w:hAnsi="仿宋"/>
                <w:szCs w:val="32"/>
                <w:vertAlign w:val="baseline"/>
                <w:lang w:val="en-US" w:eastAsia="zh-CN"/>
              </w:rPr>
            </w:pPr>
            <w:r>
              <w:rPr>
                <w:rFonts w:hint="eastAsia" w:ascii="仿宋_GB2312" w:hAnsi="仿宋"/>
                <w:szCs w:val="32"/>
                <w:vertAlign w:val="baseline"/>
                <w:lang w:val="en-US" w:eastAsia="zh-CN"/>
              </w:rPr>
              <w:t>2.一个月累计违规作业3次,向监察人员进行报警。</w:t>
            </w:r>
          </w:p>
        </w:tc>
        <w:tc>
          <w:tcPr>
            <w:tcW w:w="1538" w:type="dxa"/>
            <w:vAlign w:val="center"/>
          </w:tcPr>
          <w:p>
            <w:pPr>
              <w:ind w:left="0" w:leftChars="0" w:firstLine="0" w:firstLineChars="0"/>
              <w:jc w:val="center"/>
              <w:rPr>
                <w:rFonts w:hint="default" w:ascii="仿宋_GB2312" w:hAnsi="仿宋"/>
                <w:szCs w:val="32"/>
                <w:vertAlign w:val="baseline"/>
                <w:lang w:val="en-US" w:eastAsia="zh-CN"/>
              </w:rPr>
            </w:pPr>
            <w:r>
              <w:rPr>
                <w:rFonts w:hint="eastAsia" w:ascii="仿宋_GB2312" w:hAnsi="仿宋"/>
                <w:szCs w:val="32"/>
                <w:vertAlign w:val="baseline"/>
                <w:lang w:val="en-US" w:eastAsia="zh-CN"/>
              </w:rPr>
              <w:t>高风险</w:t>
            </w:r>
          </w:p>
        </w:tc>
      </w:tr>
    </w:tbl>
    <w:p>
      <w:pPr>
        <w:numPr>
          <w:ilvl w:val="0"/>
          <w:numId w:val="0"/>
        </w:numPr>
        <w:ind w:leftChars="200"/>
        <w:rPr>
          <w:rFonts w:ascii="仿宋_GB2312" w:hAnsi="仿宋" w:cs="Times New Roman"/>
          <w:szCs w:val="32"/>
        </w:rPr>
      </w:pPr>
    </w:p>
    <w:p>
      <w:pPr>
        <w:pStyle w:val="7"/>
        <w:numPr>
          <w:ilvl w:val="0"/>
          <w:numId w:val="128"/>
        </w:numPr>
        <w:ind w:firstLine="643"/>
      </w:pPr>
      <w:r>
        <w:rPr>
          <w:rFonts w:hint="eastAsia"/>
        </w:rPr>
        <w:t>信息查询流程</w:t>
      </w:r>
    </w:p>
    <w:p>
      <w:pPr>
        <w:ind w:firstLine="640"/>
        <w:rPr>
          <w:rFonts w:ascii="仿宋_GB2312" w:hAnsi="仿宋" w:cs="Times New Roman"/>
          <w:szCs w:val="32"/>
        </w:rPr>
      </w:pPr>
      <w:r>
        <w:rPr>
          <w:rFonts w:hint="eastAsia" w:ascii="仿宋_GB2312" w:hAnsi="仿宋" w:cs="Times New Roman"/>
          <w:szCs w:val="32"/>
        </w:rPr>
        <w:t>通过微信扫一扫，乘客可以查询大型游乐设施健康码。选择感兴趣的信息内容，也可以查询具体信息，或通过“健康码”进行救援。</w:t>
      </w:r>
    </w:p>
    <w:p>
      <w:pPr>
        <w:pStyle w:val="6"/>
        <w:numPr>
          <w:ilvl w:val="0"/>
          <w:numId w:val="125"/>
        </w:numPr>
        <w:ind w:left="0" w:firstLine="640"/>
        <w:rPr>
          <w:rFonts w:ascii="仿宋_GB2312"/>
          <w:szCs w:val="32"/>
        </w:rPr>
      </w:pPr>
      <w:r>
        <w:rPr>
          <w:rFonts w:hint="eastAsia" w:ascii="仿宋_GB2312"/>
          <w:szCs w:val="32"/>
        </w:rPr>
        <w:t>责任划分</w:t>
      </w:r>
    </w:p>
    <w:p>
      <w:pPr>
        <w:ind w:firstLine="640"/>
        <w:rPr>
          <w:rFonts w:ascii="仿宋_GB2312" w:hAnsi="黑体" w:cs="Times New Roman"/>
          <w:bCs/>
          <w:szCs w:val="32"/>
        </w:rPr>
      </w:pPr>
      <w:r>
        <w:rPr>
          <w:rFonts w:hint="eastAsia" w:ascii="仿宋_GB2312" w:hAnsi="仿宋" w:cs="Times New Roman"/>
          <w:szCs w:val="32"/>
        </w:rPr>
        <w:t>省局统一建设大型游乐设施智控系统</w:t>
      </w:r>
      <w:r>
        <w:rPr>
          <w:rFonts w:hint="eastAsia" w:ascii="仿宋_GB2312" w:hAnsi="黑体" w:cs="Times New Roman"/>
          <w:bCs/>
          <w:szCs w:val="32"/>
        </w:rPr>
        <w:t>，负责组织开发相关相对应软件系统，协调数据接入。</w:t>
      </w:r>
    </w:p>
    <w:p>
      <w:pPr>
        <w:ind w:firstLine="640"/>
        <w:rPr>
          <w:rFonts w:ascii="仿宋_GB2312" w:hAnsi="黑体" w:cs="Times New Roman"/>
          <w:bCs/>
          <w:szCs w:val="32"/>
        </w:rPr>
      </w:pPr>
      <w:r>
        <w:rPr>
          <w:rFonts w:hint="eastAsia" w:ascii="仿宋_GB2312" w:hAnsi="黑体" w:cs="Times New Roman"/>
          <w:bCs/>
          <w:szCs w:val="32"/>
        </w:rPr>
        <w:t>各市局做好自己地区大型游乐设施物联网数据接入工作，督促安装物联智控装置的大型游乐设施将数据按照要求传输至信息系统，打击私自拆除、停用物联智控装置，做好风险处置闭环工作。</w:t>
      </w:r>
    </w:p>
    <w:p>
      <w:pPr>
        <w:ind w:firstLine="640"/>
        <w:rPr>
          <w:rFonts w:ascii="仿宋_GB2312" w:hAnsi="黑体" w:cs="Times New Roman"/>
          <w:bCs/>
          <w:szCs w:val="32"/>
        </w:rPr>
      </w:pPr>
      <w:r>
        <w:rPr>
          <w:rFonts w:hint="eastAsia" w:ascii="仿宋_GB2312" w:hAnsi="黑体" w:cs="Times New Roman"/>
          <w:bCs/>
          <w:szCs w:val="32"/>
        </w:rPr>
        <w:t>各大型游乐设施使用单位，安装浙里办应用，时刻关注推送信息，做好相应的救援、应急准备等工作。</w:t>
      </w:r>
    </w:p>
    <w:p>
      <w:pPr>
        <w:ind w:firstLine="640"/>
        <w:jc w:val="left"/>
        <w:rPr>
          <w:rFonts w:ascii="仿宋_GB2312" w:hAnsi="黑体" w:cs="Times New Roman"/>
          <w:bCs/>
          <w:szCs w:val="32"/>
        </w:rPr>
      </w:pPr>
      <w:r>
        <w:rPr>
          <w:rFonts w:hint="eastAsia" w:ascii="仿宋_GB2312" w:hAnsi="黑体" w:cs="Times New Roman"/>
          <w:bCs/>
          <w:szCs w:val="32"/>
        </w:rPr>
        <w:t>物联网监测系统不增加现场作业人员工作量，采用少维护或免维护形式。不干涉设备运行，不降低游乐设施安全性，监测传感器、取电模板及信号输出均应独立于设备控制系统，取电模块及信号电缆均采用屏蔽线，屏蔽层和本系统的接地相连，</w:t>
      </w:r>
      <w:r>
        <w:rPr>
          <w:rFonts w:hint="eastAsia" w:cs="Times New Roman"/>
          <w:bCs/>
          <w:szCs w:val="32"/>
        </w:rPr>
        <w:t>EMI</w:t>
      </w:r>
      <w:r>
        <w:rPr>
          <w:rFonts w:hint="eastAsia" w:ascii="仿宋_GB2312" w:hAnsi="黑体" w:cs="Times New Roman"/>
          <w:bCs/>
          <w:szCs w:val="32"/>
        </w:rPr>
        <w:t>指标符合国家标准要求。</w:t>
      </w:r>
    </w:p>
    <w:p>
      <w:pPr>
        <w:ind w:firstLine="640"/>
        <w:jc w:val="left"/>
        <w:rPr>
          <w:rFonts w:ascii="仿宋_GB2312" w:hAnsi="黑体" w:cs="Times New Roman"/>
          <w:bCs/>
          <w:szCs w:val="32"/>
        </w:rPr>
      </w:pPr>
      <w:r>
        <w:rPr>
          <w:rFonts w:hint="eastAsia" w:ascii="仿宋_GB2312" w:hAnsi="黑体" w:cs="Times New Roman"/>
          <w:bCs/>
          <w:szCs w:val="32"/>
        </w:rPr>
        <w:t>物联网监测系统应取得计划安装的大型游乐设施设计单位、制造单位、使用单位同意，并通过设计安全评估后投入调试运行。</w:t>
      </w:r>
    </w:p>
    <w:p>
      <w:pPr>
        <w:pStyle w:val="5"/>
        <w:numPr>
          <w:ilvl w:val="3"/>
          <w:numId w:val="122"/>
        </w:numPr>
        <w:ind w:left="0" w:firstLine="643"/>
        <w:rPr>
          <w:rFonts w:ascii="仿宋_GB2312"/>
          <w:szCs w:val="32"/>
        </w:rPr>
      </w:pPr>
      <w:bookmarkStart w:id="149" w:name="_Toc21051"/>
      <w:bookmarkStart w:id="150" w:name="_Toc22529"/>
      <w:r>
        <w:rPr>
          <w:rFonts w:hint="eastAsia" w:ascii="仿宋_GB2312"/>
          <w:szCs w:val="32"/>
        </w:rPr>
        <w:t>整合数据资源</w:t>
      </w:r>
      <w:bookmarkEnd w:id="149"/>
      <w:bookmarkEnd w:id="150"/>
    </w:p>
    <w:p>
      <w:pPr>
        <w:pStyle w:val="6"/>
        <w:numPr>
          <w:ilvl w:val="0"/>
          <w:numId w:val="130"/>
        </w:numPr>
        <w:ind w:left="0" w:firstLine="640"/>
        <w:rPr>
          <w:rFonts w:ascii="仿宋_GB2312"/>
          <w:szCs w:val="32"/>
        </w:rPr>
      </w:pPr>
      <w:r>
        <w:rPr>
          <w:rFonts w:hint="eastAsia" w:ascii="仿宋_GB2312"/>
          <w:szCs w:val="32"/>
        </w:rPr>
        <w:t>对接局内系统情况</w:t>
      </w:r>
    </w:p>
    <w:p>
      <w:pPr>
        <w:ind w:left="640" w:leftChars="200" w:firstLine="0" w:firstLineChars="0"/>
        <w:rPr>
          <w:rFonts w:ascii="仿宋_GB2312" w:hAnsi="仿宋" w:cs="Times New Roman"/>
          <w:szCs w:val="32"/>
        </w:rPr>
      </w:pPr>
      <w:r>
        <w:rPr>
          <w:rFonts w:hint="eastAsia" w:ascii="仿宋_GB2312" w:hAnsi="仿宋" w:cs="Times New Roman"/>
          <w:szCs w:val="32"/>
        </w:rPr>
        <w:t>行政执法平台，接口形式对接。</w:t>
      </w:r>
    </w:p>
    <w:p>
      <w:pPr>
        <w:pStyle w:val="6"/>
        <w:numPr>
          <w:ilvl w:val="0"/>
          <w:numId w:val="130"/>
        </w:numPr>
        <w:ind w:left="0" w:firstLine="640"/>
        <w:rPr>
          <w:rFonts w:ascii="仿宋_GB2312"/>
          <w:szCs w:val="32"/>
        </w:rPr>
      </w:pPr>
      <w:r>
        <w:rPr>
          <w:rFonts w:hint="eastAsia" w:ascii="仿宋_GB2312"/>
          <w:szCs w:val="32"/>
        </w:rPr>
        <w:t>其他部门系统情况</w:t>
      </w:r>
    </w:p>
    <w:p>
      <w:pPr>
        <w:numPr>
          <w:ilvl w:val="0"/>
          <w:numId w:val="131"/>
        </w:numPr>
        <w:ind w:left="0" w:firstLine="640"/>
        <w:rPr>
          <w:rFonts w:ascii="仿宋_GB2312" w:hAnsi="仿宋" w:cs="Times New Roman"/>
          <w:szCs w:val="32"/>
        </w:rPr>
      </w:pPr>
      <w:r>
        <w:rPr>
          <w:rFonts w:hint="eastAsia" w:ascii="仿宋_GB2312" w:hAnsi="仿宋" w:cs="Times New Roman"/>
          <w:szCs w:val="32"/>
        </w:rPr>
        <w:t>气象预告系统，接口形式对接。</w:t>
      </w:r>
    </w:p>
    <w:p>
      <w:pPr>
        <w:numPr>
          <w:ilvl w:val="0"/>
          <w:numId w:val="131"/>
        </w:numPr>
        <w:ind w:left="0" w:firstLine="640"/>
        <w:rPr>
          <w:rFonts w:ascii="仿宋_GB2312" w:hAnsi="仿宋" w:cs="Times New Roman"/>
          <w:szCs w:val="32"/>
        </w:rPr>
      </w:pPr>
      <w:r>
        <w:rPr>
          <w:rFonts w:hint="eastAsia" w:ascii="仿宋_GB2312" w:hAnsi="仿宋" w:cs="Times New Roman"/>
          <w:szCs w:val="32"/>
        </w:rPr>
        <w:t>电力信息发布系统，接口形式对接。</w:t>
      </w:r>
    </w:p>
    <w:p>
      <w:pPr>
        <w:pStyle w:val="4"/>
        <w:numPr>
          <w:ilvl w:val="2"/>
          <w:numId w:val="59"/>
        </w:numPr>
        <w:spacing w:before="0" w:after="0" w:line="580" w:lineRule="exact"/>
        <w:ind w:left="0" w:firstLine="640"/>
        <w:rPr>
          <w:rFonts w:ascii="楷体_GB2312" w:eastAsia="楷体_GB2312"/>
        </w:rPr>
      </w:pPr>
      <w:bookmarkStart w:id="151" w:name="_Toc22974"/>
      <w:bookmarkStart w:id="152" w:name="_Toc31038"/>
      <w:r>
        <w:rPr>
          <w:rFonts w:hint="eastAsia" w:ascii="楷体_GB2312" w:eastAsia="楷体_GB2312"/>
        </w:rPr>
        <w:t>场（厂）内专用机动车辆风险智控应用场景</w:t>
      </w:r>
      <w:bookmarkEnd w:id="151"/>
      <w:bookmarkEnd w:id="152"/>
    </w:p>
    <w:p>
      <w:pPr>
        <w:pStyle w:val="5"/>
        <w:numPr>
          <w:ilvl w:val="3"/>
          <w:numId w:val="132"/>
        </w:numPr>
        <w:ind w:left="0" w:firstLine="643"/>
        <w:rPr>
          <w:rFonts w:ascii="仿宋_GB2312"/>
          <w:szCs w:val="32"/>
        </w:rPr>
      </w:pPr>
      <w:bookmarkStart w:id="153" w:name="_Toc1808"/>
      <w:bookmarkStart w:id="154" w:name="_Toc29655"/>
      <w:r>
        <w:rPr>
          <w:rFonts w:hint="eastAsia" w:ascii="仿宋_GB2312"/>
          <w:szCs w:val="32"/>
        </w:rPr>
        <w:t>功能描述</w:t>
      </w:r>
      <w:bookmarkEnd w:id="153"/>
      <w:bookmarkEnd w:id="154"/>
    </w:p>
    <w:p>
      <w:pPr>
        <w:ind w:firstLine="640"/>
        <w:rPr>
          <w:rFonts w:ascii="仿宋_GB2312" w:hAnsi="仿宋"/>
          <w:szCs w:val="32"/>
        </w:rPr>
      </w:pPr>
      <w:r>
        <w:rPr>
          <w:rFonts w:hint="eastAsia" w:ascii="仿宋_GB2312" w:hAnsi="仿宋"/>
          <w:szCs w:val="32"/>
        </w:rPr>
        <w:t>运用互联网技术、物联网技术对场（厂）内专用机动车辆（以下简称场车）基本信息、运行数据、隐患缺陷进行采集，智能判定场车及其使用单位的风险等级，形成风险预警信息。建设场车智控平台，实施场车风险分级管控及隐患排查治理，建立场车安全监察的“双重预防”机制。</w:t>
      </w:r>
    </w:p>
    <w:p>
      <w:pPr>
        <w:pStyle w:val="5"/>
        <w:numPr>
          <w:ilvl w:val="3"/>
          <w:numId w:val="132"/>
        </w:numPr>
        <w:ind w:left="0" w:firstLine="643"/>
        <w:rPr>
          <w:rFonts w:ascii="仿宋_GB2312"/>
          <w:szCs w:val="32"/>
        </w:rPr>
      </w:pPr>
      <w:bookmarkStart w:id="155" w:name="_Toc6661"/>
      <w:bookmarkStart w:id="156" w:name="_Toc28396"/>
      <w:r>
        <w:rPr>
          <w:rFonts w:hint="eastAsia" w:ascii="仿宋_GB2312"/>
          <w:szCs w:val="32"/>
        </w:rPr>
        <w:t>业务内容</w:t>
      </w:r>
      <w:bookmarkEnd w:id="155"/>
      <w:bookmarkEnd w:id="156"/>
    </w:p>
    <w:p>
      <w:pPr>
        <w:pStyle w:val="6"/>
        <w:numPr>
          <w:ilvl w:val="0"/>
          <w:numId w:val="133"/>
        </w:numPr>
        <w:ind w:left="0" w:firstLine="640"/>
        <w:rPr>
          <w:rFonts w:ascii="仿宋_GB2312"/>
          <w:szCs w:val="32"/>
        </w:rPr>
      </w:pPr>
      <w:r>
        <w:rPr>
          <w:rFonts w:hint="eastAsia" w:ascii="仿宋_GB2312"/>
          <w:szCs w:val="32"/>
        </w:rPr>
        <w:t>动态智能预警</w:t>
      </w:r>
    </w:p>
    <w:p>
      <w:pPr>
        <w:ind w:firstLine="640"/>
        <w:rPr>
          <w:rFonts w:ascii="仿宋_GB2312" w:hAnsi="仿宋"/>
          <w:szCs w:val="32"/>
        </w:rPr>
      </w:pPr>
      <w:r>
        <w:rPr>
          <w:rFonts w:hint="eastAsia" w:ascii="仿宋_GB2312" w:hAnsi="仿宋"/>
          <w:szCs w:val="32"/>
        </w:rPr>
        <w:t>通过物联网技术采集场车定位信息，通过算法程序对违规作业的信息进行记录并发送预警信息给设备管理人员及监察人员。</w:t>
      </w:r>
    </w:p>
    <w:p>
      <w:pPr>
        <w:pStyle w:val="7"/>
        <w:numPr>
          <w:ilvl w:val="0"/>
          <w:numId w:val="134"/>
        </w:numPr>
        <w:ind w:firstLine="643"/>
      </w:pPr>
      <w:r>
        <w:rPr>
          <w:rFonts w:hint="eastAsia"/>
        </w:rPr>
        <w:t>区域违规智能预警</w:t>
      </w:r>
    </w:p>
    <w:p>
      <w:pPr>
        <w:ind w:firstLine="640"/>
        <w:rPr>
          <w:rFonts w:ascii="仿宋_GB2312" w:hAnsi="仿宋"/>
          <w:szCs w:val="32"/>
        </w:rPr>
      </w:pPr>
      <w:r>
        <w:rPr>
          <w:rFonts w:hint="eastAsia" w:ascii="仿宋_GB2312" w:hAnsi="仿宋"/>
          <w:szCs w:val="32"/>
        </w:rPr>
        <w:t>通过在叉车上加装</w:t>
      </w:r>
      <w:r>
        <w:rPr>
          <w:rFonts w:cs="Times New Roman"/>
          <w:szCs w:val="32"/>
        </w:rPr>
        <w:t>GPS</w:t>
      </w:r>
      <w:r>
        <w:rPr>
          <w:rFonts w:hint="eastAsia" w:ascii="仿宋_GB2312" w:hAnsi="仿宋"/>
          <w:szCs w:val="32"/>
        </w:rPr>
        <w:t>定位，获取设备的位置信息，并设置电子围栏用于场车违规作业的判定。当叉车超过电子围栏的区域行驶时，系统自动发送预警信息给设备安全管理人员及监察人员，设备使用单位应对超区域行驶行为进行说明。</w:t>
      </w:r>
    </w:p>
    <w:p>
      <w:pPr>
        <w:ind w:firstLine="640"/>
        <w:rPr>
          <w:rFonts w:ascii="仿宋_GB2312" w:hAnsi="仿宋"/>
          <w:szCs w:val="32"/>
        </w:rPr>
      </w:pPr>
      <w:r>
        <w:rPr>
          <w:rFonts w:hint="eastAsia" w:ascii="仿宋_GB2312" w:hAnsi="仿宋"/>
          <w:szCs w:val="32"/>
        </w:rPr>
        <w:t>通过在观光车上加装</w:t>
      </w:r>
      <w:r>
        <w:rPr>
          <w:rFonts w:cs="Times New Roman"/>
          <w:szCs w:val="32"/>
        </w:rPr>
        <w:t>GPS</w:t>
      </w:r>
      <w:r>
        <w:rPr>
          <w:rFonts w:hint="eastAsia" w:ascii="仿宋_GB2312" w:hAnsi="仿宋"/>
          <w:szCs w:val="32"/>
        </w:rPr>
        <w:t>定位，获取设备的位置信息，并设置行驶路线用于场车违规作业的判定。当观光车超过行驶路线的区域行驶时，系统自动发送预警信息给设备安全管理人员及监察人员，设备使用单位应对超区域行驶行为进行说明。</w:t>
      </w:r>
    </w:p>
    <w:p>
      <w:pPr>
        <w:pStyle w:val="7"/>
        <w:numPr>
          <w:ilvl w:val="0"/>
          <w:numId w:val="80"/>
        </w:numPr>
        <w:ind w:firstLine="643"/>
      </w:pPr>
      <w:r>
        <w:rPr>
          <w:rFonts w:hint="eastAsia"/>
        </w:rPr>
        <w:t>超速违规预警</w:t>
      </w:r>
    </w:p>
    <w:p>
      <w:pPr>
        <w:ind w:firstLine="640"/>
        <w:rPr>
          <w:rFonts w:ascii="仿宋_GB2312" w:hAnsi="仿宋"/>
          <w:szCs w:val="32"/>
        </w:rPr>
      </w:pPr>
      <w:r>
        <w:rPr>
          <w:rFonts w:hint="eastAsia" w:ascii="仿宋_GB2312" w:hAnsi="仿宋"/>
          <w:szCs w:val="32"/>
        </w:rPr>
        <w:t>通过在叉车上加装</w:t>
      </w:r>
      <w:r>
        <w:rPr>
          <w:rFonts w:cs="Times New Roman"/>
          <w:szCs w:val="32"/>
        </w:rPr>
        <w:t>GPS</w:t>
      </w:r>
      <w:r>
        <w:rPr>
          <w:rFonts w:hint="eastAsia" w:ascii="仿宋_GB2312" w:hAnsi="仿宋"/>
          <w:szCs w:val="32"/>
        </w:rPr>
        <w:t>定位，智能计算行驶速度，并设定限速用于场车违规作业的判定。当叉车超过规定速度行驶时，系统自动发送预警信息给设备安全管理人员；当设备在</w:t>
      </w:r>
      <w:r>
        <w:rPr>
          <w:rFonts w:hint="eastAsia"/>
          <w:szCs w:val="32"/>
        </w:rPr>
        <w:t>3</w:t>
      </w:r>
      <w:r>
        <w:rPr>
          <w:rFonts w:hint="eastAsia" w:ascii="仿宋_GB2312" w:hAnsi="仿宋"/>
          <w:szCs w:val="32"/>
        </w:rPr>
        <w:t>个月内累计超速</w:t>
      </w:r>
      <w:r>
        <w:rPr>
          <w:rFonts w:cs="Times New Roman"/>
          <w:szCs w:val="32"/>
        </w:rPr>
        <w:t>5</w:t>
      </w:r>
      <w:r>
        <w:rPr>
          <w:rFonts w:hint="eastAsia" w:ascii="仿宋_GB2312" w:hAnsi="仿宋"/>
          <w:szCs w:val="32"/>
        </w:rPr>
        <w:t>次，系统自动发送预警信息给监察人员，提示增加对设备使用单位的检查频次。</w:t>
      </w:r>
    </w:p>
    <w:p>
      <w:pPr>
        <w:ind w:firstLine="640"/>
        <w:rPr>
          <w:rFonts w:ascii="仿宋_GB2312" w:hAnsi="仿宋"/>
          <w:szCs w:val="32"/>
        </w:rPr>
      </w:pPr>
      <w:r>
        <w:rPr>
          <w:rFonts w:hint="eastAsia" w:ascii="仿宋_GB2312" w:hAnsi="仿宋"/>
          <w:szCs w:val="32"/>
        </w:rPr>
        <w:t>通过在观光车上加装</w:t>
      </w:r>
      <w:r>
        <w:rPr>
          <w:rFonts w:cs="Times New Roman"/>
          <w:szCs w:val="32"/>
        </w:rPr>
        <w:t>GPS</w:t>
      </w:r>
      <w:r>
        <w:rPr>
          <w:rFonts w:hint="eastAsia" w:ascii="仿宋_GB2312" w:hAnsi="仿宋"/>
          <w:szCs w:val="32"/>
        </w:rPr>
        <w:t>定位，智能计算行驶速度，并用于场车违规作业的判定。当观光车超过法规允许的速度行驶时，系统自动发送预警信息给设备安全管理人员；当设备在</w:t>
      </w:r>
      <w:r>
        <w:rPr>
          <w:rFonts w:cs="Times New Roman"/>
          <w:szCs w:val="32"/>
        </w:rPr>
        <w:t>3</w:t>
      </w:r>
      <w:r>
        <w:rPr>
          <w:rFonts w:hint="eastAsia" w:ascii="仿宋_GB2312" w:hAnsi="仿宋"/>
          <w:szCs w:val="32"/>
        </w:rPr>
        <w:t>个月内累计超速</w:t>
      </w:r>
      <w:r>
        <w:rPr>
          <w:rFonts w:cs="Times New Roman"/>
          <w:szCs w:val="32"/>
        </w:rPr>
        <w:t>5</w:t>
      </w:r>
      <w:r>
        <w:rPr>
          <w:rFonts w:hint="eastAsia" w:ascii="仿宋_GB2312" w:hAnsi="仿宋"/>
          <w:szCs w:val="32"/>
        </w:rPr>
        <w:t>次，系统自动发送预警信息给监察人员，提示增加对设备使用单位的检查频次。</w:t>
      </w:r>
    </w:p>
    <w:p>
      <w:pPr>
        <w:pStyle w:val="6"/>
        <w:numPr>
          <w:ilvl w:val="0"/>
          <w:numId w:val="133"/>
        </w:numPr>
        <w:ind w:left="0" w:firstLine="640"/>
        <w:rPr>
          <w:rFonts w:ascii="仿宋_GB2312"/>
          <w:szCs w:val="32"/>
        </w:rPr>
      </w:pPr>
      <w:r>
        <w:rPr>
          <w:rFonts w:hint="eastAsia" w:ascii="仿宋_GB2312"/>
          <w:szCs w:val="32"/>
        </w:rPr>
        <w:t>风险智能分级</w:t>
      </w:r>
    </w:p>
    <w:p>
      <w:pPr>
        <w:ind w:firstLine="640"/>
        <w:rPr>
          <w:rFonts w:ascii="仿宋_GB2312" w:hAnsi="仿宋"/>
          <w:szCs w:val="32"/>
        </w:rPr>
      </w:pPr>
      <w:r>
        <w:rPr>
          <w:rFonts w:hint="eastAsia" w:ascii="仿宋_GB2312" w:hAnsi="仿宋"/>
          <w:szCs w:val="32"/>
        </w:rPr>
        <w:t>风险评级算法主要通过对设备基本信息、安全数据、环境因素、隐患缺陷的网络采集，智能判定场车及其使用单位的风险等级。</w:t>
      </w:r>
    </w:p>
    <w:p>
      <w:pPr>
        <w:pStyle w:val="7"/>
        <w:numPr>
          <w:ilvl w:val="0"/>
          <w:numId w:val="135"/>
        </w:numPr>
        <w:ind w:firstLine="643"/>
      </w:pPr>
      <w:r>
        <w:rPr>
          <w:rFonts w:hint="eastAsia"/>
        </w:rPr>
        <w:t>算法构架</w:t>
      </w:r>
    </w:p>
    <w:p>
      <w:pPr>
        <w:ind w:firstLine="640"/>
        <w:rPr>
          <w:rFonts w:ascii="仿宋_GB2312" w:hAnsi="仿宋"/>
          <w:szCs w:val="32"/>
        </w:rPr>
      </w:pPr>
      <w:r>
        <w:rPr>
          <w:rFonts w:hint="eastAsia" w:ascii="仿宋_GB2312" w:hAnsi="仿宋"/>
          <w:szCs w:val="32"/>
        </w:rPr>
        <w:t>算法将制定相应的风险评估导则，对评估对象的执行分为初定与评定，初定由系统所采集到的数据，智能判定其等级。评估等级分为高风险、中风险、低风险。当初定为高风险时，系统自动向监察机构及使用单位发出风险预警信息。监察机构或使用单位对评估对象采取进一步细化评估，即为评定，最终评定结果经监察机构确认，设为设备风险等级，指导下一步防范工作。</w:t>
      </w:r>
    </w:p>
    <w:p>
      <w:pPr>
        <w:pStyle w:val="7"/>
        <w:numPr>
          <w:ilvl w:val="0"/>
          <w:numId w:val="135"/>
        </w:numPr>
        <w:ind w:firstLine="643"/>
      </w:pPr>
      <w:r>
        <w:rPr>
          <w:rFonts w:hint="eastAsia"/>
        </w:rPr>
        <w:t>评估对象</w:t>
      </w:r>
    </w:p>
    <w:p>
      <w:pPr>
        <w:ind w:firstLine="640"/>
        <w:rPr>
          <w:rFonts w:ascii="仿宋_GB2312" w:hAnsi="仿宋"/>
          <w:szCs w:val="32"/>
        </w:rPr>
      </w:pPr>
      <w:r>
        <w:rPr>
          <w:rFonts w:hint="eastAsia" w:ascii="仿宋_GB2312" w:hAnsi="仿宋"/>
          <w:szCs w:val="32"/>
        </w:rPr>
        <w:t>评估对象分为使用单位和场车两种。</w:t>
      </w:r>
    </w:p>
    <w:p>
      <w:pPr>
        <w:pStyle w:val="7"/>
        <w:numPr>
          <w:ilvl w:val="0"/>
          <w:numId w:val="135"/>
        </w:numPr>
        <w:ind w:firstLine="643"/>
      </w:pPr>
      <w:r>
        <w:rPr>
          <w:rFonts w:hint="eastAsia"/>
        </w:rPr>
        <w:t>评估方法</w:t>
      </w:r>
    </w:p>
    <w:p>
      <w:pPr>
        <w:ind w:firstLine="640"/>
        <w:rPr>
          <w:rFonts w:ascii="仿宋_GB2312" w:hAnsi="仿宋"/>
          <w:szCs w:val="32"/>
        </w:rPr>
      </w:pPr>
      <w:r>
        <w:rPr>
          <w:rFonts w:hint="eastAsia" w:ascii="仿宋_GB2312" w:hAnsi="仿宋"/>
          <w:szCs w:val="32"/>
        </w:rPr>
        <w:t>对使用单位主要依据</w:t>
      </w:r>
      <w:r>
        <w:rPr>
          <w:rFonts w:cs="Times New Roman"/>
          <w:szCs w:val="32"/>
        </w:rPr>
        <w:t>DB33 T2126-2018</w:t>
      </w:r>
      <w:r>
        <w:rPr>
          <w:rFonts w:hint="eastAsia" w:ascii="仿宋_GB2312" w:hAnsi="仿宋"/>
          <w:szCs w:val="32"/>
        </w:rPr>
        <w:t>《特种设备使用安全管理分类评价规范》，在对其所有特种设备按比例进行评估的基础上，加权计算其风险级别。对设备的评估，初定主要依据其基本信息及缺陷信息，评定是依据检验要求结合使用单位管理体系进行。</w:t>
      </w:r>
    </w:p>
    <w:p>
      <w:pPr>
        <w:pStyle w:val="7"/>
        <w:numPr>
          <w:ilvl w:val="0"/>
          <w:numId w:val="135"/>
        </w:numPr>
        <w:ind w:firstLine="643"/>
      </w:pPr>
      <w:r>
        <w:rPr>
          <w:rFonts w:hint="eastAsia"/>
        </w:rPr>
        <w:t>评估结果</w:t>
      </w:r>
    </w:p>
    <w:p>
      <w:pPr>
        <w:ind w:firstLine="640"/>
        <w:rPr>
          <w:rFonts w:ascii="仿宋_GB2312" w:hAnsi="仿宋"/>
          <w:szCs w:val="32"/>
        </w:rPr>
      </w:pPr>
      <w:r>
        <w:rPr>
          <w:rFonts w:hint="eastAsia" w:ascii="仿宋_GB2312" w:hAnsi="仿宋"/>
          <w:szCs w:val="32"/>
        </w:rPr>
        <w:t>低风险：低风险设备为状态较好的设备，采取较低关注度依法监管的措施。</w:t>
      </w:r>
    </w:p>
    <w:p>
      <w:pPr>
        <w:ind w:firstLine="640"/>
        <w:rPr>
          <w:rFonts w:ascii="仿宋_GB2312" w:hAnsi="仿宋"/>
          <w:szCs w:val="32"/>
        </w:rPr>
      </w:pPr>
      <w:r>
        <w:rPr>
          <w:rFonts w:hint="eastAsia" w:ascii="仿宋_GB2312" w:hAnsi="仿宋"/>
          <w:szCs w:val="32"/>
        </w:rPr>
        <w:t>中风险：中风险设备为状态较好，但存在较低风险缺陷或使用场所具有风险的设备，采取一定关注度依法监管的措施，并相应向使用单位推送隐患词条，要求使用单位加强相应隐患排查力度并反馈系统。</w:t>
      </w:r>
    </w:p>
    <w:p>
      <w:pPr>
        <w:ind w:firstLine="640"/>
        <w:rPr>
          <w:rFonts w:ascii="楷体_GB2312" w:hAnsi="仿宋" w:eastAsia="楷体_GB2312"/>
          <w:szCs w:val="32"/>
        </w:rPr>
      </w:pPr>
      <w:r>
        <w:rPr>
          <w:rFonts w:hint="eastAsia" w:ascii="仿宋_GB2312" w:hAnsi="仿宋"/>
          <w:szCs w:val="32"/>
        </w:rPr>
        <w:t>高风险：高风险设备为状态较差，且可能存在使用场所具有风险的设备，当初定为高风险时，需进一步通过细化评估最终评定，评定结果仍为高风险时，需采取较大关注度依法监管的措施。</w:t>
      </w:r>
    </w:p>
    <w:p>
      <w:pPr>
        <w:pStyle w:val="6"/>
        <w:numPr>
          <w:ilvl w:val="0"/>
          <w:numId w:val="133"/>
        </w:numPr>
        <w:ind w:left="0" w:firstLine="640"/>
        <w:rPr>
          <w:rFonts w:ascii="仿宋_GB2312"/>
          <w:szCs w:val="32"/>
        </w:rPr>
      </w:pPr>
      <w:r>
        <w:rPr>
          <w:rFonts w:hint="eastAsia" w:ascii="仿宋_GB2312"/>
          <w:szCs w:val="32"/>
        </w:rPr>
        <w:t>合规智能判定</w:t>
      </w:r>
    </w:p>
    <w:p>
      <w:pPr>
        <w:pStyle w:val="7"/>
        <w:numPr>
          <w:ilvl w:val="0"/>
          <w:numId w:val="136"/>
        </w:numPr>
        <w:ind w:firstLine="643"/>
      </w:pPr>
      <w:r>
        <w:rPr>
          <w:rFonts w:hint="eastAsia"/>
        </w:rPr>
        <w:t>设备合规性算法</w:t>
      </w:r>
    </w:p>
    <w:p>
      <w:pPr>
        <w:ind w:firstLine="640"/>
        <w:rPr>
          <w:rFonts w:ascii="仿宋_GB2312" w:hAnsi="仿宋"/>
          <w:szCs w:val="32"/>
        </w:rPr>
      </w:pPr>
      <w:r>
        <w:rPr>
          <w:rFonts w:hint="eastAsia" w:ascii="仿宋_GB2312" w:hAnsi="仿宋"/>
          <w:szCs w:val="32"/>
        </w:rPr>
        <w:t>通过与监察系统、检验系统以及设备物联网的数据互通，智能判定场车是否符合相关法律法规的要求。内容如下：</w:t>
      </w:r>
    </w:p>
    <w:p>
      <w:pPr>
        <w:pStyle w:val="7"/>
        <w:numPr>
          <w:ilvl w:val="0"/>
          <w:numId w:val="136"/>
        </w:numPr>
        <w:ind w:firstLine="643"/>
      </w:pPr>
      <w:r>
        <w:rPr>
          <w:rFonts w:hint="eastAsia"/>
        </w:rPr>
        <w:t>检验时效性</w:t>
      </w:r>
    </w:p>
    <w:p>
      <w:pPr>
        <w:ind w:firstLine="640"/>
        <w:rPr>
          <w:rFonts w:ascii="仿宋_GB2312" w:hAnsi="仿宋"/>
          <w:szCs w:val="32"/>
        </w:rPr>
      </w:pPr>
      <w:r>
        <w:rPr>
          <w:rFonts w:hint="eastAsia" w:ascii="仿宋_GB2312" w:hAnsi="仿宋"/>
          <w:szCs w:val="32"/>
        </w:rPr>
        <w:t>针对场车检验报告有效性的问题，“场车智算”将对场车报告的有效期进行预警，当报告即将过期时，推送预警信息给使用单位。在设备超期未检时，同时推送预警信息给监察机构、检验机构和使用单位。</w:t>
      </w:r>
    </w:p>
    <w:p>
      <w:pPr>
        <w:pStyle w:val="7"/>
        <w:numPr>
          <w:ilvl w:val="0"/>
          <w:numId w:val="136"/>
        </w:numPr>
        <w:ind w:firstLine="643"/>
      </w:pPr>
      <w:r>
        <w:rPr>
          <w:rFonts w:hint="eastAsia"/>
        </w:rPr>
        <w:t>带“病”作业</w:t>
      </w:r>
    </w:p>
    <w:p>
      <w:pPr>
        <w:ind w:firstLine="640"/>
        <w:rPr>
          <w:rFonts w:ascii="仿宋_GB2312" w:hAnsi="仿宋"/>
          <w:szCs w:val="32"/>
        </w:rPr>
      </w:pPr>
      <w:r>
        <w:rPr>
          <w:rFonts w:hint="eastAsia" w:ascii="仿宋_GB2312" w:hAnsi="仿宋"/>
          <w:szCs w:val="32"/>
        </w:rPr>
        <w:t>通过采集检验人员在出具报告时填写设备缺陷信息输入，监察人员在现场对起重机械进行监察时，检查设备是否违规带“病”作业。</w:t>
      </w:r>
    </w:p>
    <w:p>
      <w:pPr>
        <w:pStyle w:val="5"/>
        <w:numPr>
          <w:ilvl w:val="3"/>
          <w:numId w:val="132"/>
        </w:numPr>
        <w:ind w:left="0" w:firstLine="643"/>
        <w:rPr>
          <w:rFonts w:ascii="仿宋_GB2312"/>
          <w:szCs w:val="32"/>
        </w:rPr>
      </w:pPr>
      <w:bookmarkStart w:id="157" w:name="_Toc3452"/>
      <w:bookmarkStart w:id="158" w:name="_Toc23058"/>
      <w:r>
        <w:rPr>
          <w:rFonts w:hint="eastAsia" w:ascii="仿宋_GB2312"/>
          <w:szCs w:val="32"/>
        </w:rPr>
        <w:t>统一标准规范</w:t>
      </w:r>
      <w:bookmarkEnd w:id="157"/>
      <w:bookmarkEnd w:id="158"/>
    </w:p>
    <w:p>
      <w:pPr>
        <w:ind w:firstLine="640"/>
        <w:rPr>
          <w:rFonts w:ascii="仿宋" w:hAnsi="仿宋" w:eastAsia="仿宋"/>
          <w:bCs/>
          <w:szCs w:val="32"/>
        </w:rPr>
      </w:pPr>
      <w:r>
        <w:rPr>
          <w:rFonts w:hint="eastAsia" w:ascii="仿宋_GB2312" w:hAnsi="仿宋"/>
          <w:szCs w:val="32"/>
        </w:rPr>
        <w:t>场车风险智控应用场景设计依托特种设备风险防范预警系统（以下简称预警系统）实现。</w:t>
      </w:r>
    </w:p>
    <w:p>
      <w:pPr>
        <w:pStyle w:val="6"/>
        <w:numPr>
          <w:ilvl w:val="0"/>
          <w:numId w:val="137"/>
        </w:numPr>
        <w:ind w:left="0" w:firstLine="640"/>
        <w:rPr>
          <w:rFonts w:ascii="仿宋_GB2312"/>
          <w:szCs w:val="32"/>
        </w:rPr>
      </w:pPr>
      <w:r>
        <w:rPr>
          <w:rFonts w:hint="eastAsia" w:ascii="仿宋_GB2312"/>
          <w:szCs w:val="32"/>
        </w:rPr>
        <w:t>业务对象</w:t>
      </w:r>
    </w:p>
    <w:p>
      <w:pPr>
        <w:ind w:firstLine="640"/>
        <w:rPr>
          <w:rFonts w:ascii="仿宋_GB2312" w:hAnsi="仿宋"/>
          <w:szCs w:val="32"/>
        </w:rPr>
      </w:pPr>
      <w:r>
        <w:rPr>
          <w:rFonts w:hint="eastAsia" w:ascii="仿宋_GB2312" w:hAnsi="仿宋"/>
          <w:szCs w:val="32"/>
        </w:rPr>
        <w:t>行政监管机构、场车检验机构、特种设备使用、安装及维保单位。</w:t>
      </w:r>
    </w:p>
    <w:p>
      <w:pPr>
        <w:pStyle w:val="6"/>
        <w:numPr>
          <w:ilvl w:val="0"/>
          <w:numId w:val="137"/>
        </w:numPr>
        <w:ind w:left="0" w:firstLine="640"/>
        <w:rPr>
          <w:rFonts w:ascii="仿宋_GB2312"/>
          <w:szCs w:val="32"/>
        </w:rPr>
      </w:pPr>
      <w:r>
        <w:rPr>
          <w:rFonts w:hint="eastAsia" w:ascii="仿宋_GB2312"/>
          <w:szCs w:val="32"/>
        </w:rPr>
        <w:t>技术手段</w:t>
      </w:r>
    </w:p>
    <w:p>
      <w:pPr>
        <w:numPr>
          <w:ilvl w:val="0"/>
          <w:numId w:val="138"/>
        </w:numPr>
        <w:ind w:left="0" w:firstLine="640"/>
        <w:rPr>
          <w:rFonts w:ascii="仿宋_GB2312" w:hAnsi="仿宋"/>
          <w:szCs w:val="32"/>
        </w:rPr>
      </w:pPr>
      <w:r>
        <w:rPr>
          <w:rFonts w:hint="eastAsia" w:ascii="仿宋_GB2312" w:hAnsi="仿宋"/>
          <w:szCs w:val="32"/>
        </w:rPr>
        <w:t>运用</w:t>
      </w:r>
      <w:r>
        <w:rPr>
          <w:rFonts w:hint="eastAsia"/>
          <w:szCs w:val="32"/>
        </w:rPr>
        <w:t>JAVA</w:t>
      </w:r>
      <w:r>
        <w:rPr>
          <w:rFonts w:hint="eastAsia" w:ascii="仿宋_GB2312" w:hAnsi="仿宋"/>
          <w:szCs w:val="32"/>
        </w:rPr>
        <w:t>语言，构建场车智管平台系统；</w:t>
      </w:r>
    </w:p>
    <w:p>
      <w:pPr>
        <w:numPr>
          <w:ilvl w:val="0"/>
          <w:numId w:val="138"/>
        </w:numPr>
        <w:ind w:left="0" w:firstLine="640"/>
        <w:rPr>
          <w:rFonts w:ascii="仿宋_GB2312" w:hAnsi="仿宋"/>
          <w:szCs w:val="32"/>
        </w:rPr>
      </w:pPr>
      <w:r>
        <w:rPr>
          <w:rFonts w:hint="eastAsia" w:ascii="仿宋_GB2312" w:hAnsi="仿宋"/>
          <w:szCs w:val="32"/>
        </w:rPr>
        <w:t>运用</w:t>
      </w:r>
      <w:r>
        <w:rPr>
          <w:rFonts w:hint="eastAsia"/>
          <w:szCs w:val="32"/>
        </w:rPr>
        <w:t>JS</w:t>
      </w:r>
      <w:r>
        <w:rPr>
          <w:rFonts w:hint="eastAsia" w:ascii="仿宋_GB2312" w:hAnsi="仿宋"/>
          <w:szCs w:val="32"/>
        </w:rPr>
        <w:t>程序，开发钉钉客户端；</w:t>
      </w:r>
    </w:p>
    <w:p>
      <w:pPr>
        <w:numPr>
          <w:ilvl w:val="0"/>
          <w:numId w:val="138"/>
        </w:numPr>
        <w:ind w:left="0" w:firstLine="640"/>
        <w:rPr>
          <w:rFonts w:ascii="仿宋_GB2312" w:hAnsi="仿宋"/>
          <w:szCs w:val="32"/>
        </w:rPr>
      </w:pPr>
      <w:r>
        <w:rPr>
          <w:rFonts w:hint="eastAsia" w:ascii="仿宋_GB2312" w:hAnsi="仿宋"/>
          <w:szCs w:val="32"/>
        </w:rPr>
        <w:t>打通通讯协议，接入省局监管系统、省特科院及各地市院检验系统；</w:t>
      </w:r>
    </w:p>
    <w:p>
      <w:pPr>
        <w:numPr>
          <w:ilvl w:val="0"/>
          <w:numId w:val="138"/>
        </w:numPr>
        <w:ind w:left="0" w:firstLine="640"/>
        <w:rPr>
          <w:rFonts w:ascii="仿宋_GB2312" w:hAnsi="仿宋"/>
          <w:szCs w:val="32"/>
        </w:rPr>
      </w:pPr>
      <w:r>
        <w:rPr>
          <w:rFonts w:hint="eastAsia" w:ascii="仿宋_GB2312" w:hAnsi="仿宋"/>
          <w:szCs w:val="32"/>
        </w:rPr>
        <w:t>运用统计学原理建立相关算法模型；</w:t>
      </w:r>
    </w:p>
    <w:p>
      <w:pPr>
        <w:numPr>
          <w:ilvl w:val="0"/>
          <w:numId w:val="138"/>
        </w:numPr>
        <w:ind w:left="0" w:firstLine="640"/>
        <w:rPr>
          <w:rFonts w:ascii="仿宋_GB2312" w:hAnsi="仿宋"/>
          <w:szCs w:val="32"/>
        </w:rPr>
      </w:pPr>
      <w:r>
        <w:rPr>
          <w:rFonts w:hint="eastAsia" w:ascii="仿宋_GB2312" w:hAnsi="仿宋"/>
          <w:szCs w:val="32"/>
        </w:rPr>
        <w:t>构建风险评估导则；</w:t>
      </w:r>
    </w:p>
    <w:p>
      <w:pPr>
        <w:numPr>
          <w:ilvl w:val="0"/>
          <w:numId w:val="138"/>
        </w:numPr>
        <w:ind w:left="0" w:firstLine="640"/>
        <w:rPr>
          <w:rFonts w:ascii="仿宋_GB2312" w:hAnsi="仿宋"/>
          <w:szCs w:val="32"/>
        </w:rPr>
      </w:pPr>
      <w:r>
        <w:rPr>
          <w:rFonts w:hint="eastAsia" w:ascii="仿宋_GB2312" w:hAnsi="仿宋"/>
          <w:szCs w:val="32"/>
        </w:rPr>
        <w:t>运用物联网技术，接入场车的采集数据。</w:t>
      </w:r>
    </w:p>
    <w:p>
      <w:pPr>
        <w:pStyle w:val="6"/>
        <w:numPr>
          <w:ilvl w:val="0"/>
          <w:numId w:val="137"/>
        </w:numPr>
        <w:ind w:left="0" w:firstLine="640"/>
        <w:rPr>
          <w:rFonts w:ascii="仿宋_GB2312"/>
          <w:szCs w:val="32"/>
        </w:rPr>
      </w:pPr>
      <w:r>
        <w:rPr>
          <w:rFonts w:hint="eastAsia" w:ascii="仿宋_GB2312"/>
          <w:szCs w:val="32"/>
        </w:rPr>
        <w:t>具体要求</w:t>
      </w:r>
    </w:p>
    <w:p>
      <w:pPr>
        <w:numPr>
          <w:ilvl w:val="0"/>
          <w:numId w:val="139"/>
        </w:numPr>
        <w:ind w:left="0" w:firstLine="640"/>
        <w:rPr>
          <w:rFonts w:ascii="仿宋_GB2312" w:hAnsi="仿宋"/>
          <w:szCs w:val="32"/>
        </w:rPr>
      </w:pPr>
      <w:r>
        <w:rPr>
          <w:rFonts w:hint="eastAsia" w:ascii="仿宋_GB2312" w:hAnsi="仿宋"/>
          <w:szCs w:val="32"/>
        </w:rPr>
        <w:t>操作界面应简洁清晰，人机交互友好；</w:t>
      </w:r>
    </w:p>
    <w:p>
      <w:pPr>
        <w:numPr>
          <w:ilvl w:val="0"/>
          <w:numId w:val="139"/>
        </w:numPr>
        <w:ind w:left="0" w:firstLine="640"/>
        <w:rPr>
          <w:rFonts w:ascii="仿宋_GB2312" w:hAnsi="仿宋"/>
          <w:szCs w:val="32"/>
        </w:rPr>
      </w:pPr>
      <w:r>
        <w:rPr>
          <w:rFonts w:hint="eastAsia" w:ascii="仿宋_GB2312" w:hAnsi="仿宋"/>
          <w:szCs w:val="32"/>
        </w:rPr>
        <w:t>数据输入应流程明晰，操作程序化；</w:t>
      </w:r>
    </w:p>
    <w:p>
      <w:pPr>
        <w:numPr>
          <w:ilvl w:val="0"/>
          <w:numId w:val="139"/>
        </w:numPr>
        <w:ind w:left="0" w:firstLine="640"/>
        <w:rPr>
          <w:rFonts w:ascii="仿宋_GB2312" w:hAnsi="仿宋"/>
          <w:szCs w:val="32"/>
        </w:rPr>
      </w:pPr>
      <w:r>
        <w:rPr>
          <w:rFonts w:hint="eastAsia" w:ascii="仿宋_GB2312" w:hAnsi="仿宋"/>
          <w:szCs w:val="32"/>
        </w:rPr>
        <w:t>风险评估导则应参考</w:t>
      </w:r>
      <w:r>
        <w:rPr>
          <w:rFonts w:cs="Times New Roman"/>
          <w:szCs w:val="32"/>
        </w:rPr>
        <w:t>DB33 T2126-2018</w:t>
      </w:r>
      <w:r>
        <w:rPr>
          <w:rFonts w:hint="eastAsia" w:ascii="仿宋_GB2312" w:hAnsi="仿宋"/>
          <w:szCs w:val="32"/>
        </w:rPr>
        <w:t>《特种设备使用安全管理分类评价规范》及检验要求制定。</w:t>
      </w:r>
    </w:p>
    <w:p>
      <w:pPr>
        <w:pStyle w:val="6"/>
        <w:numPr>
          <w:ilvl w:val="0"/>
          <w:numId w:val="137"/>
        </w:numPr>
        <w:ind w:left="0" w:firstLine="640"/>
        <w:rPr>
          <w:rFonts w:ascii="仿宋_GB2312"/>
          <w:szCs w:val="32"/>
        </w:rPr>
      </w:pPr>
      <w:r>
        <w:rPr>
          <w:rFonts w:hint="eastAsia" w:ascii="仿宋_GB2312"/>
          <w:szCs w:val="32"/>
        </w:rPr>
        <w:t>管理模式</w:t>
      </w:r>
    </w:p>
    <w:p>
      <w:pPr>
        <w:numPr>
          <w:ilvl w:val="0"/>
          <w:numId w:val="140"/>
        </w:numPr>
        <w:ind w:left="0" w:firstLine="640"/>
        <w:rPr>
          <w:rFonts w:ascii="仿宋_GB2312" w:hAnsi="仿宋"/>
          <w:szCs w:val="32"/>
        </w:rPr>
      </w:pPr>
      <w:r>
        <w:rPr>
          <w:rFonts w:hint="eastAsia" w:ascii="仿宋_GB2312" w:hAnsi="仿宋"/>
          <w:szCs w:val="32"/>
        </w:rPr>
        <w:t>场车信息的及时更新、输入和查询相结合，做到信息的及时传输与信息对等；</w:t>
      </w:r>
    </w:p>
    <w:p>
      <w:pPr>
        <w:numPr>
          <w:ilvl w:val="0"/>
          <w:numId w:val="140"/>
        </w:numPr>
        <w:ind w:left="0" w:firstLine="640"/>
        <w:rPr>
          <w:rFonts w:ascii="仿宋_GB2312" w:hAnsi="仿宋"/>
          <w:szCs w:val="32"/>
        </w:rPr>
      </w:pPr>
      <w:r>
        <w:rPr>
          <w:rFonts w:hint="eastAsia" w:ascii="仿宋_GB2312" w:hAnsi="仿宋"/>
          <w:szCs w:val="32"/>
        </w:rPr>
        <w:t>风险等级以智能判定及专家评估相结合，发挥大数据与专业技术能力的各自优势；</w:t>
      </w:r>
    </w:p>
    <w:p>
      <w:pPr>
        <w:numPr>
          <w:ilvl w:val="0"/>
          <w:numId w:val="140"/>
        </w:numPr>
        <w:ind w:left="0" w:firstLine="640"/>
        <w:rPr>
          <w:rFonts w:ascii="仿宋_GB2312" w:hAnsi="仿宋"/>
          <w:szCs w:val="32"/>
        </w:rPr>
      </w:pPr>
      <w:r>
        <w:rPr>
          <w:rFonts w:hint="eastAsia" w:ascii="仿宋_GB2312" w:hAnsi="仿宋"/>
          <w:szCs w:val="32"/>
        </w:rPr>
        <w:t>对设备进行分级、分手段、分区域管控，以最优资源、最高效率对重点设备、重点单位进行管控；</w:t>
      </w:r>
    </w:p>
    <w:p>
      <w:pPr>
        <w:numPr>
          <w:ilvl w:val="0"/>
          <w:numId w:val="140"/>
        </w:numPr>
        <w:ind w:left="0" w:firstLine="640"/>
        <w:rPr>
          <w:rFonts w:ascii="仿宋_GB2312" w:hAnsi="仿宋"/>
          <w:szCs w:val="32"/>
        </w:rPr>
      </w:pPr>
      <w:r>
        <w:rPr>
          <w:rFonts w:hint="eastAsia" w:ascii="仿宋_GB2312" w:hAnsi="仿宋"/>
          <w:szCs w:val="32"/>
        </w:rPr>
        <w:t>以缺陷为基础评估风险等级，以风险源为依据制定隐患排查内容，以隐患排查为手段治理缺陷，达到闭环管理的目的。</w:t>
      </w:r>
    </w:p>
    <w:p>
      <w:pPr>
        <w:pStyle w:val="6"/>
        <w:numPr>
          <w:ilvl w:val="0"/>
          <w:numId w:val="137"/>
        </w:numPr>
        <w:ind w:left="0" w:firstLine="640"/>
        <w:rPr>
          <w:rFonts w:ascii="楷体_GB2312" w:eastAsia="楷体_GB2312"/>
        </w:rPr>
      </w:pPr>
      <w:r>
        <w:rPr>
          <w:rFonts w:hint="eastAsia" w:ascii="楷体_GB2312" w:eastAsia="楷体_GB2312"/>
        </w:rPr>
        <w:t>管理流程</w:t>
      </w:r>
    </w:p>
    <w:p>
      <w:pPr>
        <w:pStyle w:val="7"/>
        <w:numPr>
          <w:ilvl w:val="0"/>
          <w:numId w:val="141"/>
        </w:numPr>
        <w:ind w:firstLine="643"/>
      </w:pPr>
      <w:r>
        <w:rPr>
          <w:rFonts w:hint="eastAsia"/>
        </w:rPr>
        <w:t>场车智控系统总体流程图</w:t>
      </w:r>
    </w:p>
    <w:p>
      <w:pPr>
        <w:tabs>
          <w:tab w:val="left" w:pos="312"/>
        </w:tabs>
        <w:ind w:firstLine="640"/>
        <w:jc w:val="center"/>
        <w:rPr>
          <w:rFonts w:ascii="仿宋" w:hAnsi="仿宋" w:eastAsia="仿宋"/>
          <w:bCs/>
          <w:szCs w:val="32"/>
        </w:rPr>
      </w:pPr>
      <w:r>
        <w:rPr>
          <w:rFonts w:hint="eastAsia" w:ascii="仿宋" w:hAnsi="仿宋" w:eastAsia="仿宋"/>
          <w:bCs/>
          <w:szCs w:val="32"/>
        </w:rPr>
        <w:drawing>
          <wp:anchor distT="0" distB="0" distL="114300" distR="114300" simplePos="0" relativeHeight="251660288" behindDoc="0" locked="0" layoutInCell="1" allowOverlap="1">
            <wp:simplePos x="0" y="0"/>
            <wp:positionH relativeFrom="column">
              <wp:posOffset>588645</wp:posOffset>
            </wp:positionH>
            <wp:positionV relativeFrom="paragraph">
              <wp:posOffset>125730</wp:posOffset>
            </wp:positionV>
            <wp:extent cx="4199255" cy="2770505"/>
            <wp:effectExtent l="0" t="0" r="0" b="0"/>
            <wp:wrapTopAndBottom/>
            <wp:docPr id="12" name="图片 12" descr="未命名文件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未命名文件 (12)"/>
                    <pic:cNvPicPr>
                      <a:picLocks noChangeAspect="1"/>
                    </pic:cNvPicPr>
                  </pic:nvPicPr>
                  <pic:blipFill>
                    <a:blip r:embed="rId48"/>
                    <a:stretch>
                      <a:fillRect/>
                    </a:stretch>
                  </pic:blipFill>
                  <pic:spPr>
                    <a:xfrm>
                      <a:off x="0" y="0"/>
                      <a:ext cx="4199255" cy="2770505"/>
                    </a:xfrm>
                    <a:prstGeom prst="rect">
                      <a:avLst/>
                    </a:prstGeom>
                  </pic:spPr>
                </pic:pic>
              </a:graphicData>
            </a:graphic>
          </wp:anchor>
        </w:drawing>
      </w:r>
    </w:p>
    <w:p>
      <w:pPr>
        <w:pStyle w:val="7"/>
        <w:numPr>
          <w:ilvl w:val="0"/>
          <w:numId w:val="141"/>
        </w:numPr>
        <w:ind w:left="640" w:firstLine="643"/>
      </w:pPr>
      <w:r>
        <w:rPr>
          <w:rFonts w:hint="eastAsia"/>
        </w:rPr>
        <w:t>数据传输流程</w:t>
      </w:r>
    </w:p>
    <w:p>
      <w:pPr>
        <w:tabs>
          <w:tab w:val="left" w:pos="312"/>
        </w:tabs>
        <w:ind w:firstLine="640"/>
        <w:jc w:val="center"/>
        <w:rPr>
          <w:rFonts w:ascii="仿宋" w:hAnsi="仿宋" w:eastAsia="仿宋"/>
          <w:bCs/>
          <w:szCs w:val="32"/>
        </w:rPr>
      </w:pPr>
      <w:r>
        <w:rPr>
          <w:rFonts w:ascii="仿宋" w:hAnsi="仿宋" w:eastAsia="仿宋"/>
          <w:szCs w:val="32"/>
        </w:rPr>
        <w:drawing>
          <wp:anchor distT="0" distB="0" distL="114300" distR="114300" simplePos="0" relativeHeight="251661312" behindDoc="0" locked="0" layoutInCell="1" allowOverlap="1">
            <wp:simplePos x="0" y="0"/>
            <wp:positionH relativeFrom="column">
              <wp:posOffset>652145</wp:posOffset>
            </wp:positionH>
            <wp:positionV relativeFrom="paragraph">
              <wp:posOffset>104140</wp:posOffset>
            </wp:positionV>
            <wp:extent cx="4071620" cy="3068955"/>
            <wp:effectExtent l="0" t="0" r="0" b="0"/>
            <wp:wrapTopAndBottom/>
            <wp:docPr id="13" name="图片 13" descr="未命名文件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未命名文件 (5)"/>
                    <pic:cNvPicPr>
                      <a:picLocks noChangeAspect="1"/>
                    </pic:cNvPicPr>
                  </pic:nvPicPr>
                  <pic:blipFill>
                    <a:blip r:embed="rId40"/>
                    <a:stretch>
                      <a:fillRect/>
                    </a:stretch>
                  </pic:blipFill>
                  <pic:spPr>
                    <a:xfrm>
                      <a:off x="0" y="0"/>
                      <a:ext cx="4071620" cy="3068955"/>
                    </a:xfrm>
                    <a:prstGeom prst="rect">
                      <a:avLst/>
                    </a:prstGeom>
                  </pic:spPr>
                </pic:pic>
              </a:graphicData>
            </a:graphic>
          </wp:anchor>
        </w:drawing>
      </w:r>
    </w:p>
    <w:p>
      <w:pPr>
        <w:pStyle w:val="7"/>
        <w:numPr>
          <w:ilvl w:val="0"/>
          <w:numId w:val="80"/>
        </w:numPr>
        <w:ind w:left="640" w:firstLine="643"/>
      </w:pPr>
      <w:r>
        <w:rPr>
          <w:rFonts w:hint="eastAsia"/>
        </w:rPr>
        <w:t>风险评估流程</w:t>
      </w:r>
    </w:p>
    <w:p>
      <w:pPr>
        <w:ind w:firstLine="640"/>
      </w:pPr>
      <w:r>
        <w:rPr>
          <w:rFonts w:ascii="仿宋" w:hAnsi="仿宋" w:eastAsia="仿宋"/>
          <w:bCs/>
          <w:szCs w:val="32"/>
        </w:rPr>
        <w:drawing>
          <wp:anchor distT="0" distB="0" distL="114300" distR="114300" simplePos="0" relativeHeight="251662336" behindDoc="0" locked="0" layoutInCell="1" allowOverlap="1">
            <wp:simplePos x="0" y="0"/>
            <wp:positionH relativeFrom="column">
              <wp:posOffset>699135</wp:posOffset>
            </wp:positionH>
            <wp:positionV relativeFrom="paragraph">
              <wp:posOffset>85090</wp:posOffset>
            </wp:positionV>
            <wp:extent cx="2556510" cy="3795395"/>
            <wp:effectExtent l="0" t="0" r="0" b="0"/>
            <wp:wrapTopAndBottom/>
            <wp:docPr id="14" name="图片 14" descr="未命名文件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未命名文件 (6)"/>
                    <pic:cNvPicPr>
                      <a:picLocks noChangeAspect="1"/>
                    </pic:cNvPicPr>
                  </pic:nvPicPr>
                  <pic:blipFill>
                    <a:blip r:embed="rId41"/>
                    <a:stretch>
                      <a:fillRect/>
                    </a:stretch>
                  </pic:blipFill>
                  <pic:spPr>
                    <a:xfrm>
                      <a:off x="0" y="0"/>
                      <a:ext cx="2556510" cy="3795395"/>
                    </a:xfrm>
                    <a:prstGeom prst="rect">
                      <a:avLst/>
                    </a:prstGeom>
                  </pic:spPr>
                </pic:pic>
              </a:graphicData>
            </a:graphic>
          </wp:anchor>
        </w:drawing>
      </w:r>
    </w:p>
    <w:p>
      <w:pPr>
        <w:pStyle w:val="15"/>
        <w:ind w:firstLine="480"/>
      </w:pPr>
    </w:p>
    <w:p>
      <w:pPr>
        <w:pStyle w:val="15"/>
        <w:ind w:firstLine="480"/>
      </w:pPr>
    </w:p>
    <w:p>
      <w:pPr>
        <w:pStyle w:val="15"/>
        <w:ind w:firstLine="480"/>
      </w:pPr>
    </w:p>
    <w:p>
      <w:pPr>
        <w:pStyle w:val="15"/>
        <w:ind w:firstLine="480"/>
      </w:pPr>
    </w:p>
    <w:p>
      <w:pPr>
        <w:pStyle w:val="15"/>
        <w:ind w:firstLine="480"/>
      </w:pPr>
    </w:p>
    <w:p>
      <w:pPr>
        <w:pStyle w:val="15"/>
        <w:ind w:firstLine="480"/>
      </w:pPr>
    </w:p>
    <w:p>
      <w:pPr>
        <w:pStyle w:val="15"/>
        <w:ind w:firstLine="0" w:firstLineChars="0"/>
        <w:rPr>
          <w:rFonts w:ascii="仿宋" w:hAnsi="仿宋" w:eastAsia="仿宋"/>
          <w:bCs/>
          <w:szCs w:val="32"/>
        </w:rPr>
      </w:pPr>
    </w:p>
    <w:p>
      <w:pPr>
        <w:pStyle w:val="7"/>
        <w:numPr>
          <w:ilvl w:val="0"/>
          <w:numId w:val="80"/>
        </w:numPr>
        <w:ind w:left="640" w:firstLine="643"/>
      </w:pPr>
      <w:r>
        <w:rPr>
          <w:rFonts w:hint="eastAsia"/>
        </w:rPr>
        <w:t>作业人员管理流程</w:t>
      </w:r>
    </w:p>
    <w:p>
      <w:pPr>
        <w:ind w:firstLine="0" w:firstLineChars="0"/>
        <w:rPr>
          <w:rFonts w:ascii="仿宋" w:hAnsi="仿宋" w:eastAsia="仿宋"/>
          <w:bCs/>
          <w:szCs w:val="32"/>
        </w:rPr>
      </w:pPr>
      <w:r>
        <w:rPr>
          <w:rFonts w:ascii="仿宋" w:hAnsi="仿宋" w:eastAsia="仿宋"/>
          <w:bCs/>
          <w:szCs w:val="32"/>
        </w:rPr>
        <w:drawing>
          <wp:anchor distT="0" distB="0" distL="114300" distR="114300" simplePos="0" relativeHeight="251663360" behindDoc="0" locked="0" layoutInCell="1" allowOverlap="1">
            <wp:simplePos x="0" y="0"/>
            <wp:positionH relativeFrom="column">
              <wp:posOffset>490855</wp:posOffset>
            </wp:positionH>
            <wp:positionV relativeFrom="paragraph">
              <wp:posOffset>147320</wp:posOffset>
            </wp:positionV>
            <wp:extent cx="2228850" cy="3418840"/>
            <wp:effectExtent l="0" t="0" r="0" b="0"/>
            <wp:wrapTopAndBottom/>
            <wp:docPr id="15" name="图片 15" descr="未命名文件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未命名文件 (9)"/>
                    <pic:cNvPicPr>
                      <a:picLocks noChangeAspect="1"/>
                    </pic:cNvPicPr>
                  </pic:nvPicPr>
                  <pic:blipFill>
                    <a:blip r:embed="rId43"/>
                    <a:stretch>
                      <a:fillRect/>
                    </a:stretch>
                  </pic:blipFill>
                  <pic:spPr>
                    <a:xfrm>
                      <a:off x="0" y="0"/>
                      <a:ext cx="2228850" cy="3418840"/>
                    </a:xfrm>
                    <a:prstGeom prst="rect">
                      <a:avLst/>
                    </a:prstGeom>
                  </pic:spPr>
                </pic:pic>
              </a:graphicData>
            </a:graphic>
          </wp:anchor>
        </w:drawing>
      </w:r>
    </w:p>
    <w:p>
      <w:pPr>
        <w:pStyle w:val="7"/>
        <w:numPr>
          <w:ilvl w:val="0"/>
          <w:numId w:val="80"/>
        </w:numPr>
        <w:ind w:left="640" w:firstLine="643"/>
      </w:pPr>
      <w:r>
        <w:rPr>
          <w:rFonts w:hint="eastAsia"/>
        </w:rPr>
        <w:t>设备管理流程</w:t>
      </w:r>
    </w:p>
    <w:p>
      <w:pPr>
        <w:ind w:firstLine="640"/>
        <w:rPr>
          <w:rFonts w:ascii="仿宋" w:hAnsi="仿宋" w:eastAsia="仿宋"/>
          <w:bCs/>
          <w:szCs w:val="32"/>
        </w:rPr>
      </w:pPr>
      <w:r>
        <w:rPr>
          <w:rFonts w:ascii="仿宋" w:hAnsi="仿宋" w:eastAsia="仿宋"/>
          <w:bCs/>
          <w:szCs w:val="32"/>
        </w:rPr>
        <w:drawing>
          <wp:anchor distT="0" distB="0" distL="114300" distR="114300" simplePos="0" relativeHeight="251664384" behindDoc="0" locked="0" layoutInCell="1" allowOverlap="1">
            <wp:simplePos x="0" y="0"/>
            <wp:positionH relativeFrom="column">
              <wp:posOffset>459740</wp:posOffset>
            </wp:positionH>
            <wp:positionV relativeFrom="paragraph">
              <wp:posOffset>78740</wp:posOffset>
            </wp:positionV>
            <wp:extent cx="2475865" cy="2852420"/>
            <wp:effectExtent l="0" t="0" r="0" b="0"/>
            <wp:wrapTopAndBottom/>
            <wp:docPr id="16" name="图片 16" descr="未命名文件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未命名文件 (11)"/>
                    <pic:cNvPicPr>
                      <a:picLocks noChangeAspect="1"/>
                    </pic:cNvPicPr>
                  </pic:nvPicPr>
                  <pic:blipFill>
                    <a:blip r:embed="rId42"/>
                    <a:stretch>
                      <a:fillRect/>
                    </a:stretch>
                  </pic:blipFill>
                  <pic:spPr>
                    <a:xfrm>
                      <a:off x="0" y="0"/>
                      <a:ext cx="2475865" cy="2852420"/>
                    </a:xfrm>
                    <a:prstGeom prst="rect">
                      <a:avLst/>
                    </a:prstGeom>
                  </pic:spPr>
                </pic:pic>
              </a:graphicData>
            </a:graphic>
          </wp:anchor>
        </w:drawing>
      </w:r>
    </w:p>
    <w:p>
      <w:pPr>
        <w:pStyle w:val="6"/>
        <w:numPr>
          <w:ilvl w:val="0"/>
          <w:numId w:val="137"/>
        </w:numPr>
        <w:ind w:left="0" w:firstLine="640"/>
        <w:rPr>
          <w:rFonts w:ascii="楷体_GB2312" w:eastAsia="楷体_GB2312"/>
        </w:rPr>
      </w:pPr>
      <w:r>
        <w:rPr>
          <w:rFonts w:hint="eastAsia" w:ascii="楷体_GB2312" w:eastAsia="楷体_GB2312"/>
        </w:rPr>
        <w:t>责任划分</w:t>
      </w:r>
    </w:p>
    <w:p>
      <w:pPr>
        <w:numPr>
          <w:ilvl w:val="0"/>
          <w:numId w:val="142"/>
        </w:numPr>
        <w:ind w:left="0" w:firstLine="640"/>
        <w:rPr>
          <w:rFonts w:ascii="仿宋_GB2312" w:hAnsi="仿宋"/>
          <w:szCs w:val="32"/>
        </w:rPr>
      </w:pPr>
      <w:r>
        <w:rPr>
          <w:rFonts w:hint="eastAsia" w:ascii="仿宋_GB2312" w:hAnsi="仿宋"/>
          <w:szCs w:val="32"/>
        </w:rPr>
        <w:t>省局建设统一接入平台；</w:t>
      </w:r>
    </w:p>
    <w:p>
      <w:pPr>
        <w:numPr>
          <w:ilvl w:val="0"/>
          <w:numId w:val="142"/>
        </w:numPr>
        <w:ind w:left="0" w:firstLine="640"/>
        <w:rPr>
          <w:rFonts w:ascii="仿宋_GB2312" w:hAnsi="仿宋"/>
          <w:szCs w:val="32"/>
        </w:rPr>
      </w:pPr>
      <w:r>
        <w:rPr>
          <w:rFonts w:hint="eastAsia" w:ascii="仿宋_GB2312" w:hAnsi="仿宋"/>
          <w:szCs w:val="32"/>
        </w:rPr>
        <w:t>省局特设处负责日常维护；</w:t>
      </w:r>
    </w:p>
    <w:p>
      <w:pPr>
        <w:numPr>
          <w:ilvl w:val="0"/>
          <w:numId w:val="142"/>
        </w:numPr>
        <w:ind w:left="0" w:firstLine="640"/>
        <w:rPr>
          <w:rFonts w:ascii="仿宋_GB2312" w:hAnsi="仿宋"/>
          <w:szCs w:val="32"/>
        </w:rPr>
      </w:pPr>
      <w:r>
        <w:rPr>
          <w:rFonts w:hint="eastAsia" w:ascii="仿宋_GB2312" w:hAnsi="仿宋"/>
          <w:szCs w:val="32"/>
        </w:rPr>
        <w:t>各地市行政监管机构负责监管数据输入；</w:t>
      </w:r>
    </w:p>
    <w:p>
      <w:pPr>
        <w:numPr>
          <w:ilvl w:val="0"/>
          <w:numId w:val="142"/>
        </w:numPr>
        <w:ind w:left="0" w:firstLine="640"/>
        <w:rPr>
          <w:rFonts w:ascii="仿宋_GB2312" w:hAnsi="仿宋"/>
          <w:szCs w:val="32"/>
        </w:rPr>
      </w:pPr>
      <w:r>
        <w:rPr>
          <w:rFonts w:hint="eastAsia" w:ascii="仿宋_GB2312" w:hAnsi="仿宋"/>
          <w:szCs w:val="32"/>
        </w:rPr>
        <w:t>省特科院负责风险评价导则的制定及更新；</w:t>
      </w:r>
    </w:p>
    <w:p>
      <w:pPr>
        <w:numPr>
          <w:ilvl w:val="0"/>
          <w:numId w:val="142"/>
        </w:numPr>
        <w:ind w:left="0" w:firstLine="640"/>
        <w:rPr>
          <w:rFonts w:ascii="仿宋_GB2312" w:hAnsi="仿宋"/>
          <w:szCs w:val="32"/>
        </w:rPr>
      </w:pPr>
      <w:r>
        <w:rPr>
          <w:rFonts w:hint="eastAsia" w:ascii="仿宋_GB2312" w:hAnsi="仿宋"/>
          <w:szCs w:val="32"/>
        </w:rPr>
        <w:t>省特科院及各地市检验机构负责报告与缺陷的信息输入。</w:t>
      </w:r>
    </w:p>
    <w:p>
      <w:pPr>
        <w:pStyle w:val="5"/>
        <w:numPr>
          <w:ilvl w:val="3"/>
          <w:numId w:val="132"/>
        </w:numPr>
        <w:ind w:left="0" w:firstLine="643"/>
        <w:rPr>
          <w:rFonts w:ascii="仿宋_GB2312"/>
          <w:szCs w:val="32"/>
        </w:rPr>
      </w:pPr>
      <w:bookmarkStart w:id="159" w:name="_Toc30403"/>
      <w:bookmarkStart w:id="160" w:name="_Toc18976"/>
      <w:r>
        <w:rPr>
          <w:rFonts w:hint="eastAsia" w:ascii="仿宋_GB2312"/>
          <w:szCs w:val="32"/>
        </w:rPr>
        <w:t>整合数据资源</w:t>
      </w:r>
      <w:bookmarkEnd w:id="159"/>
      <w:bookmarkEnd w:id="160"/>
    </w:p>
    <w:p>
      <w:pPr>
        <w:pStyle w:val="6"/>
        <w:numPr>
          <w:ilvl w:val="0"/>
          <w:numId w:val="143"/>
        </w:numPr>
        <w:ind w:left="0" w:firstLine="640"/>
        <w:rPr>
          <w:rFonts w:ascii="楷体_GB2312" w:eastAsia="楷体_GB2312"/>
        </w:rPr>
      </w:pPr>
      <w:r>
        <w:rPr>
          <w:rFonts w:hint="eastAsia" w:ascii="楷体_GB2312" w:eastAsia="楷体_GB2312"/>
        </w:rPr>
        <w:t>对接数据来源</w:t>
      </w:r>
    </w:p>
    <w:p>
      <w:pPr>
        <w:numPr>
          <w:ilvl w:val="0"/>
          <w:numId w:val="144"/>
        </w:numPr>
        <w:ind w:left="0" w:firstLine="640"/>
        <w:rPr>
          <w:rFonts w:ascii="仿宋_GB2312" w:hAnsi="仿宋"/>
          <w:szCs w:val="32"/>
        </w:rPr>
      </w:pPr>
      <w:r>
        <w:rPr>
          <w:rFonts w:hint="eastAsia" w:ascii="仿宋_GB2312" w:hAnsi="仿宋"/>
          <w:szCs w:val="32"/>
        </w:rPr>
        <w:t>省局特种设备监管系统</w:t>
      </w:r>
    </w:p>
    <w:p>
      <w:pPr>
        <w:numPr>
          <w:ilvl w:val="0"/>
          <w:numId w:val="144"/>
        </w:numPr>
        <w:ind w:left="0" w:firstLine="640"/>
        <w:rPr>
          <w:rFonts w:ascii="仿宋_GB2312" w:hAnsi="仿宋"/>
          <w:szCs w:val="32"/>
        </w:rPr>
      </w:pPr>
      <w:r>
        <w:rPr>
          <w:rFonts w:hint="eastAsia" w:ascii="仿宋_GB2312" w:hAnsi="仿宋"/>
          <w:szCs w:val="32"/>
        </w:rPr>
        <w:t>省特科院及各地市检验机构的检验系统</w:t>
      </w:r>
    </w:p>
    <w:p>
      <w:pPr>
        <w:pStyle w:val="6"/>
        <w:numPr>
          <w:ilvl w:val="0"/>
          <w:numId w:val="143"/>
        </w:numPr>
        <w:ind w:left="0" w:firstLine="640"/>
        <w:rPr>
          <w:rFonts w:ascii="楷体_GB2312" w:eastAsia="楷体_GB2312"/>
        </w:rPr>
      </w:pPr>
      <w:r>
        <w:rPr>
          <w:rFonts w:hint="eastAsia" w:ascii="楷体_GB2312" w:eastAsia="楷体_GB2312"/>
        </w:rPr>
        <w:t>对接数据明细</w:t>
      </w:r>
    </w:p>
    <w:tbl>
      <w:tblPr>
        <w:tblStyle w:val="28"/>
        <w:tblW w:w="8479"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920"/>
        <w:gridCol w:w="1584"/>
        <w:gridCol w:w="1850"/>
        <w:gridCol w:w="4125"/>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920" w:type="dxa"/>
            <w:tcBorders>
              <w:tl2br w:val="nil"/>
              <w:tr2bl w:val="nil"/>
            </w:tcBorders>
            <w:vAlign w:val="center"/>
          </w:tcPr>
          <w:p>
            <w:pPr>
              <w:ind w:firstLine="0" w:firstLineChars="0"/>
              <w:jc w:val="center"/>
              <w:rPr>
                <w:rFonts w:ascii="仿宋_GB2312" w:hAnsi="仿宋_GB2312" w:cs="仿宋_GB2312"/>
                <w:b/>
                <w:bCs/>
                <w:sz w:val="30"/>
                <w:szCs w:val="30"/>
              </w:rPr>
            </w:pPr>
            <w:r>
              <w:rPr>
                <w:rFonts w:hint="eastAsia" w:ascii="仿宋_GB2312" w:hAnsi="仿宋_GB2312" w:cs="仿宋_GB2312"/>
                <w:b/>
                <w:bCs/>
                <w:sz w:val="30"/>
                <w:szCs w:val="30"/>
              </w:rPr>
              <w:t>序号</w:t>
            </w:r>
          </w:p>
        </w:tc>
        <w:tc>
          <w:tcPr>
            <w:tcW w:w="1584" w:type="dxa"/>
            <w:tcBorders>
              <w:tl2br w:val="nil"/>
              <w:tr2bl w:val="nil"/>
            </w:tcBorders>
            <w:vAlign w:val="center"/>
          </w:tcPr>
          <w:p>
            <w:pPr>
              <w:ind w:firstLine="0" w:firstLineChars="0"/>
              <w:jc w:val="center"/>
              <w:rPr>
                <w:rFonts w:ascii="仿宋_GB2312" w:hAnsi="仿宋_GB2312" w:cs="仿宋_GB2312"/>
                <w:b/>
                <w:bCs/>
                <w:sz w:val="30"/>
                <w:szCs w:val="30"/>
              </w:rPr>
            </w:pPr>
            <w:r>
              <w:rPr>
                <w:rFonts w:hint="eastAsia" w:ascii="仿宋_GB2312" w:hAnsi="仿宋_GB2312" w:cs="仿宋_GB2312"/>
                <w:b/>
                <w:bCs/>
                <w:sz w:val="30"/>
                <w:szCs w:val="30"/>
              </w:rPr>
              <w:t>选取参数</w:t>
            </w:r>
          </w:p>
        </w:tc>
        <w:tc>
          <w:tcPr>
            <w:tcW w:w="1850" w:type="dxa"/>
            <w:tcBorders>
              <w:tl2br w:val="nil"/>
              <w:tr2bl w:val="nil"/>
            </w:tcBorders>
            <w:vAlign w:val="center"/>
          </w:tcPr>
          <w:p>
            <w:pPr>
              <w:ind w:firstLine="0" w:firstLineChars="0"/>
              <w:jc w:val="center"/>
              <w:rPr>
                <w:rFonts w:ascii="仿宋_GB2312" w:hAnsi="仿宋_GB2312" w:cs="仿宋_GB2312"/>
                <w:b/>
                <w:bCs/>
                <w:sz w:val="30"/>
                <w:szCs w:val="30"/>
              </w:rPr>
            </w:pPr>
            <w:r>
              <w:rPr>
                <w:rFonts w:hint="eastAsia" w:ascii="仿宋_GB2312" w:hAnsi="仿宋_GB2312" w:cs="仿宋_GB2312"/>
                <w:b/>
                <w:bCs/>
                <w:sz w:val="30"/>
                <w:szCs w:val="30"/>
              </w:rPr>
              <w:t>风险源</w:t>
            </w:r>
          </w:p>
        </w:tc>
        <w:tc>
          <w:tcPr>
            <w:tcW w:w="4125" w:type="dxa"/>
            <w:tcBorders>
              <w:tl2br w:val="nil"/>
              <w:tr2bl w:val="nil"/>
            </w:tcBorders>
            <w:vAlign w:val="center"/>
          </w:tcPr>
          <w:p>
            <w:pPr>
              <w:ind w:firstLine="0" w:firstLineChars="0"/>
              <w:jc w:val="center"/>
              <w:rPr>
                <w:rFonts w:ascii="仿宋_GB2312" w:hAnsi="仿宋_GB2312" w:cs="仿宋_GB2312"/>
                <w:b/>
                <w:bCs/>
                <w:sz w:val="30"/>
                <w:szCs w:val="30"/>
              </w:rPr>
            </w:pPr>
            <w:r>
              <w:rPr>
                <w:rFonts w:hint="eastAsia" w:ascii="仿宋_GB2312" w:hAnsi="仿宋_GB2312" w:cs="仿宋_GB2312"/>
                <w:b/>
                <w:bCs/>
                <w:sz w:val="30"/>
                <w:szCs w:val="30"/>
              </w:rPr>
              <w:t>判定条件</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920" w:type="dxa"/>
            <w:tcBorders>
              <w:tl2br w:val="nil"/>
              <w:tr2bl w:val="nil"/>
            </w:tcBorders>
            <w:vAlign w:val="center"/>
          </w:tcPr>
          <w:p>
            <w:pPr>
              <w:ind w:firstLine="0" w:firstLineChars="0"/>
              <w:jc w:val="center"/>
              <w:rPr>
                <w:rFonts w:ascii="仿宋_GB2312" w:hAnsi="仿宋_GB2312" w:cs="仿宋_GB2312"/>
                <w:sz w:val="30"/>
                <w:szCs w:val="30"/>
              </w:rPr>
            </w:pPr>
            <w:r>
              <w:rPr>
                <w:rFonts w:hint="eastAsia" w:cs="仿宋_GB2312"/>
                <w:szCs w:val="30"/>
              </w:rPr>
              <w:t>1</w:t>
            </w:r>
          </w:p>
        </w:tc>
        <w:tc>
          <w:tcPr>
            <w:tcW w:w="1584" w:type="dxa"/>
            <w:tcBorders>
              <w:tl2br w:val="nil"/>
              <w:tr2bl w:val="nil"/>
            </w:tcBorders>
            <w:vAlign w:val="center"/>
          </w:tcPr>
          <w:p>
            <w:pPr>
              <w:ind w:firstLine="0" w:firstLineChars="0"/>
              <w:jc w:val="center"/>
              <w:rPr>
                <w:rFonts w:ascii="仿宋_GB2312" w:hAnsi="仿宋_GB2312" w:cs="仿宋_GB2312"/>
                <w:sz w:val="30"/>
                <w:szCs w:val="30"/>
              </w:rPr>
            </w:pPr>
            <w:r>
              <w:rPr>
                <w:rFonts w:cs="Times New Roman"/>
                <w:szCs w:val="30"/>
              </w:rPr>
              <w:t>GPS</w:t>
            </w:r>
            <w:r>
              <w:rPr>
                <w:rFonts w:hint="eastAsia" w:ascii="仿宋_GB2312" w:hAnsi="仿宋_GB2312" w:cs="仿宋_GB2312"/>
                <w:sz w:val="30"/>
                <w:szCs w:val="30"/>
              </w:rPr>
              <w:t>定位信息</w:t>
            </w:r>
          </w:p>
        </w:tc>
        <w:tc>
          <w:tcPr>
            <w:tcW w:w="1850" w:type="dxa"/>
            <w:tcBorders>
              <w:tl2br w:val="nil"/>
              <w:tr2bl w:val="nil"/>
            </w:tcBorders>
            <w:vAlign w:val="center"/>
          </w:tcPr>
          <w:p>
            <w:pPr>
              <w:ind w:firstLine="0" w:firstLineChars="0"/>
              <w:jc w:val="left"/>
              <w:rPr>
                <w:rFonts w:ascii="仿宋_GB2312" w:hAnsi="仿宋_GB2312" w:cs="仿宋_GB2312"/>
                <w:sz w:val="30"/>
                <w:szCs w:val="30"/>
              </w:rPr>
            </w:pPr>
            <w:r>
              <w:rPr>
                <w:rFonts w:hint="eastAsia" w:ascii="仿宋_GB2312" w:hAnsi="仿宋_GB2312" w:cs="仿宋_GB2312"/>
                <w:sz w:val="30"/>
                <w:szCs w:val="30"/>
              </w:rPr>
              <w:t>场车在允许的作业区域以外作业。</w:t>
            </w:r>
          </w:p>
        </w:tc>
        <w:tc>
          <w:tcPr>
            <w:tcW w:w="4125" w:type="dxa"/>
            <w:tcBorders>
              <w:tl2br w:val="nil"/>
              <w:tr2bl w:val="nil"/>
            </w:tcBorders>
            <w:vAlign w:val="center"/>
          </w:tcPr>
          <w:p>
            <w:pPr>
              <w:ind w:firstLine="0" w:firstLineChars="0"/>
              <w:jc w:val="left"/>
              <w:rPr>
                <w:rFonts w:ascii="仿宋_GB2312" w:hAnsi="仿宋_GB2312" w:cs="仿宋_GB2312"/>
                <w:sz w:val="30"/>
                <w:szCs w:val="30"/>
              </w:rPr>
            </w:pPr>
            <w:r>
              <w:rPr>
                <w:rFonts w:cs="Times New Roman"/>
                <w:szCs w:val="30"/>
              </w:rPr>
              <w:t>1</w:t>
            </w:r>
            <w:r>
              <w:rPr>
                <w:rFonts w:hint="eastAsia" w:ascii="仿宋_GB2312" w:hAnsi="仿宋_GB2312" w:cs="仿宋_GB2312"/>
                <w:sz w:val="30"/>
                <w:szCs w:val="30"/>
              </w:rPr>
              <w:t>.场车在允许的作业区域以外作业，向安全管理人员及监管人员进行报警。</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920" w:type="dxa"/>
            <w:tcBorders>
              <w:tl2br w:val="nil"/>
              <w:tr2bl w:val="nil"/>
            </w:tcBorders>
            <w:vAlign w:val="center"/>
          </w:tcPr>
          <w:p>
            <w:pPr>
              <w:ind w:firstLine="0" w:firstLineChars="0"/>
              <w:jc w:val="center"/>
              <w:rPr>
                <w:rFonts w:ascii="仿宋_GB2312" w:hAnsi="仿宋_GB2312" w:cs="仿宋_GB2312"/>
                <w:sz w:val="30"/>
                <w:szCs w:val="30"/>
              </w:rPr>
            </w:pPr>
            <w:r>
              <w:rPr>
                <w:rFonts w:hint="eastAsia" w:cs="仿宋_GB2312"/>
                <w:szCs w:val="30"/>
              </w:rPr>
              <w:t>2</w:t>
            </w:r>
          </w:p>
        </w:tc>
        <w:tc>
          <w:tcPr>
            <w:tcW w:w="1584" w:type="dxa"/>
            <w:tcBorders>
              <w:tl2br w:val="nil"/>
              <w:tr2bl w:val="nil"/>
            </w:tcBorders>
            <w:vAlign w:val="center"/>
          </w:tcPr>
          <w:p>
            <w:pPr>
              <w:ind w:firstLine="0" w:firstLineChars="0"/>
              <w:jc w:val="center"/>
              <w:rPr>
                <w:rFonts w:ascii="仿宋_GB2312" w:hAnsi="仿宋_GB2312" w:cs="仿宋_GB2312"/>
                <w:sz w:val="30"/>
                <w:szCs w:val="30"/>
              </w:rPr>
            </w:pPr>
            <w:r>
              <w:rPr>
                <w:rFonts w:hint="eastAsia" w:ascii="仿宋_GB2312" w:hAnsi="仿宋_GB2312" w:cs="仿宋_GB2312"/>
                <w:sz w:val="30"/>
                <w:szCs w:val="30"/>
              </w:rPr>
              <w:t>行驶速度</w:t>
            </w:r>
          </w:p>
        </w:tc>
        <w:tc>
          <w:tcPr>
            <w:tcW w:w="1850" w:type="dxa"/>
            <w:tcBorders>
              <w:tl2br w:val="nil"/>
              <w:tr2bl w:val="nil"/>
            </w:tcBorders>
            <w:vAlign w:val="center"/>
          </w:tcPr>
          <w:p>
            <w:pPr>
              <w:ind w:firstLine="0" w:firstLineChars="0"/>
              <w:jc w:val="left"/>
              <w:rPr>
                <w:rFonts w:ascii="仿宋_GB2312" w:hAnsi="仿宋_GB2312" w:cs="仿宋_GB2312"/>
                <w:sz w:val="30"/>
                <w:szCs w:val="30"/>
              </w:rPr>
            </w:pPr>
            <w:r>
              <w:rPr>
                <w:rFonts w:hint="eastAsia" w:ascii="仿宋_GB2312" w:hAnsi="仿宋_GB2312" w:cs="仿宋_GB2312"/>
                <w:sz w:val="30"/>
                <w:szCs w:val="30"/>
              </w:rPr>
              <w:t>场车超速行驶易引发碰撞事故。</w:t>
            </w:r>
          </w:p>
        </w:tc>
        <w:tc>
          <w:tcPr>
            <w:tcW w:w="4125" w:type="dxa"/>
            <w:tcBorders>
              <w:tl2br w:val="nil"/>
              <w:tr2bl w:val="nil"/>
            </w:tcBorders>
            <w:vAlign w:val="center"/>
          </w:tcPr>
          <w:p>
            <w:pPr>
              <w:numPr>
                <w:ilvl w:val="0"/>
                <w:numId w:val="145"/>
              </w:numPr>
              <w:ind w:firstLine="0" w:firstLineChars="0"/>
              <w:jc w:val="left"/>
              <w:rPr>
                <w:rFonts w:ascii="仿宋_GB2312" w:hAnsi="仿宋_GB2312" w:cs="仿宋_GB2312"/>
                <w:sz w:val="30"/>
                <w:szCs w:val="30"/>
              </w:rPr>
            </w:pPr>
            <w:r>
              <w:rPr>
                <w:rFonts w:hint="eastAsia" w:ascii="仿宋_GB2312" w:hAnsi="仿宋_GB2312" w:cs="仿宋_GB2312"/>
                <w:sz w:val="30"/>
                <w:szCs w:val="30"/>
              </w:rPr>
              <w:t>场车超过规定时速行驶，向安全管理人员进行报警；</w:t>
            </w:r>
          </w:p>
          <w:p>
            <w:pPr>
              <w:numPr>
                <w:ilvl w:val="0"/>
                <w:numId w:val="145"/>
              </w:numPr>
              <w:ind w:firstLine="0" w:firstLineChars="0"/>
              <w:jc w:val="left"/>
              <w:rPr>
                <w:rFonts w:ascii="仿宋_GB2312" w:hAnsi="仿宋_GB2312" w:cs="仿宋_GB2312"/>
                <w:sz w:val="30"/>
                <w:szCs w:val="30"/>
              </w:rPr>
            </w:pPr>
            <w:r>
              <w:rPr>
                <w:rFonts w:cs="Times New Roman"/>
                <w:szCs w:val="30"/>
              </w:rPr>
              <w:t>3</w:t>
            </w:r>
            <w:r>
              <w:rPr>
                <w:rFonts w:hint="eastAsia" w:ascii="仿宋_GB2312" w:hAnsi="仿宋_GB2312" w:cs="仿宋_GB2312"/>
                <w:sz w:val="30"/>
                <w:szCs w:val="30"/>
              </w:rPr>
              <w:t>个月累计超速</w:t>
            </w:r>
            <w:r>
              <w:rPr>
                <w:rFonts w:cs="Times New Roman"/>
                <w:szCs w:val="30"/>
              </w:rPr>
              <w:t>5</w:t>
            </w:r>
            <w:r>
              <w:rPr>
                <w:rFonts w:hint="eastAsia" w:ascii="仿宋_GB2312" w:hAnsi="仿宋_GB2312" w:cs="仿宋_GB2312"/>
                <w:sz w:val="30"/>
                <w:szCs w:val="30"/>
              </w:rPr>
              <w:t>次，向监察人员进行报警。</w:t>
            </w:r>
          </w:p>
        </w:tc>
      </w:tr>
    </w:tbl>
    <w:p>
      <w:pPr>
        <w:ind w:firstLine="640"/>
        <w:sectPr>
          <w:pgSz w:w="11906" w:h="16838"/>
          <w:pgMar w:top="2098" w:right="1474" w:bottom="1985" w:left="1588" w:header="851" w:footer="992" w:gutter="0"/>
          <w:cols w:space="425" w:num="1"/>
          <w:docGrid w:type="lines" w:linePitch="312" w:charSpace="0"/>
        </w:sectPr>
      </w:pPr>
    </w:p>
    <w:p>
      <w:pPr>
        <w:pStyle w:val="2"/>
        <w:ind w:firstLine="880"/>
        <w:rPr>
          <w:rFonts w:ascii="黑体" w:hAnsi="黑体" w:eastAsia="黑体"/>
          <w:b w:val="0"/>
          <w:sz w:val="32"/>
          <w:szCs w:val="32"/>
        </w:rPr>
      </w:pPr>
      <w:bookmarkStart w:id="161" w:name="_Toc58782912"/>
      <w:bookmarkStart w:id="162" w:name="_Toc6038"/>
      <w:r>
        <w:rPr>
          <w:rFonts w:hint="eastAsia" w:ascii="方正小标宋简体" w:eastAsia="方正小标宋简体"/>
          <w:b w:val="0"/>
        </w:rPr>
        <w:t>保障措施</w:t>
      </w:r>
      <w:bookmarkEnd w:id="161"/>
      <w:bookmarkEnd w:id="162"/>
    </w:p>
    <w:p>
      <w:pPr>
        <w:pStyle w:val="4"/>
        <w:numPr>
          <w:ilvl w:val="2"/>
          <w:numId w:val="146"/>
        </w:numPr>
        <w:spacing w:before="0" w:after="0" w:line="580" w:lineRule="exact"/>
        <w:ind w:left="0" w:firstLine="640"/>
        <w:rPr>
          <w:rFonts w:ascii="楷体_GB2312" w:eastAsia="楷体_GB2312"/>
        </w:rPr>
      </w:pPr>
      <w:bookmarkStart w:id="163" w:name="_Toc58782913"/>
      <w:bookmarkStart w:id="164" w:name="_Toc4877"/>
      <w:r>
        <w:rPr>
          <w:rFonts w:hint="eastAsia" w:ascii="楷体_GB2312" w:eastAsia="楷体_GB2312"/>
        </w:rPr>
        <w:t>加强组织领导</w:t>
      </w:r>
      <w:bookmarkEnd w:id="163"/>
      <w:bookmarkEnd w:id="164"/>
    </w:p>
    <w:p>
      <w:pPr>
        <w:ind w:firstLine="640"/>
        <w:rPr>
          <w:rFonts w:ascii="仿宋_GB2312" w:hAnsi="宋体" w:cs="Times New Roman"/>
          <w:szCs w:val="32"/>
        </w:rPr>
      </w:pPr>
      <w:r>
        <w:rPr>
          <w:rFonts w:hint="eastAsia" w:ascii="仿宋_GB2312" w:hAnsi="宋体" w:cs="Times New Roman"/>
          <w:szCs w:val="32"/>
        </w:rPr>
        <w:t>特种设备安全综合管理平台作为省局重点工程，</w:t>
      </w:r>
      <w:r>
        <w:rPr>
          <w:rFonts w:hint="eastAsia" w:ascii="仿宋_GB2312" w:hAnsi="宋体" w:cs="Times New Roman"/>
          <w:color w:val="000000" w:themeColor="text1"/>
          <w:szCs w:val="32"/>
          <w14:textFill>
            <w14:solidFill>
              <w14:schemeClr w14:val="tx1"/>
            </w14:solidFill>
          </w14:textFill>
        </w:rPr>
        <w:t>组建以省局特种设备处、数字传媒中心、省特科院、各市局及软件开发单位等相关人员为成员的专班，实行相对集中办公，研究改革工作方案，协调推进改革各项工作任务。</w:t>
      </w:r>
    </w:p>
    <w:p>
      <w:pPr>
        <w:pStyle w:val="4"/>
        <w:numPr>
          <w:ilvl w:val="2"/>
          <w:numId w:val="146"/>
        </w:numPr>
        <w:spacing w:before="0" w:after="0" w:line="580" w:lineRule="exact"/>
        <w:ind w:left="0" w:firstLine="640"/>
        <w:rPr>
          <w:rFonts w:ascii="楷体_GB2312" w:eastAsia="楷体_GB2312"/>
        </w:rPr>
      </w:pPr>
      <w:bookmarkStart w:id="165" w:name="_Toc58782914"/>
      <w:bookmarkStart w:id="166" w:name="_Toc13466"/>
      <w:r>
        <w:rPr>
          <w:rFonts w:hint="eastAsia" w:ascii="楷体_GB2312" w:eastAsia="楷体_GB2312"/>
        </w:rPr>
        <w:t>加强顶层设计</w:t>
      </w:r>
      <w:bookmarkEnd w:id="165"/>
      <w:bookmarkEnd w:id="166"/>
    </w:p>
    <w:p>
      <w:pPr>
        <w:ind w:firstLine="640"/>
        <w:rPr>
          <w:rFonts w:ascii="仿宋_GB2312" w:hAnsi="仿宋_GB2312" w:cs="仿宋_GB2312"/>
          <w:color w:val="000000" w:themeColor="text1"/>
          <w:szCs w:val="32"/>
          <w14:textFill>
            <w14:solidFill>
              <w14:schemeClr w14:val="tx1"/>
            </w14:solidFill>
          </w14:textFill>
        </w:rPr>
      </w:pPr>
      <w:r>
        <w:rPr>
          <w:rFonts w:hint="eastAsia" w:ascii="仿宋_GB2312" w:hAnsi="仿宋_GB2312" w:cs="仿宋_GB2312"/>
          <w:color w:val="000000" w:themeColor="text1"/>
          <w:szCs w:val="32"/>
          <w14:textFill>
            <w14:solidFill>
              <w14:schemeClr w14:val="tx1"/>
            </w14:solidFill>
          </w14:textFill>
        </w:rPr>
        <w:t>系统谋划改革思路，规划全周期“一件事”改革的总体框架，</w:t>
      </w:r>
      <w:r>
        <w:rPr>
          <w:rFonts w:hint="eastAsia" w:ascii="仿宋_GB2312" w:hAnsi="宋体" w:cs="Times New Roman"/>
          <w:color w:val="000000" w:themeColor="text1"/>
          <w:szCs w:val="32"/>
          <w14:textFill>
            <w14:solidFill>
              <w14:schemeClr w14:val="tx1"/>
            </w14:solidFill>
          </w14:textFill>
        </w:rPr>
        <w:t>建设全省统一的特种设备安全监管平台</w:t>
      </w:r>
      <w:r>
        <w:rPr>
          <w:rFonts w:hint="eastAsia" w:ascii="仿宋_GB2312" w:hAnsi="仿宋_GB2312" w:cs="仿宋_GB2312"/>
          <w:color w:val="000000" w:themeColor="text1"/>
          <w:szCs w:val="32"/>
          <w14:textFill>
            <w14:solidFill>
              <w14:schemeClr w14:val="tx1"/>
            </w14:solidFill>
          </w14:textFill>
        </w:rPr>
        <w:t>。及时出台或修订相应的数据标准、接口规范、技术要求、工作指南等，确保特种设备安全全周期监管的统一性、规范性。</w:t>
      </w:r>
    </w:p>
    <w:p>
      <w:pPr>
        <w:pStyle w:val="4"/>
        <w:numPr>
          <w:ilvl w:val="2"/>
          <w:numId w:val="146"/>
        </w:numPr>
        <w:spacing w:before="0" w:after="0" w:line="580" w:lineRule="exact"/>
        <w:ind w:left="0" w:firstLine="640"/>
        <w:rPr>
          <w:rFonts w:ascii="楷体_GB2312" w:eastAsia="楷体_GB2312"/>
        </w:rPr>
      </w:pPr>
      <w:bookmarkStart w:id="167" w:name="_Toc58782915"/>
      <w:bookmarkStart w:id="168" w:name="_Toc3530"/>
      <w:r>
        <w:rPr>
          <w:rFonts w:hint="eastAsia" w:ascii="楷体_GB2312" w:eastAsia="楷体_GB2312"/>
        </w:rPr>
        <w:t>系统协同推进</w:t>
      </w:r>
      <w:bookmarkEnd w:id="167"/>
      <w:bookmarkEnd w:id="168"/>
    </w:p>
    <w:p>
      <w:pPr>
        <w:ind w:firstLine="640"/>
        <w:rPr>
          <w:rFonts w:ascii="仿宋_GB2312" w:hAnsi="宋体" w:cs="Times New Roman"/>
          <w:color w:val="000000" w:themeColor="text1"/>
          <w:szCs w:val="32"/>
          <w14:textFill>
            <w14:solidFill>
              <w14:schemeClr w14:val="tx1"/>
            </w14:solidFill>
          </w14:textFill>
        </w:rPr>
      </w:pPr>
      <w:r>
        <w:rPr>
          <w:rFonts w:hint="eastAsia" w:ascii="仿宋_GB2312" w:hAnsi="仿宋_GB2312" w:cs="仿宋_GB2312"/>
          <w:color w:val="000000" w:themeColor="text1"/>
          <w:szCs w:val="32"/>
          <w14:textFill>
            <w14:solidFill>
              <w14:schemeClr w14:val="tx1"/>
            </w14:solidFill>
          </w14:textFill>
        </w:rPr>
        <w:t>细化量化目标任务，明确工作进度要求</w:t>
      </w:r>
      <w:r>
        <w:rPr>
          <w:rFonts w:hint="eastAsia" w:ascii="仿宋_GB2312" w:hAnsi="宋体" w:cs="Times New Roman"/>
          <w:color w:val="000000" w:themeColor="text1"/>
          <w:szCs w:val="32"/>
          <w14:textFill>
            <w14:solidFill>
              <w14:schemeClr w14:val="tx1"/>
            </w14:solidFill>
          </w14:textFill>
        </w:rPr>
        <w:t>。加强与系统上下和横向部门的协调，统筹规划改革的各项具体任务，成熟一件，推进一件。采取先行先试，逐步推广的模式，不断深入推进改革任务。</w:t>
      </w:r>
    </w:p>
    <w:p>
      <w:pPr>
        <w:pStyle w:val="4"/>
        <w:numPr>
          <w:ilvl w:val="2"/>
          <w:numId w:val="146"/>
        </w:numPr>
        <w:spacing w:before="0" w:after="0" w:line="580" w:lineRule="exact"/>
        <w:ind w:left="0" w:firstLine="640"/>
        <w:rPr>
          <w:rFonts w:ascii="楷体_GB2312" w:eastAsia="楷体_GB2312"/>
        </w:rPr>
      </w:pPr>
      <w:bookmarkStart w:id="169" w:name="_Toc58782916"/>
      <w:bookmarkStart w:id="170" w:name="_Toc7073"/>
      <w:r>
        <w:rPr>
          <w:rFonts w:hint="eastAsia" w:ascii="楷体_GB2312" w:eastAsia="楷体_GB2312"/>
        </w:rPr>
        <w:t>强化考核评价</w:t>
      </w:r>
      <w:bookmarkEnd w:id="169"/>
      <w:bookmarkEnd w:id="170"/>
    </w:p>
    <w:p>
      <w:pPr>
        <w:ind w:firstLine="640"/>
        <w:rPr>
          <w:rFonts w:ascii="仿宋_GB2312" w:hAnsi="宋体" w:cs="Times New Roman"/>
          <w:color w:val="000000" w:themeColor="text1"/>
          <w:szCs w:val="32"/>
          <w14:textFill>
            <w14:solidFill>
              <w14:schemeClr w14:val="tx1"/>
            </w14:solidFill>
          </w14:textFill>
        </w:rPr>
      </w:pPr>
      <w:r>
        <w:rPr>
          <w:rFonts w:hint="eastAsia" w:ascii="仿宋_GB2312" w:hAnsi="宋体" w:cs="Times New Roman"/>
          <w:color w:val="000000" w:themeColor="text1"/>
          <w:szCs w:val="32"/>
          <w14:textFill>
            <w14:solidFill>
              <w14:schemeClr w14:val="tx1"/>
            </w14:solidFill>
          </w14:textFill>
        </w:rPr>
        <w:t>将特种设备安全综合管理平台建设应用工作纳入各级市场监管部门考核内容，完善考核评价规范，加强督查检查，综合运用通报、约谈、警示等措施，鼓励先进，鞭策落后。</w:t>
      </w:r>
    </w:p>
    <w:p>
      <w:pPr>
        <w:pStyle w:val="4"/>
        <w:numPr>
          <w:ilvl w:val="2"/>
          <w:numId w:val="146"/>
        </w:numPr>
        <w:spacing w:before="0" w:after="0" w:line="580" w:lineRule="exact"/>
        <w:ind w:left="0" w:firstLine="640"/>
        <w:rPr>
          <w:rFonts w:ascii="楷体_GB2312" w:eastAsia="楷体_GB2312"/>
        </w:rPr>
      </w:pPr>
      <w:bookmarkStart w:id="171" w:name="_Toc58782917"/>
      <w:bookmarkStart w:id="172" w:name="_Toc27923"/>
      <w:r>
        <w:rPr>
          <w:rFonts w:hint="eastAsia" w:ascii="楷体_GB2312" w:eastAsia="楷体_GB2312"/>
        </w:rPr>
        <w:t>保障数据质量</w:t>
      </w:r>
      <w:bookmarkEnd w:id="171"/>
      <w:bookmarkEnd w:id="172"/>
    </w:p>
    <w:p>
      <w:pPr>
        <w:ind w:firstLine="640"/>
        <w:rPr>
          <w:rFonts w:ascii="仿宋_GB2312" w:hAnsi="宋体" w:cs="Times New Roman"/>
          <w:szCs w:val="32"/>
        </w:rPr>
      </w:pPr>
      <w:r>
        <w:rPr>
          <w:rFonts w:hint="eastAsia" w:ascii="仿宋_GB2312" w:hAnsi="宋体" w:cs="Times New Roman"/>
          <w:szCs w:val="32"/>
        </w:rPr>
        <w:t>按照数据标准与要求，充分对现有数据进行清洗，建立数据治理保障机制，明确责任，落实到岗、到人，确保入库数据高质量。</w:t>
      </w:r>
    </w:p>
    <w:p>
      <w:pPr>
        <w:pStyle w:val="4"/>
        <w:numPr>
          <w:ilvl w:val="2"/>
          <w:numId w:val="146"/>
        </w:numPr>
        <w:spacing w:before="0" w:after="0" w:line="580" w:lineRule="exact"/>
        <w:ind w:left="0" w:firstLine="640"/>
        <w:rPr>
          <w:rFonts w:ascii="楷体_GB2312" w:eastAsia="楷体_GB2312"/>
        </w:rPr>
      </w:pPr>
      <w:bookmarkStart w:id="173" w:name="_Toc58782918"/>
      <w:bookmarkStart w:id="174" w:name="_Toc29254"/>
      <w:r>
        <w:rPr>
          <w:rFonts w:hint="eastAsia" w:ascii="楷体_GB2312" w:eastAsia="楷体_GB2312"/>
        </w:rPr>
        <w:t>保护数据安全</w:t>
      </w:r>
      <w:bookmarkEnd w:id="173"/>
      <w:bookmarkEnd w:id="174"/>
    </w:p>
    <w:p>
      <w:pPr>
        <w:ind w:firstLine="640"/>
        <w:rPr>
          <w:rFonts w:hint="eastAsia" w:ascii="仿宋_GB2312" w:hAnsi="宋体" w:cs="Times New Roman"/>
          <w:szCs w:val="32"/>
        </w:rPr>
      </w:pPr>
      <w:r>
        <w:rPr>
          <w:rFonts w:hint="eastAsia" w:ascii="仿宋_GB2312" w:hAnsi="宋体" w:cs="Times New Roman"/>
          <w:szCs w:val="32"/>
        </w:rPr>
        <w:t>对数据采集、数据传输、数据存储、数据处理、数据交换、数据销毁六个数据全生命周期开展数据安全评估，建设强健的数据资源安全保障体系，建立第三方安全审计、实时监督机制，强化对云数据存储、数据应用等过程安全管控，筑牢防数据泄露堤坝，并按照既定的规则实施运营，提高数据安全保障水平。</w:t>
      </w:r>
    </w:p>
    <w:p>
      <w:pPr>
        <w:ind w:firstLine="640"/>
        <w:rPr>
          <w:rFonts w:hint="eastAsia" w:ascii="仿宋_GB2312" w:hAnsi="宋体" w:cs="Times New Roman"/>
          <w:szCs w:val="32"/>
        </w:rPr>
      </w:pPr>
    </w:p>
    <w:p>
      <w:pPr>
        <w:ind w:firstLine="640"/>
        <w:rPr>
          <w:rFonts w:hint="eastAsia" w:ascii="仿宋_GB2312" w:hAnsi="宋体" w:cs="Times New Roman"/>
          <w:szCs w:val="32"/>
        </w:rPr>
      </w:pPr>
    </w:p>
    <w:p>
      <w:pPr>
        <w:ind w:firstLine="640"/>
        <w:rPr>
          <w:rFonts w:hint="eastAsia" w:ascii="仿宋_GB2312" w:hAnsi="宋体" w:cs="Times New Roman"/>
          <w:szCs w:val="32"/>
        </w:rPr>
      </w:pPr>
    </w:p>
    <w:p>
      <w:pPr>
        <w:ind w:firstLine="640"/>
      </w:pPr>
    </w:p>
    <w:p>
      <w:pPr>
        <w:pStyle w:val="15"/>
        <w:ind w:firstLine="480"/>
      </w:pPr>
    </w:p>
    <w:p>
      <w:pPr>
        <w:pStyle w:val="15"/>
        <w:ind w:firstLine="480"/>
      </w:pPr>
    </w:p>
    <w:p>
      <w:pPr>
        <w:pStyle w:val="15"/>
        <w:ind w:firstLine="480"/>
      </w:pPr>
    </w:p>
    <w:p>
      <w:pPr>
        <w:pStyle w:val="15"/>
        <w:ind w:firstLine="480"/>
      </w:pPr>
    </w:p>
    <w:p>
      <w:pPr>
        <w:pStyle w:val="15"/>
        <w:ind w:firstLine="0" w:firstLineChars="0"/>
        <w:sectPr>
          <w:pgSz w:w="11906" w:h="16838"/>
          <w:pgMar w:top="2098" w:right="1474" w:bottom="1985" w:left="1588" w:header="851" w:footer="992" w:gutter="0"/>
          <w:cols w:space="425" w:num="1"/>
          <w:docGrid w:type="lines" w:linePitch="312" w:charSpace="0"/>
        </w:sectPr>
      </w:pPr>
    </w:p>
    <w:p>
      <w:pPr>
        <w:pStyle w:val="2"/>
        <w:ind w:firstLine="883"/>
        <w:rPr>
          <w:rFonts w:hint="eastAsia"/>
          <w:lang w:eastAsia="zh-CN"/>
        </w:rPr>
      </w:pPr>
      <w:bookmarkStart w:id="175" w:name="_Toc30406"/>
      <w:r>
        <w:rPr>
          <w:rFonts w:hint="eastAsia" w:eastAsia="仿宋_GB2312"/>
          <w:sz w:val="28"/>
          <w:szCs w:val="22"/>
          <w:lang w:eastAsia="zh-CN"/>
        </w:rPr>
        <w:drawing>
          <wp:anchor distT="0" distB="0" distL="114300" distR="114300" simplePos="0" relativeHeight="251679744" behindDoc="0" locked="0" layoutInCell="1" allowOverlap="1">
            <wp:simplePos x="0" y="0"/>
            <wp:positionH relativeFrom="column">
              <wp:posOffset>-241935</wp:posOffset>
            </wp:positionH>
            <wp:positionV relativeFrom="paragraph">
              <wp:posOffset>425450</wp:posOffset>
            </wp:positionV>
            <wp:extent cx="8134350" cy="4914265"/>
            <wp:effectExtent l="0" t="0" r="3810" b="8255"/>
            <wp:wrapTopAndBottom/>
            <wp:docPr id="20" name="图片 20" descr="计划进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计划进度"/>
                    <pic:cNvPicPr>
                      <a:picLocks noChangeAspect="1"/>
                    </pic:cNvPicPr>
                  </pic:nvPicPr>
                  <pic:blipFill>
                    <a:blip r:embed="rId49"/>
                    <a:stretch>
                      <a:fillRect/>
                    </a:stretch>
                  </pic:blipFill>
                  <pic:spPr>
                    <a:xfrm>
                      <a:off x="0" y="0"/>
                      <a:ext cx="8134350" cy="4914265"/>
                    </a:xfrm>
                    <a:prstGeom prst="rect">
                      <a:avLst/>
                    </a:prstGeom>
                  </pic:spPr>
                </pic:pic>
              </a:graphicData>
            </a:graphic>
          </wp:anchor>
        </w:drawing>
      </w:r>
      <w:r>
        <w:rPr>
          <w:rFonts w:hint="eastAsia"/>
        </w:rPr>
        <w:t>实施进度安排</w:t>
      </w:r>
      <w:bookmarkEnd w:id="175"/>
      <w:bookmarkStart w:id="176" w:name="_GoBack"/>
      <w:bookmarkEnd w:id="176"/>
    </w:p>
    <w:sectPr>
      <w:pgSz w:w="16838" w:h="11906" w:orient="landscape"/>
      <w:pgMar w:top="1588" w:right="2098" w:bottom="1474" w:left="1985" w:header="851" w:footer="992" w:gutter="0"/>
      <w:cols w:space="425" w:num="1"/>
      <w:docGrid w:type="lines" w:linePitch="435"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_GB2312">
    <w:panose1 w:val="02010609030101010101"/>
    <w:charset w:val="86"/>
    <w:family w:val="auto"/>
    <w:pitch w:val="default"/>
    <w:sig w:usb0="00000001" w:usb1="080E0000" w:usb2="00000000" w:usb3="00000000" w:csb0="00040000" w:csb1="00000000"/>
  </w:font>
  <w:font w:name="楷体_GB2312">
    <w:panose1 w:val="02010609030101010101"/>
    <w:charset w:val="86"/>
    <w:family w:val="auto"/>
    <w:pitch w:val="default"/>
    <w:sig w:usb0="00000001" w:usb1="080E0000" w:usb2="00000000" w:usb3="00000000" w:csb0="00040000" w:csb1="00000000"/>
  </w:font>
  <w:font w:name="Calibri Light">
    <w:panose1 w:val="020F0302020204030204"/>
    <w:charset w:val="00"/>
    <w:family w:val="swiss"/>
    <w:pitch w:val="default"/>
    <w:sig w:usb0="E4002EFF" w:usb1="C0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AppleGothic">
    <w:altName w:val="Times New Roman"/>
    <w:panose1 w:val="00000000000000000000"/>
    <w:charset w:val="00"/>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AppleMyungjo">
    <w:altName w:val="Times New Roman"/>
    <w:panose1 w:val="00000000000000000000"/>
    <w:charset w:val="00"/>
    <w:family w:val="auto"/>
    <w:pitch w:val="default"/>
    <w:sig w:usb0="00000000" w:usb1="00000000" w:usb2="00000000" w:usb3="00000000" w:csb0="00000000" w:csb1="00000000"/>
  </w:font>
  <w:font w:name="AppleGothic 일반체">
    <w:altName w:val="Times New Roman"/>
    <w:panose1 w:val="00000000000000000000"/>
    <w:charset w:val="00"/>
    <w:family w:val="auto"/>
    <w:pitch w:val="default"/>
    <w:sig w:usb0="00000000" w:usb1="00000000" w:usb2="00000000" w:usb3="00000000" w:csb0="00000000" w:csb1="00000000"/>
  </w:font>
  <w:font w:name="等线 ( 正文 )">
    <w:altName w:val="Times New Roman"/>
    <w:panose1 w:val="00000000000000000000"/>
    <w:charset w:val="00"/>
    <w:family w:val="auto"/>
    <w:pitch w:val="default"/>
    <w:sig w:usb0="00000000" w:usb1="00000000" w:usb2="00000000" w:usb3="00000000" w:csb0="00000000" w:csb1="00000000"/>
  </w:font>
  <w:font w:name="方正小标宋简体">
    <w:panose1 w:val="03000509000000000000"/>
    <w:charset w:val="86"/>
    <w:family w:val="script"/>
    <w:pitch w:val="default"/>
    <w:sig w:usb0="00000001" w:usb1="080E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480"/>
      <w:jc w:val="center"/>
      <w:rPr>
        <w:sz w:val="24"/>
        <w:szCs w:val="24"/>
      </w:rPr>
    </w:pPr>
  </w:p>
  <w:p>
    <w:pPr>
      <w:pStyle w:val="18"/>
      <w:tabs>
        <w:tab w:val="clear" w:pos="4153"/>
      </w:tabs>
      <w:ind w:firstLine="36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480"/>
      <w:jc w:val="center"/>
      <w:rPr>
        <w:sz w:val="24"/>
        <w:szCs w:val="24"/>
      </w:rPr>
    </w:pPr>
  </w:p>
  <w:p>
    <w:pPr>
      <w:pStyle w:val="18"/>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480"/>
      <w:jc w:val="center"/>
      <w:rPr>
        <w:rFonts w:ascii="仿宋_GB2312"/>
        <w:sz w:val="24"/>
        <w:szCs w:val="24"/>
      </w:rPr>
    </w:pPr>
    <w:r>
      <w:rPr>
        <w:rFonts w:ascii="仿宋_GB2312"/>
        <w:sz w:val="24"/>
      </w:rPr>
      <mc:AlternateContent>
        <mc:Choice Requires="wps">
          <w:drawing>
            <wp:anchor distT="0" distB="0" distL="114300" distR="114300" simplePos="0" relativeHeight="251657216" behindDoc="0" locked="0" layoutInCell="1" allowOverlap="1">
              <wp:simplePos x="0" y="0"/>
              <wp:positionH relativeFrom="margin">
                <wp:posOffset>2539365</wp:posOffset>
              </wp:positionH>
              <wp:positionV relativeFrom="paragraph">
                <wp:posOffset>0</wp:posOffset>
              </wp:positionV>
              <wp:extent cx="899795" cy="1828800"/>
              <wp:effectExtent l="0" t="0" r="0" b="0"/>
              <wp:wrapNone/>
              <wp:docPr id="64" name="文本框 64"/>
              <wp:cNvGraphicFramePr/>
              <a:graphic xmlns:a="http://schemas.openxmlformats.org/drawingml/2006/main">
                <a:graphicData uri="http://schemas.microsoft.com/office/word/2010/wordprocessingShape">
                  <wps:wsp>
                    <wps:cNvSpPr txBox="1"/>
                    <wps:spPr>
                      <a:xfrm>
                        <a:off x="0" y="0"/>
                        <a:ext cx="900112" cy="1828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id w:val="995382653"/>
                          </w:sdtPr>
                          <w:sdtEndPr>
                            <w:rPr>
                              <w:sz w:val="24"/>
                              <w:szCs w:val="24"/>
                            </w:rPr>
                          </w:sdtEndPr>
                          <w:sdtContent>
                            <w:p>
                              <w:pPr>
                                <w:pStyle w:val="18"/>
                                <w:ind w:firstLine="360"/>
                                <w:jc w:val="center"/>
                                <w:rPr>
                                  <w:sz w:val="24"/>
                                  <w:szCs w:val="24"/>
                                </w:rPr>
                              </w:pPr>
                              <w:r>
                                <w:rPr>
                                  <w:rFonts w:hint="eastAsia" w:ascii="仿宋_GB2312"/>
                                  <w:sz w:val="24"/>
                                  <w:szCs w:val="24"/>
                                </w:rPr>
                                <w:t xml:space="preserve">— </w:t>
                              </w:r>
                              <w:r>
                                <w:rPr>
                                  <w:rFonts w:hint="eastAsia" w:ascii="仿宋_GB2312" w:cs="Times New Roman"/>
                                  <w:sz w:val="24"/>
                                  <w:szCs w:val="24"/>
                                </w:rPr>
                                <w:fldChar w:fldCharType="begin"/>
                              </w:r>
                              <w:r>
                                <w:rPr>
                                  <w:rFonts w:hint="eastAsia" w:ascii="仿宋_GB2312" w:cs="Times New Roman"/>
                                  <w:sz w:val="24"/>
                                  <w:szCs w:val="24"/>
                                </w:rPr>
                                <w:instrText xml:space="preserve">PAGE   \* MERGEFORMAT</w:instrText>
                              </w:r>
                              <w:r>
                                <w:rPr>
                                  <w:rFonts w:hint="eastAsia" w:ascii="仿宋_GB2312" w:cs="Times New Roman"/>
                                  <w:sz w:val="24"/>
                                  <w:szCs w:val="24"/>
                                </w:rPr>
                                <w:fldChar w:fldCharType="separate"/>
                              </w:r>
                              <w:r>
                                <w:rPr>
                                  <w:rFonts w:cs="Times New Roman"/>
                                  <w:sz w:val="32"/>
                                  <w:szCs w:val="24"/>
                                  <w:lang w:val="zh-CN"/>
                                </w:rPr>
                                <w:t>145</w:t>
                              </w:r>
                              <w:r>
                                <w:rPr>
                                  <w:rFonts w:hint="eastAsia" w:ascii="仿宋_GB2312" w:cs="Times New Roman"/>
                                  <w:sz w:val="24"/>
                                  <w:szCs w:val="24"/>
                                </w:rPr>
                                <w:fldChar w:fldCharType="end"/>
                              </w:r>
                              <w:r>
                                <w:rPr>
                                  <w:rFonts w:hint="eastAsia" w:ascii="仿宋_GB2312" w:cs="Times New Roman"/>
                                  <w:sz w:val="24"/>
                                  <w:szCs w:val="24"/>
                                </w:rPr>
                                <w:t xml:space="preserve"> —</w:t>
                              </w:r>
                            </w:p>
                          </w:sdtContent>
                        </w:sdt>
                        <w:p>
                          <w:pPr>
                            <w:ind w:firstLine="480"/>
                            <w:rPr>
                              <w:sz w:val="24"/>
                            </w:rPr>
                          </w:pP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199.95pt;margin-top:0pt;height:144pt;width:70.85pt;mso-position-horizontal-relative:margin;z-index:251657216;mso-width-relative:page;mso-height-relative:page;" filled="f" stroked="f" coordsize="21600,21600" o:gfxdata="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CtXgfa1wAAAAgBAAAPAAAAAAAAAAEAIAAAACIAAABkcnMvZG93&#10;bnJldi54bWxQSwECFAAUAAAACACHTuJA/lx53zoCAABmBAAADgAAAAAAAAABACAAAAAmAQAAZHJz&#10;L2Uyb0RvYy54bWxQSwUGAAAAAAYABgBZAQAA0gUAAAAA&#10;">
              <v:fill on="f" focussize="0,0"/>
              <v:stroke on="f" weight="0.5pt"/>
              <v:imagedata o:title=""/>
              <o:lock v:ext="edit" aspectratio="f"/>
              <v:textbox inset="0mm,0mm,0mm,0mm" style="mso-fit-shape-to-text:t;">
                <w:txbxContent>
                  <w:sdt>
                    <w:sdtPr>
                      <w:id w:val="995382653"/>
                    </w:sdtPr>
                    <w:sdtEndPr>
                      <w:rPr>
                        <w:sz w:val="24"/>
                        <w:szCs w:val="24"/>
                      </w:rPr>
                    </w:sdtEndPr>
                    <w:sdtContent>
                      <w:p>
                        <w:pPr>
                          <w:pStyle w:val="18"/>
                          <w:ind w:firstLine="360"/>
                          <w:jc w:val="center"/>
                          <w:rPr>
                            <w:sz w:val="24"/>
                            <w:szCs w:val="24"/>
                          </w:rPr>
                        </w:pPr>
                        <w:r>
                          <w:rPr>
                            <w:rFonts w:hint="eastAsia" w:ascii="仿宋_GB2312"/>
                            <w:sz w:val="24"/>
                            <w:szCs w:val="24"/>
                          </w:rPr>
                          <w:t xml:space="preserve">— </w:t>
                        </w:r>
                        <w:r>
                          <w:rPr>
                            <w:rFonts w:hint="eastAsia" w:ascii="仿宋_GB2312" w:cs="Times New Roman"/>
                            <w:sz w:val="24"/>
                            <w:szCs w:val="24"/>
                          </w:rPr>
                          <w:fldChar w:fldCharType="begin"/>
                        </w:r>
                        <w:r>
                          <w:rPr>
                            <w:rFonts w:hint="eastAsia" w:ascii="仿宋_GB2312" w:cs="Times New Roman"/>
                            <w:sz w:val="24"/>
                            <w:szCs w:val="24"/>
                          </w:rPr>
                          <w:instrText xml:space="preserve">PAGE   \* MERGEFORMAT</w:instrText>
                        </w:r>
                        <w:r>
                          <w:rPr>
                            <w:rFonts w:hint="eastAsia" w:ascii="仿宋_GB2312" w:cs="Times New Roman"/>
                            <w:sz w:val="24"/>
                            <w:szCs w:val="24"/>
                          </w:rPr>
                          <w:fldChar w:fldCharType="separate"/>
                        </w:r>
                        <w:r>
                          <w:rPr>
                            <w:rFonts w:cs="Times New Roman"/>
                            <w:sz w:val="32"/>
                            <w:szCs w:val="24"/>
                            <w:lang w:val="zh-CN"/>
                          </w:rPr>
                          <w:t>145</w:t>
                        </w:r>
                        <w:r>
                          <w:rPr>
                            <w:rFonts w:hint="eastAsia" w:ascii="仿宋_GB2312" w:cs="Times New Roman"/>
                            <w:sz w:val="24"/>
                            <w:szCs w:val="24"/>
                          </w:rPr>
                          <w:fldChar w:fldCharType="end"/>
                        </w:r>
                        <w:r>
                          <w:rPr>
                            <w:rFonts w:hint="eastAsia" w:ascii="仿宋_GB2312" w:cs="Times New Roman"/>
                            <w:sz w:val="24"/>
                            <w:szCs w:val="24"/>
                          </w:rPr>
                          <w:t xml:space="preserve"> —</w:t>
                        </w:r>
                      </w:p>
                    </w:sdtContent>
                  </w:sdt>
                  <w:p>
                    <w:pPr>
                      <w:ind w:firstLine="480"/>
                      <w:rPr>
                        <w:sz w:val="24"/>
                      </w:rPr>
                    </w:pPr>
                  </w:p>
                </w:txbxContent>
              </v:textbox>
            </v:shape>
          </w:pict>
        </mc:Fallback>
      </mc:AlternateContent>
    </w:r>
  </w:p>
  <w:p>
    <w:pPr>
      <w:pStyle w:val="18"/>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Bdr>
        <w:bottom w:val="none" w:color="auto" w:sz="0" w:space="1"/>
      </w:pBdr>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Bdr>
        <w:bottom w:val="none" w:color="auto" w:sz="0" w:space="1"/>
      </w:pBdr>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411D4CC"/>
    <w:multiLevelType w:val="singleLevel"/>
    <w:tmpl w:val="8411D4CC"/>
    <w:lvl w:ilvl="0" w:tentative="0">
      <w:start w:val="1"/>
      <w:numFmt w:val="decimal"/>
      <w:lvlText w:val="%1)"/>
      <w:lvlJc w:val="left"/>
      <w:pPr>
        <w:ind w:left="425" w:hanging="425"/>
      </w:pPr>
      <w:rPr>
        <w:rFonts w:hint="default"/>
      </w:rPr>
    </w:lvl>
  </w:abstractNum>
  <w:abstractNum w:abstractNumId="1">
    <w:nsid w:val="8BA9B6CA"/>
    <w:multiLevelType w:val="singleLevel"/>
    <w:tmpl w:val="8BA9B6CA"/>
    <w:lvl w:ilvl="0" w:tentative="0">
      <w:start w:val="1"/>
      <w:numFmt w:val="decimal"/>
      <w:lvlText w:val="%1)"/>
      <w:lvlJc w:val="left"/>
      <w:pPr>
        <w:ind w:left="425" w:hanging="425"/>
      </w:pPr>
      <w:rPr>
        <w:rFonts w:hint="default"/>
      </w:rPr>
    </w:lvl>
  </w:abstractNum>
  <w:abstractNum w:abstractNumId="2">
    <w:nsid w:val="8D2BCD85"/>
    <w:multiLevelType w:val="singleLevel"/>
    <w:tmpl w:val="8D2BCD85"/>
    <w:lvl w:ilvl="0" w:tentative="0">
      <w:start w:val="1"/>
      <w:numFmt w:val="decimal"/>
      <w:lvlText w:val="（%1）"/>
      <w:lvlJc w:val="left"/>
      <w:pPr>
        <w:ind w:left="420" w:hanging="420"/>
      </w:pPr>
      <w:rPr>
        <w:rFonts w:hint="eastAsia"/>
      </w:rPr>
    </w:lvl>
  </w:abstractNum>
  <w:abstractNum w:abstractNumId="3">
    <w:nsid w:val="9074F2B7"/>
    <w:multiLevelType w:val="multilevel"/>
    <w:tmpl w:val="9074F2B7"/>
    <w:lvl w:ilvl="0" w:tentative="0">
      <w:start w:val="1"/>
      <w:numFmt w:val="chineseCounting"/>
      <w:suff w:val="nothing"/>
      <w:lvlText w:val="%1、"/>
      <w:lvlJc w:val="left"/>
      <w:pPr>
        <w:ind w:left="0" w:firstLine="0"/>
      </w:pPr>
      <w:rPr>
        <w:rFonts w:hint="eastAsia"/>
      </w:rPr>
    </w:lvl>
    <w:lvl w:ilvl="1" w:tentative="0">
      <w:start w:val="1"/>
      <w:numFmt w:val="chineseCountingThousand"/>
      <w:lvlText w:val="%2、"/>
      <w:lvlJc w:val="left"/>
      <w:pPr>
        <w:ind w:left="0" w:firstLine="0"/>
      </w:pPr>
      <w:rPr>
        <w:rFonts w:hint="eastAsia"/>
      </w:rPr>
    </w:lvl>
    <w:lvl w:ilvl="2" w:tentative="0">
      <w:start w:val="1"/>
      <w:numFmt w:val="chineseCountingThousand"/>
      <w:lvlText w:val="(%3)"/>
      <w:lvlJc w:val="left"/>
      <w:pPr>
        <w:ind w:left="-258" w:firstLine="400"/>
      </w:pPr>
      <w:rPr>
        <w:rFonts w:hint="eastAsia"/>
      </w:rPr>
    </w:lvl>
    <w:lvl w:ilvl="3" w:tentative="0">
      <w:start w:val="1"/>
      <w:numFmt w:val="decimal"/>
      <w:lvlText w:val="%4."/>
      <w:lvlJc w:val="left"/>
      <w:pPr>
        <w:ind w:left="-261" w:firstLine="402"/>
      </w:pPr>
      <w:rPr>
        <w:rFonts w:hint="eastAsia"/>
      </w:rPr>
    </w:lvl>
    <w:lvl w:ilvl="4" w:tentative="0">
      <w:start w:val="1"/>
      <w:numFmt w:val="decimalEnclosedCircleChinese"/>
      <w:suff w:val="nothing"/>
      <w:lvlText w:val="%5"/>
      <w:lvlJc w:val="left"/>
      <w:pPr>
        <w:ind w:left="0" w:firstLine="402"/>
      </w:pPr>
      <w:rPr>
        <w:rFonts w:hint="eastAsia"/>
      </w:rPr>
    </w:lvl>
    <w:lvl w:ilvl="5" w:tentative="0">
      <w:start w:val="1"/>
      <w:numFmt w:val="decimal"/>
      <w:suff w:val="nothing"/>
      <w:lvlText w:val="%6）"/>
      <w:lvlJc w:val="left"/>
      <w:pPr>
        <w:ind w:left="0" w:firstLine="402"/>
      </w:pPr>
      <w:rPr>
        <w:rFonts w:hint="eastAsia"/>
      </w:rPr>
    </w:lvl>
    <w:lvl w:ilvl="6" w:tentative="0">
      <w:start w:val="1"/>
      <w:numFmt w:val="lowerLetter"/>
      <w:suff w:val="nothing"/>
      <w:lvlText w:val="%7．"/>
      <w:lvlJc w:val="left"/>
      <w:pPr>
        <w:ind w:left="0" w:firstLine="402"/>
      </w:pPr>
      <w:rPr>
        <w:rFonts w:hint="eastAsia"/>
      </w:rPr>
    </w:lvl>
    <w:lvl w:ilvl="7" w:tentative="0">
      <w:start w:val="1"/>
      <w:numFmt w:val="lowerLetter"/>
      <w:suff w:val="nothing"/>
      <w:lvlText w:val="%8）"/>
      <w:lvlJc w:val="left"/>
      <w:pPr>
        <w:ind w:left="0" w:firstLine="402"/>
      </w:pPr>
      <w:rPr>
        <w:rFonts w:hint="eastAsia"/>
      </w:rPr>
    </w:lvl>
    <w:lvl w:ilvl="8" w:tentative="0">
      <w:start w:val="1"/>
      <w:numFmt w:val="lowerRoman"/>
      <w:suff w:val="nothing"/>
      <w:lvlText w:val="%9 "/>
      <w:lvlJc w:val="left"/>
      <w:pPr>
        <w:ind w:left="0" w:firstLine="402"/>
      </w:pPr>
      <w:rPr>
        <w:rFonts w:hint="eastAsia"/>
      </w:rPr>
    </w:lvl>
  </w:abstractNum>
  <w:abstractNum w:abstractNumId="4">
    <w:nsid w:val="90E19A08"/>
    <w:multiLevelType w:val="multilevel"/>
    <w:tmpl w:val="90E19A08"/>
    <w:lvl w:ilvl="0" w:tentative="0">
      <w:start w:val="1"/>
      <w:numFmt w:val="chineseCounting"/>
      <w:suff w:val="nothing"/>
      <w:lvlText w:val="%1、"/>
      <w:lvlJc w:val="left"/>
      <w:pPr>
        <w:ind w:left="0" w:firstLine="0"/>
      </w:pPr>
      <w:rPr>
        <w:rFonts w:hint="eastAsia"/>
      </w:rPr>
    </w:lvl>
    <w:lvl w:ilvl="1" w:tentative="0">
      <w:start w:val="1"/>
      <w:numFmt w:val="chineseCountingThousand"/>
      <w:lvlText w:val="%2、"/>
      <w:lvlJc w:val="left"/>
      <w:pPr>
        <w:ind w:left="0" w:firstLine="0"/>
      </w:pPr>
      <w:rPr>
        <w:rFonts w:hint="eastAsia"/>
      </w:rPr>
    </w:lvl>
    <w:lvl w:ilvl="2" w:tentative="0">
      <w:start w:val="1"/>
      <w:numFmt w:val="chineseCountingThousand"/>
      <w:lvlText w:val="(%3)"/>
      <w:lvlJc w:val="left"/>
      <w:pPr>
        <w:ind w:left="0" w:firstLine="400"/>
      </w:pPr>
      <w:rPr>
        <w:rFonts w:hint="eastAsia"/>
      </w:rPr>
    </w:lvl>
    <w:lvl w:ilvl="3" w:tentative="0">
      <w:start w:val="1"/>
      <w:numFmt w:val="decimal"/>
      <w:lvlText w:val="%4."/>
      <w:lvlJc w:val="left"/>
      <w:pPr>
        <w:ind w:left="-261" w:firstLine="402"/>
      </w:pPr>
      <w:rPr>
        <w:rFonts w:hint="eastAsia"/>
      </w:rPr>
    </w:lvl>
    <w:lvl w:ilvl="4" w:tentative="0">
      <w:start w:val="1"/>
      <w:numFmt w:val="decimalEnclosedCircleChinese"/>
      <w:suff w:val="nothing"/>
      <w:lvlText w:val="%5"/>
      <w:lvlJc w:val="left"/>
      <w:pPr>
        <w:ind w:left="0" w:firstLine="402"/>
      </w:pPr>
      <w:rPr>
        <w:rFonts w:hint="eastAsia"/>
      </w:rPr>
    </w:lvl>
    <w:lvl w:ilvl="5" w:tentative="0">
      <w:start w:val="1"/>
      <w:numFmt w:val="decimal"/>
      <w:suff w:val="nothing"/>
      <w:lvlText w:val="%6）"/>
      <w:lvlJc w:val="left"/>
      <w:pPr>
        <w:ind w:left="0" w:firstLine="402"/>
      </w:pPr>
      <w:rPr>
        <w:rFonts w:hint="eastAsia"/>
      </w:rPr>
    </w:lvl>
    <w:lvl w:ilvl="6" w:tentative="0">
      <w:start w:val="1"/>
      <w:numFmt w:val="lowerLetter"/>
      <w:suff w:val="nothing"/>
      <w:lvlText w:val="%7．"/>
      <w:lvlJc w:val="left"/>
      <w:pPr>
        <w:ind w:left="0" w:firstLine="402"/>
      </w:pPr>
      <w:rPr>
        <w:rFonts w:hint="eastAsia"/>
      </w:rPr>
    </w:lvl>
    <w:lvl w:ilvl="7" w:tentative="0">
      <w:start w:val="1"/>
      <w:numFmt w:val="lowerLetter"/>
      <w:suff w:val="nothing"/>
      <w:lvlText w:val="%8）"/>
      <w:lvlJc w:val="left"/>
      <w:pPr>
        <w:ind w:left="0" w:firstLine="402"/>
      </w:pPr>
      <w:rPr>
        <w:rFonts w:hint="eastAsia"/>
      </w:rPr>
    </w:lvl>
    <w:lvl w:ilvl="8" w:tentative="0">
      <w:start w:val="1"/>
      <w:numFmt w:val="lowerRoman"/>
      <w:suff w:val="nothing"/>
      <w:lvlText w:val="%9 "/>
      <w:lvlJc w:val="left"/>
      <w:pPr>
        <w:ind w:left="0" w:firstLine="402"/>
      </w:pPr>
      <w:rPr>
        <w:rFonts w:hint="eastAsia"/>
      </w:rPr>
    </w:lvl>
  </w:abstractNum>
  <w:abstractNum w:abstractNumId="5">
    <w:nsid w:val="991A706D"/>
    <w:multiLevelType w:val="singleLevel"/>
    <w:tmpl w:val="991A706D"/>
    <w:lvl w:ilvl="0" w:tentative="0">
      <w:start w:val="1"/>
      <w:numFmt w:val="decimal"/>
      <w:lvlText w:val="%1)"/>
      <w:lvlJc w:val="left"/>
      <w:pPr>
        <w:ind w:left="425" w:hanging="425"/>
      </w:pPr>
      <w:rPr>
        <w:rFonts w:hint="default"/>
      </w:rPr>
    </w:lvl>
  </w:abstractNum>
  <w:abstractNum w:abstractNumId="6">
    <w:nsid w:val="9A0ABACA"/>
    <w:multiLevelType w:val="singleLevel"/>
    <w:tmpl w:val="9A0ABACA"/>
    <w:lvl w:ilvl="0" w:tentative="0">
      <w:start w:val="1"/>
      <w:numFmt w:val="decimal"/>
      <w:lvlText w:val="（%1）"/>
      <w:lvlJc w:val="left"/>
      <w:pPr>
        <w:ind w:left="420" w:hanging="420"/>
      </w:pPr>
      <w:rPr>
        <w:rFonts w:hint="eastAsia"/>
      </w:rPr>
    </w:lvl>
  </w:abstractNum>
  <w:abstractNum w:abstractNumId="7">
    <w:nsid w:val="9AA1F68B"/>
    <w:multiLevelType w:val="singleLevel"/>
    <w:tmpl w:val="9AA1F68B"/>
    <w:lvl w:ilvl="0" w:tentative="0">
      <w:start w:val="1"/>
      <w:numFmt w:val="decimal"/>
      <w:lvlText w:val="%1)"/>
      <w:lvlJc w:val="left"/>
      <w:pPr>
        <w:ind w:left="425" w:hanging="425"/>
      </w:pPr>
      <w:rPr>
        <w:rFonts w:hint="default"/>
      </w:rPr>
    </w:lvl>
  </w:abstractNum>
  <w:abstractNum w:abstractNumId="8">
    <w:nsid w:val="9AF9DD70"/>
    <w:multiLevelType w:val="multilevel"/>
    <w:tmpl w:val="9AF9DD70"/>
    <w:lvl w:ilvl="0" w:tentative="0">
      <w:start w:val="1"/>
      <w:numFmt w:val="chineseCounting"/>
      <w:suff w:val="nothing"/>
      <w:lvlText w:val="%1、"/>
      <w:lvlJc w:val="left"/>
      <w:pPr>
        <w:ind w:left="0" w:firstLine="0"/>
      </w:pPr>
      <w:rPr>
        <w:rFonts w:hint="eastAsia"/>
      </w:rPr>
    </w:lvl>
    <w:lvl w:ilvl="1" w:tentative="0">
      <w:start w:val="1"/>
      <w:numFmt w:val="chineseCountingThousand"/>
      <w:lvlText w:val="%2、"/>
      <w:lvlJc w:val="left"/>
      <w:pPr>
        <w:ind w:left="0" w:firstLine="0"/>
      </w:pPr>
      <w:rPr>
        <w:rFonts w:hint="eastAsia"/>
      </w:rPr>
    </w:lvl>
    <w:lvl w:ilvl="2" w:tentative="0">
      <w:start w:val="1"/>
      <w:numFmt w:val="chineseCountingThousand"/>
      <w:lvlText w:val="(%3)"/>
      <w:lvlJc w:val="left"/>
      <w:pPr>
        <w:ind w:left="0" w:firstLine="400"/>
      </w:pPr>
      <w:rPr>
        <w:rFonts w:hint="eastAsia"/>
      </w:rPr>
    </w:lvl>
    <w:lvl w:ilvl="3" w:tentative="0">
      <w:start w:val="1"/>
      <w:numFmt w:val="decimal"/>
      <w:lvlText w:val="%4."/>
      <w:lvlJc w:val="left"/>
      <w:pPr>
        <w:ind w:left="-261" w:firstLine="402"/>
      </w:pPr>
      <w:rPr>
        <w:rFonts w:hint="eastAsia"/>
      </w:rPr>
    </w:lvl>
    <w:lvl w:ilvl="4" w:tentative="0">
      <w:start w:val="1"/>
      <w:numFmt w:val="decimalEnclosedCircleChinese"/>
      <w:suff w:val="nothing"/>
      <w:lvlText w:val="%5"/>
      <w:lvlJc w:val="left"/>
      <w:pPr>
        <w:ind w:left="0" w:firstLine="402"/>
      </w:pPr>
      <w:rPr>
        <w:rFonts w:hint="eastAsia"/>
      </w:rPr>
    </w:lvl>
    <w:lvl w:ilvl="5" w:tentative="0">
      <w:start w:val="1"/>
      <w:numFmt w:val="decimal"/>
      <w:suff w:val="nothing"/>
      <w:lvlText w:val="%6）"/>
      <w:lvlJc w:val="left"/>
      <w:pPr>
        <w:ind w:left="0" w:firstLine="402"/>
      </w:pPr>
      <w:rPr>
        <w:rFonts w:hint="eastAsia"/>
      </w:rPr>
    </w:lvl>
    <w:lvl w:ilvl="6" w:tentative="0">
      <w:start w:val="1"/>
      <w:numFmt w:val="lowerLetter"/>
      <w:suff w:val="nothing"/>
      <w:lvlText w:val="%7．"/>
      <w:lvlJc w:val="left"/>
      <w:pPr>
        <w:ind w:left="0" w:firstLine="402"/>
      </w:pPr>
      <w:rPr>
        <w:rFonts w:hint="eastAsia"/>
      </w:rPr>
    </w:lvl>
    <w:lvl w:ilvl="7" w:tentative="0">
      <w:start w:val="1"/>
      <w:numFmt w:val="lowerLetter"/>
      <w:suff w:val="nothing"/>
      <w:lvlText w:val="%8）"/>
      <w:lvlJc w:val="left"/>
      <w:pPr>
        <w:ind w:left="0" w:firstLine="402"/>
      </w:pPr>
      <w:rPr>
        <w:rFonts w:hint="eastAsia"/>
      </w:rPr>
    </w:lvl>
    <w:lvl w:ilvl="8" w:tentative="0">
      <w:start w:val="1"/>
      <w:numFmt w:val="lowerRoman"/>
      <w:suff w:val="nothing"/>
      <w:lvlText w:val="%9 "/>
      <w:lvlJc w:val="left"/>
      <w:pPr>
        <w:ind w:left="0" w:firstLine="402"/>
      </w:pPr>
      <w:rPr>
        <w:rFonts w:hint="eastAsia"/>
      </w:rPr>
    </w:lvl>
  </w:abstractNum>
  <w:abstractNum w:abstractNumId="9">
    <w:nsid w:val="9C9951FA"/>
    <w:multiLevelType w:val="singleLevel"/>
    <w:tmpl w:val="9C9951FA"/>
    <w:lvl w:ilvl="0" w:tentative="0">
      <w:start w:val="1"/>
      <w:numFmt w:val="decimal"/>
      <w:lvlText w:val="（%1）"/>
      <w:lvlJc w:val="left"/>
      <w:pPr>
        <w:ind w:left="420" w:hanging="420"/>
      </w:pPr>
      <w:rPr>
        <w:rFonts w:hint="eastAsia"/>
      </w:rPr>
    </w:lvl>
  </w:abstractNum>
  <w:abstractNum w:abstractNumId="10">
    <w:nsid w:val="9CA525EE"/>
    <w:multiLevelType w:val="singleLevel"/>
    <w:tmpl w:val="9CA525EE"/>
    <w:lvl w:ilvl="0" w:tentative="0">
      <w:start w:val="1"/>
      <w:numFmt w:val="decimal"/>
      <w:suff w:val="space"/>
      <w:lvlText w:val="%1."/>
      <w:lvlJc w:val="left"/>
    </w:lvl>
  </w:abstractNum>
  <w:abstractNum w:abstractNumId="11">
    <w:nsid w:val="9D1B25C5"/>
    <w:multiLevelType w:val="multilevel"/>
    <w:tmpl w:val="9D1B25C5"/>
    <w:lvl w:ilvl="0" w:tentative="0">
      <w:start w:val="1"/>
      <w:numFmt w:val="chineseCounting"/>
      <w:suff w:val="nothing"/>
      <w:lvlText w:val="%1、"/>
      <w:lvlJc w:val="left"/>
      <w:pPr>
        <w:ind w:left="0" w:firstLine="0"/>
      </w:pPr>
      <w:rPr>
        <w:rFonts w:hint="eastAsia"/>
      </w:rPr>
    </w:lvl>
    <w:lvl w:ilvl="1" w:tentative="0">
      <w:start w:val="1"/>
      <w:numFmt w:val="chineseCountingThousand"/>
      <w:lvlText w:val="%2、"/>
      <w:lvlJc w:val="left"/>
      <w:pPr>
        <w:ind w:left="0" w:firstLine="0"/>
      </w:pPr>
      <w:rPr>
        <w:rFonts w:hint="eastAsia"/>
      </w:rPr>
    </w:lvl>
    <w:lvl w:ilvl="2" w:tentative="0">
      <w:start w:val="1"/>
      <w:numFmt w:val="chineseCountingThousand"/>
      <w:lvlText w:val="(%3)"/>
      <w:lvlJc w:val="left"/>
      <w:pPr>
        <w:ind w:left="0" w:firstLine="400"/>
      </w:pPr>
      <w:rPr>
        <w:rFonts w:hint="eastAsia"/>
      </w:rPr>
    </w:lvl>
    <w:lvl w:ilvl="3" w:tentative="0">
      <w:start w:val="1"/>
      <w:numFmt w:val="decimal"/>
      <w:lvlText w:val="%4."/>
      <w:lvlJc w:val="left"/>
      <w:pPr>
        <w:ind w:left="-261" w:firstLine="402"/>
      </w:pPr>
      <w:rPr>
        <w:rFonts w:hint="eastAsia"/>
      </w:rPr>
    </w:lvl>
    <w:lvl w:ilvl="4" w:tentative="0">
      <w:start w:val="1"/>
      <w:numFmt w:val="decimalEnclosedCircleChinese"/>
      <w:suff w:val="nothing"/>
      <w:lvlText w:val="%5"/>
      <w:lvlJc w:val="left"/>
      <w:pPr>
        <w:ind w:left="0" w:firstLine="402"/>
      </w:pPr>
      <w:rPr>
        <w:rFonts w:hint="eastAsia"/>
      </w:rPr>
    </w:lvl>
    <w:lvl w:ilvl="5" w:tentative="0">
      <w:start w:val="1"/>
      <w:numFmt w:val="decimal"/>
      <w:suff w:val="nothing"/>
      <w:lvlText w:val="%6）"/>
      <w:lvlJc w:val="left"/>
      <w:pPr>
        <w:ind w:left="0" w:firstLine="402"/>
      </w:pPr>
      <w:rPr>
        <w:rFonts w:hint="eastAsia"/>
      </w:rPr>
    </w:lvl>
    <w:lvl w:ilvl="6" w:tentative="0">
      <w:start w:val="1"/>
      <w:numFmt w:val="lowerLetter"/>
      <w:suff w:val="nothing"/>
      <w:lvlText w:val="%7．"/>
      <w:lvlJc w:val="left"/>
      <w:pPr>
        <w:ind w:left="0" w:firstLine="402"/>
      </w:pPr>
      <w:rPr>
        <w:rFonts w:hint="eastAsia"/>
      </w:rPr>
    </w:lvl>
    <w:lvl w:ilvl="7" w:tentative="0">
      <w:start w:val="1"/>
      <w:numFmt w:val="lowerLetter"/>
      <w:suff w:val="nothing"/>
      <w:lvlText w:val="%8）"/>
      <w:lvlJc w:val="left"/>
      <w:pPr>
        <w:ind w:left="0" w:firstLine="402"/>
      </w:pPr>
      <w:rPr>
        <w:rFonts w:hint="eastAsia"/>
      </w:rPr>
    </w:lvl>
    <w:lvl w:ilvl="8" w:tentative="0">
      <w:start w:val="1"/>
      <w:numFmt w:val="lowerRoman"/>
      <w:suff w:val="nothing"/>
      <w:lvlText w:val="%9 "/>
      <w:lvlJc w:val="left"/>
      <w:pPr>
        <w:ind w:left="0" w:firstLine="402"/>
      </w:pPr>
      <w:rPr>
        <w:rFonts w:hint="eastAsia"/>
      </w:rPr>
    </w:lvl>
  </w:abstractNum>
  <w:abstractNum w:abstractNumId="12">
    <w:nsid w:val="9E2D1D13"/>
    <w:multiLevelType w:val="singleLevel"/>
    <w:tmpl w:val="9E2D1D13"/>
    <w:lvl w:ilvl="0" w:tentative="0">
      <w:start w:val="1"/>
      <w:numFmt w:val="decimal"/>
      <w:lvlText w:val="（%1）"/>
      <w:lvlJc w:val="left"/>
      <w:pPr>
        <w:ind w:left="420" w:hanging="420"/>
      </w:pPr>
      <w:rPr>
        <w:rFonts w:hint="eastAsia"/>
      </w:rPr>
    </w:lvl>
  </w:abstractNum>
  <w:abstractNum w:abstractNumId="13">
    <w:nsid w:val="9E99B159"/>
    <w:multiLevelType w:val="multilevel"/>
    <w:tmpl w:val="9E99B159"/>
    <w:lvl w:ilvl="0" w:tentative="0">
      <w:start w:val="1"/>
      <w:numFmt w:val="chineseCounting"/>
      <w:suff w:val="nothing"/>
      <w:lvlText w:val="%1、"/>
      <w:lvlJc w:val="left"/>
      <w:pPr>
        <w:ind w:left="0" w:firstLine="0"/>
      </w:pPr>
      <w:rPr>
        <w:rFonts w:hint="eastAsia"/>
      </w:rPr>
    </w:lvl>
    <w:lvl w:ilvl="1" w:tentative="0">
      <w:start w:val="1"/>
      <w:numFmt w:val="chineseCountingThousand"/>
      <w:lvlText w:val="%2、"/>
      <w:lvlJc w:val="left"/>
      <w:pPr>
        <w:ind w:left="0" w:firstLine="0"/>
      </w:pPr>
      <w:rPr>
        <w:rFonts w:hint="eastAsia"/>
      </w:rPr>
    </w:lvl>
    <w:lvl w:ilvl="2" w:tentative="0">
      <w:start w:val="1"/>
      <w:numFmt w:val="chineseCountingThousand"/>
      <w:lvlText w:val="(%3)"/>
      <w:lvlJc w:val="left"/>
      <w:pPr>
        <w:ind w:left="0" w:firstLine="400"/>
      </w:pPr>
      <w:rPr>
        <w:rFonts w:hint="eastAsia"/>
      </w:rPr>
    </w:lvl>
    <w:lvl w:ilvl="3" w:tentative="0">
      <w:start w:val="1"/>
      <w:numFmt w:val="decimal"/>
      <w:lvlText w:val="%4."/>
      <w:lvlJc w:val="left"/>
      <w:pPr>
        <w:ind w:left="-261" w:firstLine="402"/>
      </w:pPr>
      <w:rPr>
        <w:rFonts w:hint="eastAsia"/>
      </w:rPr>
    </w:lvl>
    <w:lvl w:ilvl="4" w:tentative="0">
      <w:start w:val="1"/>
      <w:numFmt w:val="decimalEnclosedCircleChinese"/>
      <w:suff w:val="nothing"/>
      <w:lvlText w:val="%5"/>
      <w:lvlJc w:val="left"/>
      <w:pPr>
        <w:ind w:left="0" w:firstLine="402"/>
      </w:pPr>
      <w:rPr>
        <w:rFonts w:hint="eastAsia"/>
      </w:rPr>
    </w:lvl>
    <w:lvl w:ilvl="5" w:tentative="0">
      <w:start w:val="1"/>
      <w:numFmt w:val="decimal"/>
      <w:suff w:val="nothing"/>
      <w:lvlText w:val="%6）"/>
      <w:lvlJc w:val="left"/>
      <w:pPr>
        <w:ind w:left="0" w:firstLine="402"/>
      </w:pPr>
      <w:rPr>
        <w:rFonts w:hint="eastAsia"/>
      </w:rPr>
    </w:lvl>
    <w:lvl w:ilvl="6" w:tentative="0">
      <w:start w:val="1"/>
      <w:numFmt w:val="lowerLetter"/>
      <w:suff w:val="nothing"/>
      <w:lvlText w:val="%7．"/>
      <w:lvlJc w:val="left"/>
      <w:pPr>
        <w:ind w:left="0" w:firstLine="402"/>
      </w:pPr>
      <w:rPr>
        <w:rFonts w:hint="eastAsia"/>
      </w:rPr>
    </w:lvl>
    <w:lvl w:ilvl="7" w:tentative="0">
      <w:start w:val="1"/>
      <w:numFmt w:val="lowerLetter"/>
      <w:suff w:val="nothing"/>
      <w:lvlText w:val="%8）"/>
      <w:lvlJc w:val="left"/>
      <w:pPr>
        <w:ind w:left="0" w:firstLine="402"/>
      </w:pPr>
      <w:rPr>
        <w:rFonts w:hint="eastAsia"/>
      </w:rPr>
    </w:lvl>
    <w:lvl w:ilvl="8" w:tentative="0">
      <w:start w:val="1"/>
      <w:numFmt w:val="lowerRoman"/>
      <w:suff w:val="nothing"/>
      <w:lvlText w:val="%9 "/>
      <w:lvlJc w:val="left"/>
      <w:pPr>
        <w:ind w:left="0" w:firstLine="402"/>
      </w:pPr>
      <w:rPr>
        <w:rFonts w:hint="eastAsia"/>
      </w:rPr>
    </w:lvl>
  </w:abstractNum>
  <w:abstractNum w:abstractNumId="14">
    <w:nsid w:val="9F946EEF"/>
    <w:multiLevelType w:val="singleLevel"/>
    <w:tmpl w:val="9F946EEF"/>
    <w:lvl w:ilvl="0" w:tentative="0">
      <w:start w:val="1"/>
      <w:numFmt w:val="decimal"/>
      <w:lvlText w:val="%1)"/>
      <w:lvlJc w:val="left"/>
      <w:pPr>
        <w:ind w:left="425" w:hanging="425"/>
      </w:pPr>
      <w:rPr>
        <w:rFonts w:hint="default"/>
      </w:rPr>
    </w:lvl>
  </w:abstractNum>
  <w:abstractNum w:abstractNumId="15">
    <w:nsid w:val="9FE70C66"/>
    <w:multiLevelType w:val="singleLevel"/>
    <w:tmpl w:val="9FE70C66"/>
    <w:lvl w:ilvl="0" w:tentative="0">
      <w:start w:val="1"/>
      <w:numFmt w:val="decimal"/>
      <w:lvlText w:val="%1)"/>
      <w:lvlJc w:val="left"/>
      <w:pPr>
        <w:ind w:left="425" w:hanging="425"/>
      </w:pPr>
      <w:rPr>
        <w:rFonts w:hint="default"/>
      </w:rPr>
    </w:lvl>
  </w:abstractNum>
  <w:abstractNum w:abstractNumId="16">
    <w:nsid w:val="A15D70B6"/>
    <w:multiLevelType w:val="singleLevel"/>
    <w:tmpl w:val="A15D70B6"/>
    <w:lvl w:ilvl="0" w:tentative="0">
      <w:start w:val="1"/>
      <w:numFmt w:val="decimal"/>
      <w:lvlText w:val="（%1）"/>
      <w:lvlJc w:val="left"/>
      <w:pPr>
        <w:ind w:left="420" w:hanging="420"/>
      </w:pPr>
      <w:rPr>
        <w:rFonts w:hint="eastAsia"/>
      </w:rPr>
    </w:lvl>
  </w:abstractNum>
  <w:abstractNum w:abstractNumId="17">
    <w:nsid w:val="A3BFBA40"/>
    <w:multiLevelType w:val="singleLevel"/>
    <w:tmpl w:val="A3BFBA40"/>
    <w:lvl w:ilvl="0" w:tentative="0">
      <w:start w:val="1"/>
      <w:numFmt w:val="decimal"/>
      <w:lvlText w:val="（%1）"/>
      <w:lvlJc w:val="left"/>
      <w:pPr>
        <w:ind w:left="420" w:hanging="420"/>
      </w:pPr>
      <w:rPr>
        <w:rFonts w:hint="eastAsia"/>
      </w:rPr>
    </w:lvl>
  </w:abstractNum>
  <w:abstractNum w:abstractNumId="18">
    <w:nsid w:val="A405E690"/>
    <w:multiLevelType w:val="singleLevel"/>
    <w:tmpl w:val="A405E690"/>
    <w:lvl w:ilvl="0" w:tentative="0">
      <w:start w:val="1"/>
      <w:numFmt w:val="decimal"/>
      <w:lvlText w:val="%1."/>
      <w:lvlJc w:val="left"/>
      <w:pPr>
        <w:tabs>
          <w:tab w:val="left" w:pos="312"/>
        </w:tabs>
      </w:pPr>
    </w:lvl>
  </w:abstractNum>
  <w:abstractNum w:abstractNumId="19">
    <w:nsid w:val="AA28F892"/>
    <w:multiLevelType w:val="singleLevel"/>
    <w:tmpl w:val="AA28F892"/>
    <w:lvl w:ilvl="0" w:tentative="0">
      <w:start w:val="1"/>
      <w:numFmt w:val="decimal"/>
      <w:suff w:val="space"/>
      <w:lvlText w:val="%1."/>
      <w:lvlJc w:val="left"/>
    </w:lvl>
  </w:abstractNum>
  <w:abstractNum w:abstractNumId="20">
    <w:nsid w:val="AB96BF51"/>
    <w:multiLevelType w:val="singleLevel"/>
    <w:tmpl w:val="AB96BF51"/>
    <w:lvl w:ilvl="0" w:tentative="0">
      <w:start w:val="1"/>
      <w:numFmt w:val="decimal"/>
      <w:lvlText w:val="%1)"/>
      <w:lvlJc w:val="left"/>
      <w:pPr>
        <w:ind w:left="425" w:hanging="425"/>
      </w:pPr>
      <w:rPr>
        <w:rFonts w:hint="default"/>
      </w:rPr>
    </w:lvl>
  </w:abstractNum>
  <w:abstractNum w:abstractNumId="21">
    <w:nsid w:val="AB9A8030"/>
    <w:multiLevelType w:val="singleLevel"/>
    <w:tmpl w:val="AB9A8030"/>
    <w:lvl w:ilvl="0" w:tentative="0">
      <w:start w:val="1"/>
      <w:numFmt w:val="decimal"/>
      <w:lvlText w:val="（%1）"/>
      <w:lvlJc w:val="left"/>
      <w:pPr>
        <w:ind w:left="420" w:hanging="420"/>
      </w:pPr>
      <w:rPr>
        <w:rFonts w:hint="eastAsia"/>
      </w:rPr>
    </w:lvl>
  </w:abstractNum>
  <w:abstractNum w:abstractNumId="22">
    <w:nsid w:val="ABD9F437"/>
    <w:multiLevelType w:val="singleLevel"/>
    <w:tmpl w:val="ABD9F437"/>
    <w:lvl w:ilvl="0" w:tentative="0">
      <w:start w:val="1"/>
      <w:numFmt w:val="decimal"/>
      <w:suff w:val="nothing"/>
      <w:lvlText w:val="（%1）"/>
      <w:lvlJc w:val="left"/>
    </w:lvl>
  </w:abstractNum>
  <w:abstractNum w:abstractNumId="23">
    <w:nsid w:val="B6A38BA5"/>
    <w:multiLevelType w:val="multilevel"/>
    <w:tmpl w:val="B6A38BA5"/>
    <w:lvl w:ilvl="0" w:tentative="0">
      <w:start w:val="1"/>
      <w:numFmt w:val="chineseCounting"/>
      <w:suff w:val="nothing"/>
      <w:lvlText w:val="%1、"/>
      <w:lvlJc w:val="left"/>
      <w:pPr>
        <w:ind w:left="0" w:firstLine="0"/>
      </w:pPr>
      <w:rPr>
        <w:rFonts w:hint="eastAsia"/>
      </w:rPr>
    </w:lvl>
    <w:lvl w:ilvl="1" w:tentative="0">
      <w:start w:val="1"/>
      <w:numFmt w:val="chineseCountingThousand"/>
      <w:lvlText w:val="%2、"/>
      <w:lvlJc w:val="left"/>
      <w:pPr>
        <w:ind w:left="0" w:firstLine="0"/>
      </w:pPr>
      <w:rPr>
        <w:rFonts w:hint="eastAsia"/>
      </w:rPr>
    </w:lvl>
    <w:lvl w:ilvl="2" w:tentative="0">
      <w:start w:val="1"/>
      <w:numFmt w:val="chineseCountingThousand"/>
      <w:lvlText w:val="(%3)"/>
      <w:lvlJc w:val="left"/>
      <w:pPr>
        <w:ind w:left="0" w:firstLine="400"/>
      </w:pPr>
      <w:rPr>
        <w:rFonts w:hint="eastAsia"/>
      </w:rPr>
    </w:lvl>
    <w:lvl w:ilvl="3" w:tentative="0">
      <w:start w:val="1"/>
      <w:numFmt w:val="decimal"/>
      <w:lvlText w:val="%4."/>
      <w:lvlJc w:val="left"/>
      <w:pPr>
        <w:ind w:left="-261" w:firstLine="402"/>
      </w:pPr>
      <w:rPr>
        <w:rFonts w:hint="eastAsia"/>
      </w:rPr>
    </w:lvl>
    <w:lvl w:ilvl="4" w:tentative="0">
      <w:start w:val="1"/>
      <w:numFmt w:val="decimalEnclosedCircleChinese"/>
      <w:suff w:val="nothing"/>
      <w:lvlText w:val="%5"/>
      <w:lvlJc w:val="left"/>
      <w:pPr>
        <w:ind w:left="0" w:firstLine="402"/>
      </w:pPr>
      <w:rPr>
        <w:rFonts w:hint="eastAsia"/>
      </w:rPr>
    </w:lvl>
    <w:lvl w:ilvl="5" w:tentative="0">
      <w:start w:val="1"/>
      <w:numFmt w:val="decimal"/>
      <w:suff w:val="nothing"/>
      <w:lvlText w:val="%6）"/>
      <w:lvlJc w:val="left"/>
      <w:pPr>
        <w:ind w:left="0" w:firstLine="402"/>
      </w:pPr>
      <w:rPr>
        <w:rFonts w:hint="eastAsia"/>
      </w:rPr>
    </w:lvl>
    <w:lvl w:ilvl="6" w:tentative="0">
      <w:start w:val="1"/>
      <w:numFmt w:val="lowerLetter"/>
      <w:suff w:val="nothing"/>
      <w:lvlText w:val="%7．"/>
      <w:lvlJc w:val="left"/>
      <w:pPr>
        <w:ind w:left="0" w:firstLine="402"/>
      </w:pPr>
      <w:rPr>
        <w:rFonts w:hint="eastAsia"/>
      </w:rPr>
    </w:lvl>
    <w:lvl w:ilvl="7" w:tentative="0">
      <w:start w:val="1"/>
      <w:numFmt w:val="lowerLetter"/>
      <w:suff w:val="nothing"/>
      <w:lvlText w:val="%8）"/>
      <w:lvlJc w:val="left"/>
      <w:pPr>
        <w:ind w:left="0" w:firstLine="402"/>
      </w:pPr>
      <w:rPr>
        <w:rFonts w:hint="eastAsia"/>
      </w:rPr>
    </w:lvl>
    <w:lvl w:ilvl="8" w:tentative="0">
      <w:start w:val="1"/>
      <w:numFmt w:val="lowerRoman"/>
      <w:suff w:val="nothing"/>
      <w:lvlText w:val="%9 "/>
      <w:lvlJc w:val="left"/>
      <w:pPr>
        <w:ind w:left="0" w:firstLine="402"/>
      </w:pPr>
      <w:rPr>
        <w:rFonts w:hint="eastAsia"/>
      </w:rPr>
    </w:lvl>
  </w:abstractNum>
  <w:abstractNum w:abstractNumId="24">
    <w:nsid w:val="B7118711"/>
    <w:multiLevelType w:val="singleLevel"/>
    <w:tmpl w:val="B7118711"/>
    <w:lvl w:ilvl="0" w:tentative="0">
      <w:start w:val="1"/>
      <w:numFmt w:val="decimal"/>
      <w:lvlText w:val="%1)"/>
      <w:lvlJc w:val="left"/>
      <w:pPr>
        <w:ind w:left="425" w:hanging="425"/>
      </w:pPr>
      <w:rPr>
        <w:rFonts w:hint="default"/>
      </w:rPr>
    </w:lvl>
  </w:abstractNum>
  <w:abstractNum w:abstractNumId="25">
    <w:nsid w:val="B868411F"/>
    <w:multiLevelType w:val="singleLevel"/>
    <w:tmpl w:val="B868411F"/>
    <w:lvl w:ilvl="0" w:tentative="0">
      <w:start w:val="1"/>
      <w:numFmt w:val="decimal"/>
      <w:lvlText w:val="%1)"/>
      <w:lvlJc w:val="left"/>
      <w:pPr>
        <w:ind w:left="425" w:hanging="425"/>
      </w:pPr>
      <w:rPr>
        <w:rFonts w:hint="default"/>
      </w:rPr>
    </w:lvl>
  </w:abstractNum>
  <w:abstractNum w:abstractNumId="26">
    <w:nsid w:val="B9666B81"/>
    <w:multiLevelType w:val="singleLevel"/>
    <w:tmpl w:val="B9666B81"/>
    <w:lvl w:ilvl="0" w:tentative="0">
      <w:start w:val="1"/>
      <w:numFmt w:val="decimal"/>
      <w:lvlText w:val="%1)"/>
      <w:lvlJc w:val="left"/>
      <w:pPr>
        <w:ind w:left="425" w:hanging="425"/>
      </w:pPr>
      <w:rPr>
        <w:rFonts w:hint="default"/>
      </w:rPr>
    </w:lvl>
  </w:abstractNum>
  <w:abstractNum w:abstractNumId="27">
    <w:nsid w:val="C05703BA"/>
    <w:multiLevelType w:val="singleLevel"/>
    <w:tmpl w:val="C05703BA"/>
    <w:lvl w:ilvl="0" w:tentative="0">
      <w:start w:val="1"/>
      <w:numFmt w:val="bullet"/>
      <w:lvlText w:val=""/>
      <w:lvlJc w:val="left"/>
      <w:pPr>
        <w:ind w:left="420" w:hanging="420"/>
      </w:pPr>
      <w:rPr>
        <w:rFonts w:hint="default" w:ascii="Wingdings" w:hAnsi="Wingdings"/>
      </w:rPr>
    </w:lvl>
  </w:abstractNum>
  <w:abstractNum w:abstractNumId="28">
    <w:nsid w:val="C174AE07"/>
    <w:multiLevelType w:val="singleLevel"/>
    <w:tmpl w:val="C174AE07"/>
    <w:lvl w:ilvl="0" w:tentative="0">
      <w:start w:val="1"/>
      <w:numFmt w:val="decimal"/>
      <w:suff w:val="nothing"/>
      <w:lvlText w:val="%1）"/>
      <w:lvlJc w:val="left"/>
    </w:lvl>
  </w:abstractNum>
  <w:abstractNum w:abstractNumId="29">
    <w:nsid w:val="C4A7F75F"/>
    <w:multiLevelType w:val="singleLevel"/>
    <w:tmpl w:val="C4A7F75F"/>
    <w:lvl w:ilvl="0" w:tentative="0">
      <w:start w:val="1"/>
      <w:numFmt w:val="decimal"/>
      <w:suff w:val="nothing"/>
      <w:lvlText w:val="%1）"/>
      <w:lvlJc w:val="left"/>
    </w:lvl>
  </w:abstractNum>
  <w:abstractNum w:abstractNumId="30">
    <w:nsid w:val="CA367AD9"/>
    <w:multiLevelType w:val="singleLevel"/>
    <w:tmpl w:val="CA367AD9"/>
    <w:lvl w:ilvl="0" w:tentative="0">
      <w:start w:val="1"/>
      <w:numFmt w:val="decimal"/>
      <w:lvlText w:val="%1)"/>
      <w:lvlJc w:val="left"/>
      <w:pPr>
        <w:ind w:left="425" w:hanging="425"/>
      </w:pPr>
      <w:rPr>
        <w:rFonts w:hint="default"/>
      </w:rPr>
    </w:lvl>
  </w:abstractNum>
  <w:abstractNum w:abstractNumId="31">
    <w:nsid w:val="CC1FF612"/>
    <w:multiLevelType w:val="singleLevel"/>
    <w:tmpl w:val="CC1FF612"/>
    <w:lvl w:ilvl="0" w:tentative="0">
      <w:start w:val="1"/>
      <w:numFmt w:val="chineseCounting"/>
      <w:suff w:val="nothing"/>
      <w:lvlText w:val="（%1）"/>
      <w:lvlJc w:val="left"/>
      <w:pPr>
        <w:ind w:left="0" w:firstLine="420"/>
      </w:pPr>
      <w:rPr>
        <w:rFonts w:hint="eastAsia"/>
      </w:rPr>
    </w:lvl>
  </w:abstractNum>
  <w:abstractNum w:abstractNumId="32">
    <w:nsid w:val="CD7B75D9"/>
    <w:multiLevelType w:val="singleLevel"/>
    <w:tmpl w:val="CD7B75D9"/>
    <w:lvl w:ilvl="0" w:tentative="0">
      <w:start w:val="1"/>
      <w:numFmt w:val="decimal"/>
      <w:lvlText w:val="%1)"/>
      <w:lvlJc w:val="left"/>
      <w:pPr>
        <w:ind w:left="425" w:hanging="425"/>
      </w:pPr>
      <w:rPr>
        <w:rFonts w:hint="default"/>
      </w:rPr>
    </w:lvl>
  </w:abstractNum>
  <w:abstractNum w:abstractNumId="33">
    <w:nsid w:val="D6BC8499"/>
    <w:multiLevelType w:val="singleLevel"/>
    <w:tmpl w:val="D6BC8499"/>
    <w:lvl w:ilvl="0" w:tentative="0">
      <w:start w:val="1"/>
      <w:numFmt w:val="decimal"/>
      <w:lvlText w:val="%1)"/>
      <w:lvlJc w:val="left"/>
      <w:pPr>
        <w:ind w:left="425" w:hanging="425"/>
      </w:pPr>
      <w:rPr>
        <w:rFonts w:hint="default"/>
      </w:rPr>
    </w:lvl>
  </w:abstractNum>
  <w:abstractNum w:abstractNumId="34">
    <w:nsid w:val="DFD49615"/>
    <w:multiLevelType w:val="singleLevel"/>
    <w:tmpl w:val="DFD49615"/>
    <w:lvl w:ilvl="0" w:tentative="0">
      <w:start w:val="1"/>
      <w:numFmt w:val="decimal"/>
      <w:lvlText w:val="（%1）"/>
      <w:lvlJc w:val="left"/>
      <w:pPr>
        <w:ind w:left="420" w:hanging="420"/>
      </w:pPr>
      <w:rPr>
        <w:rFonts w:hint="eastAsia"/>
      </w:rPr>
    </w:lvl>
  </w:abstractNum>
  <w:abstractNum w:abstractNumId="35">
    <w:nsid w:val="E7FEE512"/>
    <w:multiLevelType w:val="singleLevel"/>
    <w:tmpl w:val="E7FEE512"/>
    <w:lvl w:ilvl="0" w:tentative="0">
      <w:start w:val="1"/>
      <w:numFmt w:val="decimal"/>
      <w:lvlText w:val="%1)"/>
      <w:lvlJc w:val="left"/>
      <w:pPr>
        <w:ind w:left="425" w:hanging="425"/>
      </w:pPr>
      <w:rPr>
        <w:rFonts w:hint="default"/>
      </w:rPr>
    </w:lvl>
  </w:abstractNum>
  <w:abstractNum w:abstractNumId="36">
    <w:nsid w:val="EA824554"/>
    <w:multiLevelType w:val="singleLevel"/>
    <w:tmpl w:val="EA824554"/>
    <w:lvl w:ilvl="0" w:tentative="0">
      <w:start w:val="1"/>
      <w:numFmt w:val="decimal"/>
      <w:lvlText w:val="（%1）"/>
      <w:lvlJc w:val="left"/>
      <w:pPr>
        <w:ind w:left="420" w:hanging="420"/>
      </w:pPr>
      <w:rPr>
        <w:rFonts w:hint="eastAsia"/>
      </w:rPr>
    </w:lvl>
  </w:abstractNum>
  <w:abstractNum w:abstractNumId="37">
    <w:nsid w:val="EB46F463"/>
    <w:multiLevelType w:val="singleLevel"/>
    <w:tmpl w:val="EB46F463"/>
    <w:lvl w:ilvl="0" w:tentative="0">
      <w:start w:val="1"/>
      <w:numFmt w:val="decimal"/>
      <w:suff w:val="nothing"/>
      <w:lvlText w:val="（%1）"/>
      <w:lvlJc w:val="left"/>
    </w:lvl>
  </w:abstractNum>
  <w:abstractNum w:abstractNumId="38">
    <w:nsid w:val="ECD965E9"/>
    <w:multiLevelType w:val="singleLevel"/>
    <w:tmpl w:val="ECD965E9"/>
    <w:lvl w:ilvl="0" w:tentative="0">
      <w:start w:val="1"/>
      <w:numFmt w:val="decimal"/>
      <w:lvlText w:val="%1)"/>
      <w:lvlJc w:val="left"/>
      <w:pPr>
        <w:ind w:left="425" w:hanging="425"/>
      </w:pPr>
      <w:rPr>
        <w:rFonts w:hint="default"/>
      </w:rPr>
    </w:lvl>
  </w:abstractNum>
  <w:abstractNum w:abstractNumId="39">
    <w:nsid w:val="EE301048"/>
    <w:multiLevelType w:val="singleLevel"/>
    <w:tmpl w:val="EE301048"/>
    <w:lvl w:ilvl="0" w:tentative="0">
      <w:start w:val="1"/>
      <w:numFmt w:val="decimal"/>
      <w:lvlText w:val="（%1）"/>
      <w:lvlJc w:val="left"/>
      <w:pPr>
        <w:ind w:left="420" w:hanging="420"/>
      </w:pPr>
      <w:rPr>
        <w:rFonts w:hint="eastAsia"/>
      </w:rPr>
    </w:lvl>
  </w:abstractNum>
  <w:abstractNum w:abstractNumId="40">
    <w:nsid w:val="F0808BDF"/>
    <w:multiLevelType w:val="singleLevel"/>
    <w:tmpl w:val="F0808BDF"/>
    <w:lvl w:ilvl="0" w:tentative="0">
      <w:start w:val="1"/>
      <w:numFmt w:val="decimal"/>
      <w:lvlText w:val="（%1）"/>
      <w:lvlJc w:val="left"/>
      <w:pPr>
        <w:ind w:left="420" w:hanging="420"/>
      </w:pPr>
      <w:rPr>
        <w:rFonts w:hint="eastAsia"/>
      </w:rPr>
    </w:lvl>
  </w:abstractNum>
  <w:abstractNum w:abstractNumId="41">
    <w:nsid w:val="F2B816B5"/>
    <w:multiLevelType w:val="singleLevel"/>
    <w:tmpl w:val="F2B816B5"/>
    <w:lvl w:ilvl="0" w:tentative="0">
      <w:start w:val="1"/>
      <w:numFmt w:val="decimal"/>
      <w:lvlText w:val="（%1）"/>
      <w:lvlJc w:val="left"/>
      <w:pPr>
        <w:ind w:left="420" w:hanging="420"/>
      </w:pPr>
      <w:rPr>
        <w:rFonts w:hint="eastAsia"/>
      </w:rPr>
    </w:lvl>
  </w:abstractNum>
  <w:abstractNum w:abstractNumId="42">
    <w:nsid w:val="F962D8E9"/>
    <w:multiLevelType w:val="singleLevel"/>
    <w:tmpl w:val="F962D8E9"/>
    <w:lvl w:ilvl="0" w:tentative="0">
      <w:start w:val="1"/>
      <w:numFmt w:val="decimal"/>
      <w:lvlText w:val="%1)"/>
      <w:lvlJc w:val="left"/>
      <w:pPr>
        <w:ind w:left="425" w:hanging="425"/>
      </w:pPr>
      <w:rPr>
        <w:rFonts w:hint="default"/>
      </w:rPr>
    </w:lvl>
  </w:abstractNum>
  <w:abstractNum w:abstractNumId="43">
    <w:nsid w:val="FA93D383"/>
    <w:multiLevelType w:val="multilevel"/>
    <w:tmpl w:val="FA93D383"/>
    <w:lvl w:ilvl="0" w:tentative="0">
      <w:start w:val="1"/>
      <w:numFmt w:val="chineseCounting"/>
      <w:suff w:val="nothing"/>
      <w:lvlText w:val="%1、"/>
      <w:lvlJc w:val="left"/>
      <w:pPr>
        <w:ind w:left="0" w:firstLine="0"/>
      </w:pPr>
      <w:rPr>
        <w:rFonts w:hint="eastAsia"/>
      </w:rPr>
    </w:lvl>
    <w:lvl w:ilvl="1" w:tentative="0">
      <w:start w:val="1"/>
      <w:numFmt w:val="chineseCountingThousand"/>
      <w:lvlText w:val="%2、"/>
      <w:lvlJc w:val="left"/>
      <w:pPr>
        <w:ind w:left="0" w:firstLine="0"/>
      </w:pPr>
      <w:rPr>
        <w:rFonts w:hint="eastAsia"/>
      </w:rPr>
    </w:lvl>
    <w:lvl w:ilvl="2" w:tentative="0">
      <w:start w:val="1"/>
      <w:numFmt w:val="chineseCountingThousand"/>
      <w:lvlText w:val="(%3)"/>
      <w:lvlJc w:val="left"/>
      <w:pPr>
        <w:ind w:left="-258" w:firstLine="400"/>
      </w:pPr>
      <w:rPr>
        <w:rFonts w:hint="eastAsia"/>
      </w:rPr>
    </w:lvl>
    <w:lvl w:ilvl="3" w:tentative="0">
      <w:start w:val="1"/>
      <w:numFmt w:val="decimal"/>
      <w:lvlText w:val="%4."/>
      <w:lvlJc w:val="left"/>
      <w:pPr>
        <w:ind w:left="-261" w:firstLine="402"/>
      </w:pPr>
      <w:rPr>
        <w:rFonts w:hint="eastAsia"/>
      </w:rPr>
    </w:lvl>
    <w:lvl w:ilvl="4" w:tentative="0">
      <w:start w:val="1"/>
      <w:numFmt w:val="decimalEnclosedCircleChinese"/>
      <w:suff w:val="nothing"/>
      <w:lvlText w:val="%5"/>
      <w:lvlJc w:val="left"/>
      <w:pPr>
        <w:ind w:left="0" w:firstLine="402"/>
      </w:pPr>
      <w:rPr>
        <w:rFonts w:hint="eastAsia"/>
      </w:rPr>
    </w:lvl>
    <w:lvl w:ilvl="5" w:tentative="0">
      <w:start w:val="1"/>
      <w:numFmt w:val="decimal"/>
      <w:suff w:val="nothing"/>
      <w:lvlText w:val="%6）"/>
      <w:lvlJc w:val="left"/>
      <w:pPr>
        <w:ind w:left="0" w:firstLine="402"/>
      </w:pPr>
      <w:rPr>
        <w:rFonts w:hint="eastAsia"/>
      </w:rPr>
    </w:lvl>
    <w:lvl w:ilvl="6" w:tentative="0">
      <w:start w:val="1"/>
      <w:numFmt w:val="lowerLetter"/>
      <w:suff w:val="nothing"/>
      <w:lvlText w:val="%7．"/>
      <w:lvlJc w:val="left"/>
      <w:pPr>
        <w:ind w:left="0" w:firstLine="402"/>
      </w:pPr>
      <w:rPr>
        <w:rFonts w:hint="eastAsia"/>
      </w:rPr>
    </w:lvl>
    <w:lvl w:ilvl="7" w:tentative="0">
      <w:start w:val="1"/>
      <w:numFmt w:val="lowerLetter"/>
      <w:suff w:val="nothing"/>
      <w:lvlText w:val="%8）"/>
      <w:lvlJc w:val="left"/>
      <w:pPr>
        <w:ind w:left="0" w:firstLine="402"/>
      </w:pPr>
      <w:rPr>
        <w:rFonts w:hint="eastAsia"/>
      </w:rPr>
    </w:lvl>
    <w:lvl w:ilvl="8" w:tentative="0">
      <w:start w:val="1"/>
      <w:numFmt w:val="lowerRoman"/>
      <w:suff w:val="nothing"/>
      <w:lvlText w:val="%9 "/>
      <w:lvlJc w:val="left"/>
      <w:pPr>
        <w:ind w:left="0" w:firstLine="402"/>
      </w:pPr>
      <w:rPr>
        <w:rFonts w:hint="eastAsia"/>
      </w:rPr>
    </w:lvl>
  </w:abstractNum>
  <w:abstractNum w:abstractNumId="44">
    <w:nsid w:val="FFAE4D56"/>
    <w:multiLevelType w:val="singleLevel"/>
    <w:tmpl w:val="FFAE4D56"/>
    <w:lvl w:ilvl="0" w:tentative="0">
      <w:start w:val="1"/>
      <w:numFmt w:val="decimal"/>
      <w:lvlText w:val="%1."/>
      <w:lvlJc w:val="left"/>
      <w:pPr>
        <w:tabs>
          <w:tab w:val="left" w:pos="312"/>
        </w:tabs>
      </w:pPr>
    </w:lvl>
  </w:abstractNum>
  <w:abstractNum w:abstractNumId="45">
    <w:nsid w:val="00533021"/>
    <w:multiLevelType w:val="multilevel"/>
    <w:tmpl w:val="00533021"/>
    <w:lvl w:ilvl="0" w:tentative="0">
      <w:start w:val="1"/>
      <w:numFmt w:val="chineseCounting"/>
      <w:suff w:val="nothing"/>
      <w:lvlText w:val="%1、"/>
      <w:lvlJc w:val="left"/>
      <w:pPr>
        <w:ind w:left="0" w:firstLine="0"/>
      </w:pPr>
      <w:rPr>
        <w:rFonts w:hint="eastAsia"/>
      </w:rPr>
    </w:lvl>
    <w:lvl w:ilvl="1" w:tentative="0">
      <w:start w:val="1"/>
      <w:numFmt w:val="chineseCountingThousand"/>
      <w:lvlText w:val="%2、"/>
      <w:lvlJc w:val="left"/>
      <w:pPr>
        <w:ind w:left="0" w:firstLine="0"/>
      </w:pPr>
      <w:rPr>
        <w:rFonts w:hint="eastAsia"/>
      </w:rPr>
    </w:lvl>
    <w:lvl w:ilvl="2" w:tentative="0">
      <w:start w:val="1"/>
      <w:numFmt w:val="chineseCountingThousand"/>
      <w:lvlText w:val="(%3)"/>
      <w:lvlJc w:val="left"/>
      <w:pPr>
        <w:ind w:left="0" w:firstLine="400"/>
      </w:pPr>
      <w:rPr>
        <w:rFonts w:hint="eastAsia"/>
      </w:rPr>
    </w:lvl>
    <w:lvl w:ilvl="3" w:tentative="0">
      <w:start w:val="1"/>
      <w:numFmt w:val="decimal"/>
      <w:lvlText w:val="%4."/>
      <w:lvlJc w:val="left"/>
      <w:pPr>
        <w:ind w:left="-261" w:firstLine="402"/>
      </w:pPr>
      <w:rPr>
        <w:rFonts w:hint="eastAsia"/>
      </w:rPr>
    </w:lvl>
    <w:lvl w:ilvl="4" w:tentative="0">
      <w:start w:val="1"/>
      <w:numFmt w:val="decimalEnclosedCircleChinese"/>
      <w:suff w:val="nothing"/>
      <w:lvlText w:val="%5"/>
      <w:lvlJc w:val="left"/>
      <w:pPr>
        <w:ind w:left="0" w:firstLine="402"/>
      </w:pPr>
      <w:rPr>
        <w:rFonts w:hint="eastAsia"/>
      </w:rPr>
    </w:lvl>
    <w:lvl w:ilvl="5" w:tentative="0">
      <w:start w:val="1"/>
      <w:numFmt w:val="decimal"/>
      <w:suff w:val="nothing"/>
      <w:lvlText w:val="%6）"/>
      <w:lvlJc w:val="left"/>
      <w:pPr>
        <w:ind w:left="0" w:firstLine="402"/>
      </w:pPr>
      <w:rPr>
        <w:rFonts w:hint="eastAsia"/>
      </w:rPr>
    </w:lvl>
    <w:lvl w:ilvl="6" w:tentative="0">
      <w:start w:val="1"/>
      <w:numFmt w:val="lowerLetter"/>
      <w:suff w:val="nothing"/>
      <w:lvlText w:val="%7．"/>
      <w:lvlJc w:val="left"/>
      <w:pPr>
        <w:ind w:left="0" w:firstLine="402"/>
      </w:pPr>
      <w:rPr>
        <w:rFonts w:hint="eastAsia"/>
      </w:rPr>
    </w:lvl>
    <w:lvl w:ilvl="7" w:tentative="0">
      <w:start w:val="1"/>
      <w:numFmt w:val="lowerLetter"/>
      <w:suff w:val="nothing"/>
      <w:lvlText w:val="%8）"/>
      <w:lvlJc w:val="left"/>
      <w:pPr>
        <w:ind w:left="0" w:firstLine="402"/>
      </w:pPr>
      <w:rPr>
        <w:rFonts w:hint="eastAsia"/>
      </w:rPr>
    </w:lvl>
    <w:lvl w:ilvl="8" w:tentative="0">
      <w:start w:val="1"/>
      <w:numFmt w:val="lowerRoman"/>
      <w:suff w:val="nothing"/>
      <w:lvlText w:val="%9 "/>
      <w:lvlJc w:val="left"/>
      <w:pPr>
        <w:ind w:left="0" w:firstLine="402"/>
      </w:pPr>
      <w:rPr>
        <w:rFonts w:hint="eastAsia"/>
      </w:rPr>
    </w:lvl>
  </w:abstractNum>
  <w:abstractNum w:abstractNumId="46">
    <w:nsid w:val="00C6D36E"/>
    <w:multiLevelType w:val="singleLevel"/>
    <w:tmpl w:val="00C6D36E"/>
    <w:lvl w:ilvl="0" w:tentative="0">
      <w:start w:val="1"/>
      <w:numFmt w:val="decimal"/>
      <w:lvlText w:val="%1)"/>
      <w:lvlJc w:val="left"/>
      <w:pPr>
        <w:ind w:left="425" w:hanging="425"/>
      </w:pPr>
      <w:rPr>
        <w:rFonts w:hint="default"/>
      </w:rPr>
    </w:lvl>
  </w:abstractNum>
  <w:abstractNum w:abstractNumId="47">
    <w:nsid w:val="01E30A98"/>
    <w:multiLevelType w:val="multilevel"/>
    <w:tmpl w:val="01E30A98"/>
    <w:lvl w:ilvl="0" w:tentative="0">
      <w:start w:val="1"/>
      <w:numFmt w:val="chineseCounting"/>
      <w:suff w:val="nothing"/>
      <w:lvlText w:val="%1、"/>
      <w:lvlJc w:val="left"/>
      <w:pPr>
        <w:ind w:left="0" w:firstLine="0"/>
      </w:pPr>
      <w:rPr>
        <w:rFonts w:hint="eastAsia"/>
      </w:rPr>
    </w:lvl>
    <w:lvl w:ilvl="1" w:tentative="0">
      <w:start w:val="1"/>
      <w:numFmt w:val="chineseCountingThousand"/>
      <w:lvlText w:val="%2、"/>
      <w:lvlJc w:val="left"/>
      <w:pPr>
        <w:ind w:left="0" w:firstLine="0"/>
      </w:pPr>
      <w:rPr>
        <w:rFonts w:hint="eastAsia"/>
      </w:rPr>
    </w:lvl>
    <w:lvl w:ilvl="2" w:tentative="0">
      <w:start w:val="1"/>
      <w:numFmt w:val="chineseCountingThousand"/>
      <w:lvlText w:val="(%3)"/>
      <w:lvlJc w:val="left"/>
      <w:pPr>
        <w:ind w:left="0" w:firstLine="400"/>
      </w:pPr>
      <w:rPr>
        <w:rFonts w:hint="eastAsia"/>
      </w:rPr>
    </w:lvl>
    <w:lvl w:ilvl="3" w:tentative="0">
      <w:start w:val="1"/>
      <w:numFmt w:val="decimal"/>
      <w:lvlText w:val="%4."/>
      <w:lvlJc w:val="left"/>
      <w:pPr>
        <w:ind w:left="-261" w:firstLine="402"/>
      </w:pPr>
      <w:rPr>
        <w:rFonts w:hint="eastAsia"/>
      </w:rPr>
    </w:lvl>
    <w:lvl w:ilvl="4" w:tentative="0">
      <w:start w:val="1"/>
      <w:numFmt w:val="decimalEnclosedCircleChinese"/>
      <w:suff w:val="nothing"/>
      <w:lvlText w:val="%5"/>
      <w:lvlJc w:val="left"/>
      <w:pPr>
        <w:ind w:left="0" w:firstLine="402"/>
      </w:pPr>
      <w:rPr>
        <w:rFonts w:hint="eastAsia"/>
      </w:rPr>
    </w:lvl>
    <w:lvl w:ilvl="5" w:tentative="0">
      <w:start w:val="1"/>
      <w:numFmt w:val="decimal"/>
      <w:suff w:val="nothing"/>
      <w:lvlText w:val="%6）"/>
      <w:lvlJc w:val="left"/>
      <w:pPr>
        <w:ind w:left="0" w:firstLine="402"/>
      </w:pPr>
      <w:rPr>
        <w:rFonts w:hint="eastAsia"/>
      </w:rPr>
    </w:lvl>
    <w:lvl w:ilvl="6" w:tentative="0">
      <w:start w:val="1"/>
      <w:numFmt w:val="lowerLetter"/>
      <w:suff w:val="nothing"/>
      <w:lvlText w:val="%7．"/>
      <w:lvlJc w:val="left"/>
      <w:pPr>
        <w:ind w:left="0" w:firstLine="402"/>
      </w:pPr>
      <w:rPr>
        <w:rFonts w:hint="eastAsia"/>
      </w:rPr>
    </w:lvl>
    <w:lvl w:ilvl="7" w:tentative="0">
      <w:start w:val="1"/>
      <w:numFmt w:val="lowerLetter"/>
      <w:suff w:val="nothing"/>
      <w:lvlText w:val="%8）"/>
      <w:lvlJc w:val="left"/>
      <w:pPr>
        <w:ind w:left="0" w:firstLine="402"/>
      </w:pPr>
      <w:rPr>
        <w:rFonts w:hint="eastAsia"/>
      </w:rPr>
    </w:lvl>
    <w:lvl w:ilvl="8" w:tentative="0">
      <w:start w:val="1"/>
      <w:numFmt w:val="lowerRoman"/>
      <w:suff w:val="nothing"/>
      <w:lvlText w:val="%9 "/>
      <w:lvlJc w:val="left"/>
      <w:pPr>
        <w:ind w:left="0" w:firstLine="402"/>
      </w:pPr>
      <w:rPr>
        <w:rFonts w:hint="eastAsia"/>
      </w:rPr>
    </w:lvl>
  </w:abstractNum>
  <w:abstractNum w:abstractNumId="48">
    <w:nsid w:val="04641871"/>
    <w:multiLevelType w:val="multilevel"/>
    <w:tmpl w:val="04641871"/>
    <w:lvl w:ilvl="0" w:tentative="0">
      <w:start w:val="1"/>
      <w:numFmt w:val="chineseCounting"/>
      <w:suff w:val="nothing"/>
      <w:lvlText w:val="%1、"/>
      <w:lvlJc w:val="left"/>
      <w:pPr>
        <w:ind w:left="0" w:firstLine="0"/>
      </w:pPr>
      <w:rPr>
        <w:rFonts w:hint="eastAsia"/>
      </w:rPr>
    </w:lvl>
    <w:lvl w:ilvl="1" w:tentative="0">
      <w:start w:val="1"/>
      <w:numFmt w:val="chineseCountingThousand"/>
      <w:lvlText w:val="%2、"/>
      <w:lvlJc w:val="left"/>
      <w:pPr>
        <w:ind w:left="0" w:firstLine="0"/>
      </w:pPr>
      <w:rPr>
        <w:rFonts w:hint="eastAsia"/>
      </w:rPr>
    </w:lvl>
    <w:lvl w:ilvl="2" w:tentative="0">
      <w:start w:val="1"/>
      <w:numFmt w:val="chineseCountingThousand"/>
      <w:lvlText w:val="(%3)"/>
      <w:lvlJc w:val="left"/>
      <w:pPr>
        <w:ind w:left="0" w:firstLine="400"/>
      </w:pPr>
      <w:rPr>
        <w:rFonts w:hint="eastAsia"/>
      </w:rPr>
    </w:lvl>
    <w:lvl w:ilvl="3" w:tentative="0">
      <w:start w:val="1"/>
      <w:numFmt w:val="decimal"/>
      <w:lvlText w:val="%4."/>
      <w:lvlJc w:val="left"/>
      <w:pPr>
        <w:ind w:left="-261" w:firstLine="402"/>
      </w:pPr>
      <w:rPr>
        <w:rFonts w:hint="eastAsia"/>
      </w:rPr>
    </w:lvl>
    <w:lvl w:ilvl="4" w:tentative="0">
      <w:start w:val="1"/>
      <w:numFmt w:val="decimalEnclosedCircleChinese"/>
      <w:suff w:val="nothing"/>
      <w:lvlText w:val="%5"/>
      <w:lvlJc w:val="left"/>
      <w:pPr>
        <w:ind w:left="0" w:firstLine="402"/>
      </w:pPr>
      <w:rPr>
        <w:rFonts w:hint="eastAsia"/>
      </w:rPr>
    </w:lvl>
    <w:lvl w:ilvl="5" w:tentative="0">
      <w:start w:val="1"/>
      <w:numFmt w:val="decimal"/>
      <w:suff w:val="nothing"/>
      <w:lvlText w:val="%6）"/>
      <w:lvlJc w:val="left"/>
      <w:pPr>
        <w:ind w:left="0" w:firstLine="402"/>
      </w:pPr>
      <w:rPr>
        <w:rFonts w:hint="eastAsia"/>
      </w:rPr>
    </w:lvl>
    <w:lvl w:ilvl="6" w:tentative="0">
      <w:start w:val="1"/>
      <w:numFmt w:val="lowerLetter"/>
      <w:suff w:val="nothing"/>
      <w:lvlText w:val="%7．"/>
      <w:lvlJc w:val="left"/>
      <w:pPr>
        <w:ind w:left="0" w:firstLine="402"/>
      </w:pPr>
      <w:rPr>
        <w:rFonts w:hint="eastAsia"/>
      </w:rPr>
    </w:lvl>
    <w:lvl w:ilvl="7" w:tentative="0">
      <w:start w:val="1"/>
      <w:numFmt w:val="lowerLetter"/>
      <w:suff w:val="nothing"/>
      <w:lvlText w:val="%8）"/>
      <w:lvlJc w:val="left"/>
      <w:pPr>
        <w:ind w:left="0" w:firstLine="402"/>
      </w:pPr>
      <w:rPr>
        <w:rFonts w:hint="eastAsia"/>
      </w:rPr>
    </w:lvl>
    <w:lvl w:ilvl="8" w:tentative="0">
      <w:start w:val="1"/>
      <w:numFmt w:val="lowerRoman"/>
      <w:suff w:val="nothing"/>
      <w:lvlText w:val="%9 "/>
      <w:lvlJc w:val="left"/>
      <w:pPr>
        <w:ind w:left="0" w:firstLine="402"/>
      </w:pPr>
      <w:rPr>
        <w:rFonts w:hint="eastAsia"/>
      </w:rPr>
    </w:lvl>
  </w:abstractNum>
  <w:abstractNum w:abstractNumId="49">
    <w:nsid w:val="07223F29"/>
    <w:multiLevelType w:val="singleLevel"/>
    <w:tmpl w:val="07223F29"/>
    <w:lvl w:ilvl="0" w:tentative="0">
      <w:start w:val="1"/>
      <w:numFmt w:val="decimal"/>
      <w:lvlText w:val="（%1）"/>
      <w:lvlJc w:val="left"/>
      <w:pPr>
        <w:ind w:left="420" w:hanging="420"/>
      </w:pPr>
      <w:rPr>
        <w:rFonts w:hint="eastAsia"/>
      </w:rPr>
    </w:lvl>
  </w:abstractNum>
  <w:abstractNum w:abstractNumId="50">
    <w:nsid w:val="08944407"/>
    <w:multiLevelType w:val="multilevel"/>
    <w:tmpl w:val="08944407"/>
    <w:lvl w:ilvl="0" w:tentative="0">
      <w:start w:val="1"/>
      <w:numFmt w:val="chineseCounting"/>
      <w:suff w:val="nothing"/>
      <w:lvlText w:val="%1、"/>
      <w:lvlJc w:val="left"/>
      <w:pPr>
        <w:ind w:left="0" w:firstLine="0"/>
      </w:pPr>
      <w:rPr>
        <w:rFonts w:hint="eastAsia"/>
      </w:rPr>
    </w:lvl>
    <w:lvl w:ilvl="1" w:tentative="0">
      <w:start w:val="1"/>
      <w:numFmt w:val="chineseCountingThousand"/>
      <w:lvlText w:val="%2、"/>
      <w:lvlJc w:val="left"/>
      <w:pPr>
        <w:ind w:left="0" w:firstLine="0"/>
      </w:pPr>
      <w:rPr>
        <w:rFonts w:hint="eastAsia"/>
      </w:rPr>
    </w:lvl>
    <w:lvl w:ilvl="2" w:tentative="0">
      <w:start w:val="1"/>
      <w:numFmt w:val="chineseCountingThousand"/>
      <w:lvlText w:val="(%3)"/>
      <w:lvlJc w:val="left"/>
      <w:pPr>
        <w:ind w:left="0" w:firstLine="400"/>
      </w:pPr>
      <w:rPr>
        <w:rFonts w:hint="eastAsia"/>
      </w:rPr>
    </w:lvl>
    <w:lvl w:ilvl="3" w:tentative="0">
      <w:start w:val="1"/>
      <w:numFmt w:val="decimal"/>
      <w:lvlText w:val="%4."/>
      <w:lvlJc w:val="left"/>
      <w:pPr>
        <w:ind w:left="-261" w:firstLine="402"/>
      </w:pPr>
      <w:rPr>
        <w:rFonts w:hint="eastAsia"/>
      </w:rPr>
    </w:lvl>
    <w:lvl w:ilvl="4" w:tentative="0">
      <w:start w:val="1"/>
      <w:numFmt w:val="decimalEnclosedCircleChinese"/>
      <w:suff w:val="nothing"/>
      <w:lvlText w:val="%5"/>
      <w:lvlJc w:val="left"/>
      <w:pPr>
        <w:ind w:left="0" w:firstLine="402"/>
      </w:pPr>
      <w:rPr>
        <w:rFonts w:hint="eastAsia"/>
      </w:rPr>
    </w:lvl>
    <w:lvl w:ilvl="5" w:tentative="0">
      <w:start w:val="1"/>
      <w:numFmt w:val="decimal"/>
      <w:suff w:val="nothing"/>
      <w:lvlText w:val="%6）"/>
      <w:lvlJc w:val="left"/>
      <w:pPr>
        <w:ind w:left="0" w:firstLine="402"/>
      </w:pPr>
      <w:rPr>
        <w:rFonts w:hint="eastAsia"/>
      </w:rPr>
    </w:lvl>
    <w:lvl w:ilvl="6" w:tentative="0">
      <w:start w:val="1"/>
      <w:numFmt w:val="lowerLetter"/>
      <w:suff w:val="nothing"/>
      <w:lvlText w:val="%7．"/>
      <w:lvlJc w:val="left"/>
      <w:pPr>
        <w:ind w:left="0" w:firstLine="402"/>
      </w:pPr>
      <w:rPr>
        <w:rFonts w:hint="eastAsia"/>
      </w:rPr>
    </w:lvl>
    <w:lvl w:ilvl="7" w:tentative="0">
      <w:start w:val="1"/>
      <w:numFmt w:val="lowerLetter"/>
      <w:suff w:val="nothing"/>
      <w:lvlText w:val="%8）"/>
      <w:lvlJc w:val="left"/>
      <w:pPr>
        <w:ind w:left="0" w:firstLine="402"/>
      </w:pPr>
      <w:rPr>
        <w:rFonts w:hint="eastAsia"/>
      </w:rPr>
    </w:lvl>
    <w:lvl w:ilvl="8" w:tentative="0">
      <w:start w:val="1"/>
      <w:numFmt w:val="lowerRoman"/>
      <w:suff w:val="nothing"/>
      <w:lvlText w:val="%9 "/>
      <w:lvlJc w:val="left"/>
      <w:pPr>
        <w:ind w:left="0" w:firstLine="402"/>
      </w:pPr>
      <w:rPr>
        <w:rFonts w:hint="eastAsia"/>
      </w:rPr>
    </w:lvl>
  </w:abstractNum>
  <w:abstractNum w:abstractNumId="51">
    <w:nsid w:val="08B884D0"/>
    <w:multiLevelType w:val="singleLevel"/>
    <w:tmpl w:val="08B884D0"/>
    <w:lvl w:ilvl="0" w:tentative="0">
      <w:start w:val="1"/>
      <w:numFmt w:val="decimal"/>
      <w:suff w:val="nothing"/>
      <w:lvlText w:val="（%1）"/>
      <w:lvlJc w:val="left"/>
    </w:lvl>
  </w:abstractNum>
  <w:abstractNum w:abstractNumId="52">
    <w:nsid w:val="093B919D"/>
    <w:multiLevelType w:val="singleLevel"/>
    <w:tmpl w:val="093B919D"/>
    <w:lvl w:ilvl="0" w:tentative="0">
      <w:start w:val="1"/>
      <w:numFmt w:val="decimal"/>
      <w:lvlText w:val="%1."/>
      <w:lvlJc w:val="left"/>
      <w:pPr>
        <w:tabs>
          <w:tab w:val="left" w:pos="312"/>
        </w:tabs>
      </w:pPr>
    </w:lvl>
  </w:abstractNum>
  <w:abstractNum w:abstractNumId="53">
    <w:nsid w:val="09FE440B"/>
    <w:multiLevelType w:val="multilevel"/>
    <w:tmpl w:val="09FE440B"/>
    <w:lvl w:ilvl="0" w:tentative="0">
      <w:start w:val="1"/>
      <w:numFmt w:val="chineseCounting"/>
      <w:suff w:val="nothing"/>
      <w:lvlText w:val="%1、"/>
      <w:lvlJc w:val="left"/>
      <w:pPr>
        <w:ind w:left="0" w:firstLine="0"/>
      </w:pPr>
      <w:rPr>
        <w:rFonts w:hint="eastAsia"/>
      </w:rPr>
    </w:lvl>
    <w:lvl w:ilvl="1" w:tentative="0">
      <w:start w:val="1"/>
      <w:numFmt w:val="chineseCountingThousand"/>
      <w:lvlText w:val="%2、"/>
      <w:lvlJc w:val="left"/>
      <w:pPr>
        <w:ind w:left="0" w:firstLine="0"/>
      </w:pPr>
      <w:rPr>
        <w:rFonts w:hint="eastAsia"/>
      </w:rPr>
    </w:lvl>
    <w:lvl w:ilvl="2" w:tentative="0">
      <w:start w:val="1"/>
      <w:numFmt w:val="chineseCountingThousand"/>
      <w:lvlText w:val="(%3)"/>
      <w:lvlJc w:val="left"/>
      <w:pPr>
        <w:ind w:left="0" w:firstLine="400"/>
      </w:pPr>
      <w:rPr>
        <w:rFonts w:hint="eastAsia"/>
      </w:rPr>
    </w:lvl>
    <w:lvl w:ilvl="3" w:tentative="0">
      <w:start w:val="1"/>
      <w:numFmt w:val="decimal"/>
      <w:lvlText w:val="%4."/>
      <w:lvlJc w:val="left"/>
      <w:pPr>
        <w:ind w:left="-261" w:firstLine="402"/>
      </w:pPr>
      <w:rPr>
        <w:rFonts w:hint="eastAsia"/>
      </w:rPr>
    </w:lvl>
    <w:lvl w:ilvl="4" w:tentative="0">
      <w:start w:val="1"/>
      <w:numFmt w:val="decimalEnclosedCircleChinese"/>
      <w:suff w:val="nothing"/>
      <w:lvlText w:val="%5"/>
      <w:lvlJc w:val="left"/>
      <w:pPr>
        <w:ind w:left="0" w:firstLine="402"/>
      </w:pPr>
      <w:rPr>
        <w:rFonts w:hint="eastAsia"/>
      </w:rPr>
    </w:lvl>
    <w:lvl w:ilvl="5" w:tentative="0">
      <w:start w:val="1"/>
      <w:numFmt w:val="decimal"/>
      <w:suff w:val="nothing"/>
      <w:lvlText w:val="%6）"/>
      <w:lvlJc w:val="left"/>
      <w:pPr>
        <w:ind w:left="0" w:firstLine="402"/>
      </w:pPr>
      <w:rPr>
        <w:rFonts w:hint="eastAsia"/>
      </w:rPr>
    </w:lvl>
    <w:lvl w:ilvl="6" w:tentative="0">
      <w:start w:val="1"/>
      <w:numFmt w:val="lowerLetter"/>
      <w:suff w:val="nothing"/>
      <w:lvlText w:val="%7．"/>
      <w:lvlJc w:val="left"/>
      <w:pPr>
        <w:ind w:left="0" w:firstLine="402"/>
      </w:pPr>
      <w:rPr>
        <w:rFonts w:hint="eastAsia"/>
      </w:rPr>
    </w:lvl>
    <w:lvl w:ilvl="7" w:tentative="0">
      <w:start w:val="1"/>
      <w:numFmt w:val="lowerLetter"/>
      <w:suff w:val="nothing"/>
      <w:lvlText w:val="%8）"/>
      <w:lvlJc w:val="left"/>
      <w:pPr>
        <w:ind w:left="0" w:firstLine="402"/>
      </w:pPr>
      <w:rPr>
        <w:rFonts w:hint="eastAsia"/>
      </w:rPr>
    </w:lvl>
    <w:lvl w:ilvl="8" w:tentative="0">
      <w:start w:val="1"/>
      <w:numFmt w:val="lowerRoman"/>
      <w:suff w:val="nothing"/>
      <w:lvlText w:val="%9 "/>
      <w:lvlJc w:val="left"/>
      <w:pPr>
        <w:ind w:left="0" w:firstLine="402"/>
      </w:pPr>
      <w:rPr>
        <w:rFonts w:hint="eastAsia"/>
      </w:rPr>
    </w:lvl>
  </w:abstractNum>
  <w:abstractNum w:abstractNumId="54">
    <w:nsid w:val="0A5741FB"/>
    <w:multiLevelType w:val="singleLevel"/>
    <w:tmpl w:val="0A5741FB"/>
    <w:lvl w:ilvl="0" w:tentative="0">
      <w:start w:val="1"/>
      <w:numFmt w:val="decimal"/>
      <w:lvlText w:val="%1)"/>
      <w:lvlJc w:val="left"/>
      <w:pPr>
        <w:ind w:left="425" w:hanging="425"/>
      </w:pPr>
      <w:rPr>
        <w:rFonts w:hint="default"/>
      </w:rPr>
    </w:lvl>
  </w:abstractNum>
  <w:abstractNum w:abstractNumId="55">
    <w:nsid w:val="0B4F966F"/>
    <w:multiLevelType w:val="singleLevel"/>
    <w:tmpl w:val="0B4F966F"/>
    <w:lvl w:ilvl="0" w:tentative="0">
      <w:start w:val="1"/>
      <w:numFmt w:val="decimal"/>
      <w:lvlText w:val="（%1）"/>
      <w:lvlJc w:val="left"/>
      <w:pPr>
        <w:ind w:left="420" w:hanging="420"/>
      </w:pPr>
      <w:rPr>
        <w:rFonts w:hint="eastAsia"/>
      </w:rPr>
    </w:lvl>
  </w:abstractNum>
  <w:abstractNum w:abstractNumId="56">
    <w:nsid w:val="0CDBE670"/>
    <w:multiLevelType w:val="singleLevel"/>
    <w:tmpl w:val="0CDBE670"/>
    <w:lvl w:ilvl="0" w:tentative="0">
      <w:start w:val="1"/>
      <w:numFmt w:val="decimal"/>
      <w:lvlText w:val="（%1）"/>
      <w:lvlJc w:val="left"/>
      <w:pPr>
        <w:ind w:left="420" w:hanging="420"/>
      </w:pPr>
      <w:rPr>
        <w:rFonts w:hint="eastAsia"/>
      </w:rPr>
    </w:lvl>
  </w:abstractNum>
  <w:abstractNum w:abstractNumId="57">
    <w:nsid w:val="1072C8CD"/>
    <w:multiLevelType w:val="singleLevel"/>
    <w:tmpl w:val="1072C8CD"/>
    <w:lvl w:ilvl="0" w:tentative="0">
      <w:start w:val="1"/>
      <w:numFmt w:val="decimal"/>
      <w:lvlText w:val="%1)"/>
      <w:lvlJc w:val="left"/>
      <w:pPr>
        <w:ind w:left="425" w:hanging="425"/>
      </w:pPr>
      <w:rPr>
        <w:rFonts w:hint="default"/>
      </w:rPr>
    </w:lvl>
  </w:abstractNum>
  <w:abstractNum w:abstractNumId="58">
    <w:nsid w:val="121A34D3"/>
    <w:multiLevelType w:val="multilevel"/>
    <w:tmpl w:val="121A34D3"/>
    <w:lvl w:ilvl="0" w:tentative="0">
      <w:start w:val="1"/>
      <w:numFmt w:val="chineseCounting"/>
      <w:suff w:val="nothing"/>
      <w:lvlText w:val="%1、"/>
      <w:lvlJc w:val="left"/>
      <w:pPr>
        <w:ind w:left="0" w:firstLine="0"/>
      </w:pPr>
      <w:rPr>
        <w:rFonts w:hint="eastAsia"/>
      </w:rPr>
    </w:lvl>
    <w:lvl w:ilvl="1" w:tentative="0">
      <w:start w:val="1"/>
      <w:numFmt w:val="chineseCountingThousand"/>
      <w:lvlText w:val="%2、"/>
      <w:lvlJc w:val="left"/>
      <w:pPr>
        <w:ind w:left="0" w:firstLine="0"/>
      </w:pPr>
      <w:rPr>
        <w:rFonts w:hint="eastAsia"/>
      </w:rPr>
    </w:lvl>
    <w:lvl w:ilvl="2" w:tentative="0">
      <w:start w:val="1"/>
      <w:numFmt w:val="chineseCountingThousand"/>
      <w:lvlText w:val="(%3)"/>
      <w:lvlJc w:val="left"/>
      <w:pPr>
        <w:ind w:left="-258" w:firstLine="400"/>
      </w:pPr>
      <w:rPr>
        <w:rFonts w:hint="eastAsia"/>
      </w:rPr>
    </w:lvl>
    <w:lvl w:ilvl="3" w:tentative="0">
      <w:start w:val="1"/>
      <w:numFmt w:val="decimal"/>
      <w:lvlText w:val="%4."/>
      <w:lvlJc w:val="left"/>
      <w:pPr>
        <w:ind w:left="-261" w:firstLine="402"/>
      </w:pPr>
      <w:rPr>
        <w:rFonts w:hint="eastAsia"/>
      </w:rPr>
    </w:lvl>
    <w:lvl w:ilvl="4" w:tentative="0">
      <w:start w:val="1"/>
      <w:numFmt w:val="decimalEnclosedCircleChinese"/>
      <w:suff w:val="nothing"/>
      <w:lvlText w:val="%5"/>
      <w:lvlJc w:val="left"/>
      <w:pPr>
        <w:ind w:left="0" w:firstLine="402"/>
      </w:pPr>
      <w:rPr>
        <w:rFonts w:hint="eastAsia"/>
      </w:rPr>
    </w:lvl>
    <w:lvl w:ilvl="5" w:tentative="0">
      <w:start w:val="1"/>
      <w:numFmt w:val="decimal"/>
      <w:suff w:val="nothing"/>
      <w:lvlText w:val="%6）"/>
      <w:lvlJc w:val="left"/>
      <w:pPr>
        <w:ind w:left="0" w:firstLine="402"/>
      </w:pPr>
      <w:rPr>
        <w:rFonts w:hint="eastAsia"/>
      </w:rPr>
    </w:lvl>
    <w:lvl w:ilvl="6" w:tentative="0">
      <w:start w:val="1"/>
      <w:numFmt w:val="lowerLetter"/>
      <w:suff w:val="nothing"/>
      <w:lvlText w:val="%7．"/>
      <w:lvlJc w:val="left"/>
      <w:pPr>
        <w:ind w:left="0" w:firstLine="402"/>
      </w:pPr>
      <w:rPr>
        <w:rFonts w:hint="eastAsia"/>
      </w:rPr>
    </w:lvl>
    <w:lvl w:ilvl="7" w:tentative="0">
      <w:start w:val="1"/>
      <w:numFmt w:val="lowerLetter"/>
      <w:suff w:val="nothing"/>
      <w:lvlText w:val="%8）"/>
      <w:lvlJc w:val="left"/>
      <w:pPr>
        <w:ind w:left="0" w:firstLine="402"/>
      </w:pPr>
      <w:rPr>
        <w:rFonts w:hint="eastAsia"/>
      </w:rPr>
    </w:lvl>
    <w:lvl w:ilvl="8" w:tentative="0">
      <w:start w:val="1"/>
      <w:numFmt w:val="lowerRoman"/>
      <w:suff w:val="nothing"/>
      <w:lvlText w:val="%9 "/>
      <w:lvlJc w:val="left"/>
      <w:pPr>
        <w:ind w:left="0" w:firstLine="402"/>
      </w:pPr>
      <w:rPr>
        <w:rFonts w:hint="eastAsia"/>
      </w:rPr>
    </w:lvl>
  </w:abstractNum>
  <w:abstractNum w:abstractNumId="59">
    <w:nsid w:val="1564C2E0"/>
    <w:multiLevelType w:val="singleLevel"/>
    <w:tmpl w:val="1564C2E0"/>
    <w:lvl w:ilvl="0" w:tentative="0">
      <w:start w:val="1"/>
      <w:numFmt w:val="decimal"/>
      <w:lvlText w:val="%1."/>
      <w:lvlJc w:val="left"/>
      <w:pPr>
        <w:tabs>
          <w:tab w:val="left" w:pos="312"/>
        </w:tabs>
      </w:pPr>
    </w:lvl>
  </w:abstractNum>
  <w:abstractNum w:abstractNumId="60">
    <w:nsid w:val="182358D5"/>
    <w:multiLevelType w:val="singleLevel"/>
    <w:tmpl w:val="182358D5"/>
    <w:lvl w:ilvl="0" w:tentative="0">
      <w:start w:val="1"/>
      <w:numFmt w:val="decimal"/>
      <w:suff w:val="nothing"/>
      <w:lvlText w:val="（%1）"/>
      <w:lvlJc w:val="left"/>
    </w:lvl>
  </w:abstractNum>
  <w:abstractNum w:abstractNumId="61">
    <w:nsid w:val="19697814"/>
    <w:multiLevelType w:val="multilevel"/>
    <w:tmpl w:val="19697814"/>
    <w:lvl w:ilvl="0" w:tentative="0">
      <w:start w:val="1"/>
      <w:numFmt w:val="chineseCounting"/>
      <w:suff w:val="nothing"/>
      <w:lvlText w:val="%1、"/>
      <w:lvlJc w:val="left"/>
      <w:pPr>
        <w:ind w:left="0" w:firstLine="0"/>
      </w:pPr>
      <w:rPr>
        <w:rFonts w:hint="eastAsia"/>
      </w:rPr>
    </w:lvl>
    <w:lvl w:ilvl="1" w:tentative="0">
      <w:start w:val="1"/>
      <w:numFmt w:val="chineseCountingThousand"/>
      <w:lvlText w:val="%2、"/>
      <w:lvlJc w:val="left"/>
      <w:pPr>
        <w:ind w:left="0" w:firstLine="0"/>
      </w:pPr>
      <w:rPr>
        <w:rFonts w:hint="eastAsia"/>
      </w:rPr>
    </w:lvl>
    <w:lvl w:ilvl="2" w:tentative="0">
      <w:start w:val="1"/>
      <w:numFmt w:val="chineseCountingThousand"/>
      <w:lvlText w:val="(%3)"/>
      <w:lvlJc w:val="left"/>
      <w:pPr>
        <w:ind w:left="0" w:firstLine="400"/>
      </w:pPr>
      <w:rPr>
        <w:rFonts w:hint="eastAsia"/>
      </w:rPr>
    </w:lvl>
    <w:lvl w:ilvl="3" w:tentative="0">
      <w:start w:val="1"/>
      <w:numFmt w:val="decimal"/>
      <w:lvlText w:val="%4."/>
      <w:lvlJc w:val="left"/>
      <w:pPr>
        <w:ind w:left="-261" w:firstLine="402"/>
      </w:pPr>
      <w:rPr>
        <w:rFonts w:hint="eastAsia"/>
      </w:rPr>
    </w:lvl>
    <w:lvl w:ilvl="4" w:tentative="0">
      <w:start w:val="1"/>
      <w:numFmt w:val="decimalEnclosedCircleChinese"/>
      <w:suff w:val="nothing"/>
      <w:lvlText w:val="%5"/>
      <w:lvlJc w:val="left"/>
      <w:pPr>
        <w:ind w:left="0" w:firstLine="402"/>
      </w:pPr>
      <w:rPr>
        <w:rFonts w:hint="eastAsia"/>
      </w:rPr>
    </w:lvl>
    <w:lvl w:ilvl="5" w:tentative="0">
      <w:start w:val="1"/>
      <w:numFmt w:val="decimal"/>
      <w:suff w:val="nothing"/>
      <w:lvlText w:val="%6）"/>
      <w:lvlJc w:val="left"/>
      <w:pPr>
        <w:ind w:left="0" w:firstLine="402"/>
      </w:pPr>
      <w:rPr>
        <w:rFonts w:hint="eastAsia"/>
      </w:rPr>
    </w:lvl>
    <w:lvl w:ilvl="6" w:tentative="0">
      <w:start w:val="1"/>
      <w:numFmt w:val="lowerLetter"/>
      <w:suff w:val="nothing"/>
      <w:lvlText w:val="%7．"/>
      <w:lvlJc w:val="left"/>
      <w:pPr>
        <w:ind w:left="0" w:firstLine="402"/>
      </w:pPr>
      <w:rPr>
        <w:rFonts w:hint="eastAsia"/>
      </w:rPr>
    </w:lvl>
    <w:lvl w:ilvl="7" w:tentative="0">
      <w:start w:val="1"/>
      <w:numFmt w:val="lowerLetter"/>
      <w:suff w:val="nothing"/>
      <w:lvlText w:val="%8）"/>
      <w:lvlJc w:val="left"/>
      <w:pPr>
        <w:ind w:left="0" w:firstLine="402"/>
      </w:pPr>
      <w:rPr>
        <w:rFonts w:hint="eastAsia"/>
      </w:rPr>
    </w:lvl>
    <w:lvl w:ilvl="8" w:tentative="0">
      <w:start w:val="1"/>
      <w:numFmt w:val="lowerRoman"/>
      <w:suff w:val="nothing"/>
      <w:lvlText w:val="%9 "/>
      <w:lvlJc w:val="left"/>
      <w:pPr>
        <w:ind w:left="0" w:firstLine="402"/>
      </w:pPr>
      <w:rPr>
        <w:rFonts w:hint="eastAsia"/>
      </w:rPr>
    </w:lvl>
  </w:abstractNum>
  <w:abstractNum w:abstractNumId="62">
    <w:nsid w:val="1B7E3364"/>
    <w:multiLevelType w:val="singleLevel"/>
    <w:tmpl w:val="1B7E3364"/>
    <w:lvl w:ilvl="0" w:tentative="0">
      <w:start w:val="1"/>
      <w:numFmt w:val="decimal"/>
      <w:lvlText w:val="（%1）"/>
      <w:lvlJc w:val="left"/>
      <w:pPr>
        <w:ind w:left="420" w:hanging="420"/>
      </w:pPr>
      <w:rPr>
        <w:rFonts w:hint="eastAsia"/>
      </w:rPr>
    </w:lvl>
  </w:abstractNum>
  <w:abstractNum w:abstractNumId="63">
    <w:nsid w:val="1BE2FD4D"/>
    <w:multiLevelType w:val="singleLevel"/>
    <w:tmpl w:val="1BE2FD4D"/>
    <w:lvl w:ilvl="0" w:tentative="0">
      <w:start w:val="1"/>
      <w:numFmt w:val="decimal"/>
      <w:lvlText w:val="%1)"/>
      <w:lvlJc w:val="left"/>
      <w:pPr>
        <w:ind w:left="425" w:hanging="425"/>
      </w:pPr>
      <w:rPr>
        <w:rFonts w:hint="default"/>
      </w:rPr>
    </w:lvl>
  </w:abstractNum>
  <w:abstractNum w:abstractNumId="64">
    <w:nsid w:val="1C215CFF"/>
    <w:multiLevelType w:val="singleLevel"/>
    <w:tmpl w:val="1C215CFF"/>
    <w:lvl w:ilvl="0" w:tentative="0">
      <w:start w:val="1"/>
      <w:numFmt w:val="decimal"/>
      <w:lvlText w:val="（%1）"/>
      <w:lvlJc w:val="left"/>
      <w:pPr>
        <w:ind w:left="420" w:hanging="420"/>
      </w:pPr>
      <w:rPr>
        <w:rFonts w:hint="eastAsia"/>
      </w:rPr>
    </w:lvl>
  </w:abstractNum>
  <w:abstractNum w:abstractNumId="65">
    <w:nsid w:val="214C0427"/>
    <w:multiLevelType w:val="singleLevel"/>
    <w:tmpl w:val="214C0427"/>
    <w:lvl w:ilvl="0" w:tentative="0">
      <w:start w:val="1"/>
      <w:numFmt w:val="decimal"/>
      <w:lvlText w:val="（%1）"/>
      <w:lvlJc w:val="left"/>
      <w:pPr>
        <w:ind w:left="420" w:hanging="420"/>
      </w:pPr>
      <w:rPr>
        <w:rFonts w:hint="eastAsia"/>
      </w:rPr>
    </w:lvl>
  </w:abstractNum>
  <w:abstractNum w:abstractNumId="66">
    <w:nsid w:val="274352BD"/>
    <w:multiLevelType w:val="singleLevel"/>
    <w:tmpl w:val="274352BD"/>
    <w:lvl w:ilvl="0" w:tentative="0">
      <w:start w:val="1"/>
      <w:numFmt w:val="decimal"/>
      <w:lvlText w:val="（%1）"/>
      <w:lvlJc w:val="left"/>
      <w:pPr>
        <w:ind w:left="420" w:hanging="420"/>
      </w:pPr>
      <w:rPr>
        <w:rFonts w:hint="eastAsia"/>
      </w:rPr>
    </w:lvl>
  </w:abstractNum>
  <w:abstractNum w:abstractNumId="67">
    <w:nsid w:val="2D842EE8"/>
    <w:multiLevelType w:val="singleLevel"/>
    <w:tmpl w:val="2D842EE8"/>
    <w:lvl w:ilvl="0" w:tentative="0">
      <w:start w:val="1"/>
      <w:numFmt w:val="decimal"/>
      <w:lvlText w:val="（%1）"/>
      <w:lvlJc w:val="left"/>
      <w:pPr>
        <w:ind w:left="420" w:hanging="420"/>
      </w:pPr>
      <w:rPr>
        <w:rFonts w:hint="eastAsia"/>
      </w:rPr>
    </w:lvl>
  </w:abstractNum>
  <w:abstractNum w:abstractNumId="68">
    <w:nsid w:val="2ECF3531"/>
    <w:multiLevelType w:val="singleLevel"/>
    <w:tmpl w:val="2ECF3531"/>
    <w:lvl w:ilvl="0" w:tentative="0">
      <w:start w:val="1"/>
      <w:numFmt w:val="decimal"/>
      <w:suff w:val="nothing"/>
      <w:lvlText w:val="（%1）"/>
      <w:lvlJc w:val="left"/>
    </w:lvl>
  </w:abstractNum>
  <w:abstractNum w:abstractNumId="69">
    <w:nsid w:val="2F8798C8"/>
    <w:multiLevelType w:val="singleLevel"/>
    <w:tmpl w:val="2F8798C8"/>
    <w:lvl w:ilvl="0" w:tentative="0">
      <w:start w:val="1"/>
      <w:numFmt w:val="decimal"/>
      <w:lvlText w:val="%1)"/>
      <w:lvlJc w:val="left"/>
      <w:pPr>
        <w:ind w:left="425" w:hanging="425"/>
      </w:pPr>
      <w:rPr>
        <w:rFonts w:hint="default"/>
      </w:rPr>
    </w:lvl>
  </w:abstractNum>
  <w:abstractNum w:abstractNumId="70">
    <w:nsid w:val="30E06C36"/>
    <w:multiLevelType w:val="singleLevel"/>
    <w:tmpl w:val="30E06C36"/>
    <w:lvl w:ilvl="0" w:tentative="0">
      <w:start w:val="1"/>
      <w:numFmt w:val="decimal"/>
      <w:suff w:val="space"/>
      <w:lvlText w:val="%1."/>
      <w:lvlJc w:val="left"/>
    </w:lvl>
  </w:abstractNum>
  <w:abstractNum w:abstractNumId="71">
    <w:nsid w:val="32A51FFE"/>
    <w:multiLevelType w:val="multilevel"/>
    <w:tmpl w:val="32A51FFE"/>
    <w:lvl w:ilvl="0" w:tentative="0">
      <w:start w:val="1"/>
      <w:numFmt w:val="decimalEnclosedCircle"/>
      <w:lvlText w:val="%1"/>
      <w:lvlJc w:val="left"/>
      <w:pPr>
        <w:ind w:left="420" w:hanging="420"/>
      </w:pPr>
      <w:rPr>
        <w:rFonts w:hint="default" w:ascii="宋体" w:hAnsi="宋体" w:cs="Times New Roman"/>
        <w:color w:val="000000"/>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2">
    <w:nsid w:val="32D852B5"/>
    <w:multiLevelType w:val="singleLevel"/>
    <w:tmpl w:val="32D852B5"/>
    <w:lvl w:ilvl="0" w:tentative="0">
      <w:start w:val="1"/>
      <w:numFmt w:val="decimal"/>
      <w:lvlText w:val="（%1）"/>
      <w:lvlJc w:val="left"/>
      <w:pPr>
        <w:ind w:left="420" w:hanging="420"/>
      </w:pPr>
      <w:rPr>
        <w:rFonts w:hint="eastAsia"/>
      </w:rPr>
    </w:lvl>
  </w:abstractNum>
  <w:abstractNum w:abstractNumId="73">
    <w:nsid w:val="368B2BEA"/>
    <w:multiLevelType w:val="singleLevel"/>
    <w:tmpl w:val="368B2BEA"/>
    <w:lvl w:ilvl="0" w:tentative="0">
      <w:start w:val="1"/>
      <w:numFmt w:val="decimal"/>
      <w:lvlText w:val="%1)"/>
      <w:lvlJc w:val="left"/>
      <w:pPr>
        <w:ind w:left="425" w:hanging="425"/>
      </w:pPr>
      <w:rPr>
        <w:rFonts w:hint="default"/>
      </w:rPr>
    </w:lvl>
  </w:abstractNum>
  <w:abstractNum w:abstractNumId="74">
    <w:nsid w:val="37C84E16"/>
    <w:multiLevelType w:val="singleLevel"/>
    <w:tmpl w:val="37C84E16"/>
    <w:lvl w:ilvl="0" w:tentative="0">
      <w:start w:val="1"/>
      <w:numFmt w:val="decimal"/>
      <w:lvlText w:val="%1)"/>
      <w:lvlJc w:val="left"/>
      <w:pPr>
        <w:ind w:left="425" w:hanging="425"/>
      </w:pPr>
      <w:rPr>
        <w:rFonts w:hint="default"/>
      </w:rPr>
    </w:lvl>
  </w:abstractNum>
  <w:abstractNum w:abstractNumId="75">
    <w:nsid w:val="398E4E09"/>
    <w:multiLevelType w:val="multilevel"/>
    <w:tmpl w:val="398E4E09"/>
    <w:lvl w:ilvl="0" w:tentative="0">
      <w:start w:val="1"/>
      <w:numFmt w:val="chineseCounting"/>
      <w:suff w:val="nothing"/>
      <w:lvlText w:val="%1、"/>
      <w:lvlJc w:val="left"/>
      <w:pPr>
        <w:ind w:left="0" w:firstLine="0"/>
      </w:pPr>
      <w:rPr>
        <w:rFonts w:hint="eastAsia"/>
      </w:rPr>
    </w:lvl>
    <w:lvl w:ilvl="1" w:tentative="0">
      <w:start w:val="1"/>
      <w:numFmt w:val="chineseCountingThousand"/>
      <w:pStyle w:val="3"/>
      <w:lvlText w:val="%2、"/>
      <w:lvlJc w:val="left"/>
      <w:pPr>
        <w:ind w:left="0" w:firstLine="0"/>
      </w:pPr>
      <w:rPr>
        <w:rFonts w:hint="eastAsia"/>
      </w:rPr>
    </w:lvl>
    <w:lvl w:ilvl="2" w:tentative="0">
      <w:start w:val="1"/>
      <w:numFmt w:val="decimal"/>
      <w:suff w:val="nothing"/>
      <w:lvlText w:val="%3．"/>
      <w:lvlJc w:val="left"/>
      <w:pPr>
        <w:ind w:left="0" w:firstLine="400"/>
      </w:pPr>
      <w:rPr>
        <w:rFonts w:hint="eastAsia"/>
      </w:rPr>
    </w:lvl>
    <w:lvl w:ilvl="3" w:tentative="0">
      <w:start w:val="1"/>
      <w:numFmt w:val="decimal"/>
      <w:suff w:val="nothing"/>
      <w:lvlText w:val="（%4）"/>
      <w:lvlJc w:val="left"/>
      <w:pPr>
        <w:ind w:left="-261" w:firstLine="402"/>
      </w:pPr>
      <w:rPr>
        <w:rFonts w:hint="eastAsia"/>
      </w:rPr>
    </w:lvl>
    <w:lvl w:ilvl="4" w:tentative="0">
      <w:start w:val="1"/>
      <w:numFmt w:val="decimalEnclosedCircleChinese"/>
      <w:suff w:val="nothing"/>
      <w:lvlText w:val="%5"/>
      <w:lvlJc w:val="left"/>
      <w:pPr>
        <w:ind w:left="0" w:firstLine="402"/>
      </w:pPr>
      <w:rPr>
        <w:rFonts w:hint="eastAsia"/>
      </w:rPr>
    </w:lvl>
    <w:lvl w:ilvl="5" w:tentative="0">
      <w:start w:val="1"/>
      <w:numFmt w:val="decimal"/>
      <w:suff w:val="nothing"/>
      <w:lvlText w:val="%6）"/>
      <w:lvlJc w:val="left"/>
      <w:pPr>
        <w:ind w:left="0" w:firstLine="402"/>
      </w:pPr>
      <w:rPr>
        <w:rFonts w:hint="eastAsia"/>
      </w:rPr>
    </w:lvl>
    <w:lvl w:ilvl="6" w:tentative="0">
      <w:start w:val="1"/>
      <w:numFmt w:val="lowerLetter"/>
      <w:suff w:val="nothing"/>
      <w:lvlText w:val="%7．"/>
      <w:lvlJc w:val="left"/>
      <w:pPr>
        <w:ind w:left="0" w:firstLine="402"/>
      </w:pPr>
      <w:rPr>
        <w:rFonts w:hint="eastAsia"/>
      </w:rPr>
    </w:lvl>
    <w:lvl w:ilvl="7" w:tentative="0">
      <w:start w:val="1"/>
      <w:numFmt w:val="lowerLetter"/>
      <w:suff w:val="nothing"/>
      <w:lvlText w:val="%8）"/>
      <w:lvlJc w:val="left"/>
      <w:pPr>
        <w:ind w:left="0" w:firstLine="402"/>
      </w:pPr>
      <w:rPr>
        <w:rFonts w:hint="eastAsia"/>
      </w:rPr>
    </w:lvl>
    <w:lvl w:ilvl="8" w:tentative="0">
      <w:start w:val="1"/>
      <w:numFmt w:val="lowerRoman"/>
      <w:suff w:val="nothing"/>
      <w:lvlText w:val="%9 "/>
      <w:lvlJc w:val="left"/>
      <w:pPr>
        <w:ind w:left="0" w:firstLine="402"/>
      </w:pPr>
      <w:rPr>
        <w:rFonts w:hint="eastAsia"/>
      </w:rPr>
    </w:lvl>
  </w:abstractNum>
  <w:abstractNum w:abstractNumId="76">
    <w:nsid w:val="3B364C1B"/>
    <w:multiLevelType w:val="multilevel"/>
    <w:tmpl w:val="3B364C1B"/>
    <w:lvl w:ilvl="0" w:tentative="0">
      <w:start w:val="1"/>
      <w:numFmt w:val="chineseCounting"/>
      <w:suff w:val="nothing"/>
      <w:lvlText w:val="%1、"/>
      <w:lvlJc w:val="left"/>
      <w:pPr>
        <w:ind w:left="0" w:firstLine="0"/>
      </w:pPr>
      <w:rPr>
        <w:rFonts w:hint="eastAsia"/>
      </w:rPr>
    </w:lvl>
    <w:lvl w:ilvl="1" w:tentative="0">
      <w:start w:val="1"/>
      <w:numFmt w:val="chineseCountingThousand"/>
      <w:lvlText w:val="%2、"/>
      <w:lvlJc w:val="left"/>
      <w:pPr>
        <w:ind w:left="0" w:firstLine="0"/>
      </w:pPr>
      <w:rPr>
        <w:rFonts w:hint="eastAsia"/>
      </w:rPr>
    </w:lvl>
    <w:lvl w:ilvl="2" w:tentative="0">
      <w:start w:val="1"/>
      <w:numFmt w:val="chineseCountingThousand"/>
      <w:lvlText w:val="(%3)"/>
      <w:lvlJc w:val="left"/>
      <w:pPr>
        <w:ind w:left="0" w:firstLine="400"/>
      </w:pPr>
      <w:rPr>
        <w:rFonts w:hint="eastAsia"/>
      </w:rPr>
    </w:lvl>
    <w:lvl w:ilvl="3" w:tentative="0">
      <w:start w:val="1"/>
      <w:numFmt w:val="decimal"/>
      <w:lvlText w:val="%4."/>
      <w:lvlJc w:val="left"/>
      <w:pPr>
        <w:ind w:left="-261" w:firstLine="402"/>
      </w:pPr>
      <w:rPr>
        <w:rFonts w:hint="eastAsia"/>
      </w:rPr>
    </w:lvl>
    <w:lvl w:ilvl="4" w:tentative="0">
      <w:start w:val="1"/>
      <w:numFmt w:val="decimalEnclosedCircleChinese"/>
      <w:suff w:val="nothing"/>
      <w:lvlText w:val="%5"/>
      <w:lvlJc w:val="left"/>
      <w:pPr>
        <w:ind w:left="0" w:firstLine="402"/>
      </w:pPr>
      <w:rPr>
        <w:rFonts w:hint="eastAsia"/>
      </w:rPr>
    </w:lvl>
    <w:lvl w:ilvl="5" w:tentative="0">
      <w:start w:val="1"/>
      <w:numFmt w:val="decimal"/>
      <w:suff w:val="nothing"/>
      <w:lvlText w:val="%6）"/>
      <w:lvlJc w:val="left"/>
      <w:pPr>
        <w:ind w:left="0" w:firstLine="402"/>
      </w:pPr>
      <w:rPr>
        <w:rFonts w:hint="eastAsia"/>
      </w:rPr>
    </w:lvl>
    <w:lvl w:ilvl="6" w:tentative="0">
      <w:start w:val="1"/>
      <w:numFmt w:val="lowerLetter"/>
      <w:suff w:val="nothing"/>
      <w:lvlText w:val="%7．"/>
      <w:lvlJc w:val="left"/>
      <w:pPr>
        <w:ind w:left="0" w:firstLine="402"/>
      </w:pPr>
      <w:rPr>
        <w:rFonts w:hint="eastAsia"/>
      </w:rPr>
    </w:lvl>
    <w:lvl w:ilvl="7" w:tentative="0">
      <w:start w:val="1"/>
      <w:numFmt w:val="lowerLetter"/>
      <w:suff w:val="nothing"/>
      <w:lvlText w:val="%8）"/>
      <w:lvlJc w:val="left"/>
      <w:pPr>
        <w:ind w:left="0" w:firstLine="402"/>
      </w:pPr>
      <w:rPr>
        <w:rFonts w:hint="eastAsia"/>
      </w:rPr>
    </w:lvl>
    <w:lvl w:ilvl="8" w:tentative="0">
      <w:start w:val="1"/>
      <w:numFmt w:val="lowerRoman"/>
      <w:suff w:val="nothing"/>
      <w:lvlText w:val="%9 "/>
      <w:lvlJc w:val="left"/>
      <w:pPr>
        <w:ind w:left="0" w:firstLine="402"/>
      </w:pPr>
      <w:rPr>
        <w:rFonts w:hint="eastAsia"/>
      </w:rPr>
    </w:lvl>
  </w:abstractNum>
  <w:abstractNum w:abstractNumId="77">
    <w:nsid w:val="3E9A3993"/>
    <w:multiLevelType w:val="singleLevel"/>
    <w:tmpl w:val="3E9A3993"/>
    <w:lvl w:ilvl="0" w:tentative="0">
      <w:start w:val="1"/>
      <w:numFmt w:val="decimal"/>
      <w:lvlText w:val="%1."/>
      <w:lvlJc w:val="left"/>
      <w:pPr>
        <w:tabs>
          <w:tab w:val="left" w:pos="312"/>
        </w:tabs>
      </w:pPr>
    </w:lvl>
  </w:abstractNum>
  <w:abstractNum w:abstractNumId="78">
    <w:nsid w:val="3EB48630"/>
    <w:multiLevelType w:val="singleLevel"/>
    <w:tmpl w:val="3EB48630"/>
    <w:lvl w:ilvl="0" w:tentative="0">
      <w:start w:val="1"/>
      <w:numFmt w:val="decimal"/>
      <w:lvlText w:val="%1)"/>
      <w:lvlJc w:val="left"/>
      <w:pPr>
        <w:ind w:left="425" w:hanging="425"/>
      </w:pPr>
      <w:rPr>
        <w:rFonts w:hint="default"/>
      </w:rPr>
    </w:lvl>
  </w:abstractNum>
  <w:abstractNum w:abstractNumId="79">
    <w:nsid w:val="422308AC"/>
    <w:multiLevelType w:val="singleLevel"/>
    <w:tmpl w:val="422308AC"/>
    <w:lvl w:ilvl="0" w:tentative="0">
      <w:start w:val="1"/>
      <w:numFmt w:val="decimal"/>
      <w:lvlText w:val="%1)"/>
      <w:lvlJc w:val="left"/>
      <w:pPr>
        <w:ind w:left="425" w:hanging="425"/>
      </w:pPr>
      <w:rPr>
        <w:rFonts w:hint="default"/>
      </w:rPr>
    </w:lvl>
  </w:abstractNum>
  <w:abstractNum w:abstractNumId="80">
    <w:nsid w:val="4706215B"/>
    <w:multiLevelType w:val="multilevel"/>
    <w:tmpl w:val="4706215B"/>
    <w:lvl w:ilvl="0" w:tentative="0">
      <w:start w:val="1"/>
      <w:numFmt w:val="chineseCounting"/>
      <w:suff w:val="nothing"/>
      <w:lvlText w:val="%1、"/>
      <w:lvlJc w:val="left"/>
      <w:pPr>
        <w:ind w:left="0" w:firstLine="0"/>
      </w:pPr>
      <w:rPr>
        <w:rFonts w:hint="eastAsia"/>
        <w:lang w:val="en-US"/>
      </w:rPr>
    </w:lvl>
    <w:lvl w:ilvl="1" w:tentative="0">
      <w:start w:val="1"/>
      <w:numFmt w:val="chineseCountingThousand"/>
      <w:lvlText w:val="%2、"/>
      <w:lvlJc w:val="left"/>
      <w:pPr>
        <w:ind w:left="0" w:firstLine="0"/>
      </w:pPr>
      <w:rPr>
        <w:rFonts w:hint="eastAsia"/>
      </w:rPr>
    </w:lvl>
    <w:lvl w:ilvl="2" w:tentative="0">
      <w:start w:val="1"/>
      <w:numFmt w:val="chineseCountingThousand"/>
      <w:lvlText w:val="(%3)"/>
      <w:lvlJc w:val="left"/>
      <w:pPr>
        <w:ind w:left="0" w:firstLine="400"/>
      </w:pPr>
      <w:rPr>
        <w:rFonts w:hint="eastAsia"/>
      </w:rPr>
    </w:lvl>
    <w:lvl w:ilvl="3" w:tentative="0">
      <w:start w:val="1"/>
      <w:numFmt w:val="decimal"/>
      <w:suff w:val="nothing"/>
      <w:lvlText w:val="（%4）"/>
      <w:lvlJc w:val="left"/>
      <w:pPr>
        <w:ind w:left="-261" w:firstLine="402"/>
      </w:pPr>
      <w:rPr>
        <w:rFonts w:hint="eastAsia"/>
      </w:rPr>
    </w:lvl>
    <w:lvl w:ilvl="4" w:tentative="0">
      <w:start w:val="1"/>
      <w:numFmt w:val="decimalEnclosedCircleChinese"/>
      <w:suff w:val="nothing"/>
      <w:lvlText w:val="%5"/>
      <w:lvlJc w:val="left"/>
      <w:pPr>
        <w:ind w:left="0" w:firstLine="402"/>
      </w:pPr>
      <w:rPr>
        <w:rFonts w:hint="eastAsia"/>
      </w:rPr>
    </w:lvl>
    <w:lvl w:ilvl="5" w:tentative="0">
      <w:start w:val="1"/>
      <w:numFmt w:val="decimal"/>
      <w:suff w:val="nothing"/>
      <w:lvlText w:val="%6）"/>
      <w:lvlJc w:val="left"/>
      <w:pPr>
        <w:ind w:left="0" w:firstLine="402"/>
      </w:pPr>
      <w:rPr>
        <w:rFonts w:hint="eastAsia"/>
      </w:rPr>
    </w:lvl>
    <w:lvl w:ilvl="6" w:tentative="0">
      <w:start w:val="1"/>
      <w:numFmt w:val="lowerLetter"/>
      <w:suff w:val="nothing"/>
      <w:lvlText w:val="%7．"/>
      <w:lvlJc w:val="left"/>
      <w:pPr>
        <w:ind w:left="0" w:firstLine="402"/>
      </w:pPr>
      <w:rPr>
        <w:rFonts w:hint="eastAsia"/>
      </w:rPr>
    </w:lvl>
    <w:lvl w:ilvl="7" w:tentative="0">
      <w:start w:val="1"/>
      <w:numFmt w:val="lowerLetter"/>
      <w:suff w:val="nothing"/>
      <w:lvlText w:val="%8）"/>
      <w:lvlJc w:val="left"/>
      <w:pPr>
        <w:ind w:left="0" w:firstLine="402"/>
      </w:pPr>
      <w:rPr>
        <w:rFonts w:hint="eastAsia"/>
      </w:rPr>
    </w:lvl>
    <w:lvl w:ilvl="8" w:tentative="0">
      <w:start w:val="1"/>
      <w:numFmt w:val="lowerRoman"/>
      <w:suff w:val="nothing"/>
      <w:lvlText w:val="%9 "/>
      <w:lvlJc w:val="left"/>
      <w:pPr>
        <w:ind w:left="0" w:firstLine="402"/>
      </w:pPr>
      <w:rPr>
        <w:rFonts w:hint="eastAsia"/>
      </w:rPr>
    </w:lvl>
  </w:abstractNum>
  <w:abstractNum w:abstractNumId="81">
    <w:nsid w:val="4847C5AF"/>
    <w:multiLevelType w:val="singleLevel"/>
    <w:tmpl w:val="4847C5AF"/>
    <w:lvl w:ilvl="0" w:tentative="0">
      <w:start w:val="1"/>
      <w:numFmt w:val="decimal"/>
      <w:lvlText w:val="%1)"/>
      <w:lvlJc w:val="left"/>
      <w:pPr>
        <w:ind w:left="425" w:hanging="425"/>
      </w:pPr>
      <w:rPr>
        <w:rFonts w:hint="default"/>
      </w:rPr>
    </w:lvl>
  </w:abstractNum>
  <w:abstractNum w:abstractNumId="82">
    <w:nsid w:val="4B0117E7"/>
    <w:multiLevelType w:val="singleLevel"/>
    <w:tmpl w:val="4B0117E7"/>
    <w:lvl w:ilvl="0" w:tentative="0">
      <w:start w:val="1"/>
      <w:numFmt w:val="decimal"/>
      <w:lvlText w:val="（%1）"/>
      <w:lvlJc w:val="left"/>
      <w:pPr>
        <w:ind w:left="420" w:hanging="420"/>
      </w:pPr>
      <w:rPr>
        <w:rFonts w:hint="eastAsia"/>
      </w:rPr>
    </w:lvl>
  </w:abstractNum>
  <w:abstractNum w:abstractNumId="83">
    <w:nsid w:val="54B14B0C"/>
    <w:multiLevelType w:val="multilevel"/>
    <w:tmpl w:val="54B14B0C"/>
    <w:lvl w:ilvl="0" w:tentative="0">
      <w:start w:val="1"/>
      <w:numFmt w:val="chineseCounting"/>
      <w:suff w:val="nothing"/>
      <w:lvlText w:val="%1、"/>
      <w:lvlJc w:val="left"/>
      <w:pPr>
        <w:ind w:left="0" w:firstLine="0"/>
      </w:pPr>
      <w:rPr>
        <w:rFonts w:hint="eastAsia"/>
      </w:rPr>
    </w:lvl>
    <w:lvl w:ilvl="1" w:tentative="0">
      <w:start w:val="1"/>
      <w:numFmt w:val="chineseCountingThousand"/>
      <w:lvlText w:val="%2、"/>
      <w:lvlJc w:val="left"/>
      <w:pPr>
        <w:ind w:left="0" w:firstLine="0"/>
      </w:pPr>
      <w:rPr>
        <w:rFonts w:hint="eastAsia"/>
      </w:rPr>
    </w:lvl>
    <w:lvl w:ilvl="2" w:tentative="0">
      <w:start w:val="1"/>
      <w:numFmt w:val="chineseCountingThousand"/>
      <w:lvlText w:val="(%3)"/>
      <w:lvlJc w:val="left"/>
      <w:pPr>
        <w:ind w:left="0" w:firstLine="400"/>
      </w:pPr>
      <w:rPr>
        <w:rFonts w:hint="eastAsia"/>
      </w:rPr>
    </w:lvl>
    <w:lvl w:ilvl="3" w:tentative="0">
      <w:start w:val="1"/>
      <w:numFmt w:val="decimal"/>
      <w:lvlText w:val="%4."/>
      <w:lvlJc w:val="left"/>
      <w:pPr>
        <w:ind w:left="-260" w:firstLine="402"/>
      </w:pPr>
      <w:rPr>
        <w:rFonts w:hint="eastAsia"/>
      </w:rPr>
    </w:lvl>
    <w:lvl w:ilvl="4" w:tentative="0">
      <w:start w:val="1"/>
      <w:numFmt w:val="decimalEnclosedCircleChinese"/>
      <w:suff w:val="nothing"/>
      <w:lvlText w:val="%5"/>
      <w:lvlJc w:val="left"/>
      <w:pPr>
        <w:ind w:left="0" w:firstLine="402"/>
      </w:pPr>
      <w:rPr>
        <w:rFonts w:hint="eastAsia"/>
      </w:rPr>
    </w:lvl>
    <w:lvl w:ilvl="5" w:tentative="0">
      <w:start w:val="1"/>
      <w:numFmt w:val="decimal"/>
      <w:suff w:val="nothing"/>
      <w:lvlText w:val="%6）"/>
      <w:lvlJc w:val="left"/>
      <w:pPr>
        <w:ind w:left="0" w:firstLine="402"/>
      </w:pPr>
      <w:rPr>
        <w:rFonts w:hint="eastAsia"/>
      </w:rPr>
    </w:lvl>
    <w:lvl w:ilvl="6" w:tentative="0">
      <w:start w:val="1"/>
      <w:numFmt w:val="lowerLetter"/>
      <w:suff w:val="nothing"/>
      <w:lvlText w:val="%7．"/>
      <w:lvlJc w:val="left"/>
      <w:pPr>
        <w:ind w:left="0" w:firstLine="402"/>
      </w:pPr>
      <w:rPr>
        <w:rFonts w:hint="eastAsia"/>
      </w:rPr>
    </w:lvl>
    <w:lvl w:ilvl="7" w:tentative="0">
      <w:start w:val="1"/>
      <w:numFmt w:val="lowerLetter"/>
      <w:suff w:val="nothing"/>
      <w:lvlText w:val="%8）"/>
      <w:lvlJc w:val="left"/>
      <w:pPr>
        <w:ind w:left="0" w:firstLine="402"/>
      </w:pPr>
      <w:rPr>
        <w:rFonts w:hint="eastAsia"/>
      </w:rPr>
    </w:lvl>
    <w:lvl w:ilvl="8" w:tentative="0">
      <w:start w:val="1"/>
      <w:numFmt w:val="lowerRoman"/>
      <w:suff w:val="nothing"/>
      <w:lvlText w:val="%9 "/>
      <w:lvlJc w:val="left"/>
      <w:pPr>
        <w:ind w:left="0" w:firstLine="402"/>
      </w:pPr>
      <w:rPr>
        <w:rFonts w:hint="eastAsia"/>
      </w:rPr>
    </w:lvl>
  </w:abstractNum>
  <w:abstractNum w:abstractNumId="84">
    <w:nsid w:val="5B2EB394"/>
    <w:multiLevelType w:val="singleLevel"/>
    <w:tmpl w:val="5B2EB394"/>
    <w:lvl w:ilvl="0" w:tentative="0">
      <w:start w:val="1"/>
      <w:numFmt w:val="decimal"/>
      <w:lvlText w:val="（%1）"/>
      <w:lvlJc w:val="left"/>
      <w:pPr>
        <w:ind w:left="420" w:hanging="420"/>
      </w:pPr>
      <w:rPr>
        <w:rFonts w:hint="eastAsia"/>
      </w:rPr>
    </w:lvl>
  </w:abstractNum>
  <w:abstractNum w:abstractNumId="85">
    <w:nsid w:val="5F2CFBB3"/>
    <w:multiLevelType w:val="singleLevel"/>
    <w:tmpl w:val="5F2CFBB3"/>
    <w:lvl w:ilvl="0" w:tentative="0">
      <w:start w:val="1"/>
      <w:numFmt w:val="decimal"/>
      <w:suff w:val="nothing"/>
      <w:lvlText w:val="%1）"/>
      <w:lvlJc w:val="left"/>
    </w:lvl>
  </w:abstractNum>
  <w:abstractNum w:abstractNumId="86">
    <w:nsid w:val="669E6572"/>
    <w:multiLevelType w:val="singleLevel"/>
    <w:tmpl w:val="669E6572"/>
    <w:lvl w:ilvl="0" w:tentative="0">
      <w:start w:val="1"/>
      <w:numFmt w:val="decimal"/>
      <w:lvlText w:val="（%1）"/>
      <w:lvlJc w:val="left"/>
      <w:pPr>
        <w:ind w:left="420" w:hanging="420"/>
      </w:pPr>
      <w:rPr>
        <w:rFonts w:hint="eastAsia"/>
      </w:rPr>
    </w:lvl>
  </w:abstractNum>
  <w:abstractNum w:abstractNumId="87">
    <w:nsid w:val="67515FF2"/>
    <w:multiLevelType w:val="singleLevel"/>
    <w:tmpl w:val="67515FF2"/>
    <w:lvl w:ilvl="0" w:tentative="0">
      <w:start w:val="1"/>
      <w:numFmt w:val="decimal"/>
      <w:lvlText w:val="%1)"/>
      <w:lvlJc w:val="left"/>
      <w:pPr>
        <w:ind w:left="425" w:hanging="425"/>
      </w:pPr>
      <w:rPr>
        <w:rFonts w:hint="default"/>
      </w:rPr>
    </w:lvl>
  </w:abstractNum>
  <w:abstractNum w:abstractNumId="88">
    <w:nsid w:val="683AB8C9"/>
    <w:multiLevelType w:val="multilevel"/>
    <w:tmpl w:val="683AB8C9"/>
    <w:lvl w:ilvl="0" w:tentative="0">
      <w:start w:val="1"/>
      <w:numFmt w:val="chineseCounting"/>
      <w:suff w:val="nothing"/>
      <w:lvlText w:val="%1、"/>
      <w:lvlJc w:val="left"/>
      <w:pPr>
        <w:ind w:left="0" w:firstLine="0"/>
      </w:pPr>
      <w:rPr>
        <w:rFonts w:hint="eastAsia"/>
      </w:rPr>
    </w:lvl>
    <w:lvl w:ilvl="1" w:tentative="0">
      <w:start w:val="1"/>
      <w:numFmt w:val="chineseCountingThousand"/>
      <w:lvlText w:val="%2、"/>
      <w:lvlJc w:val="left"/>
      <w:pPr>
        <w:ind w:left="0" w:firstLine="0"/>
      </w:pPr>
      <w:rPr>
        <w:rFonts w:hint="eastAsia"/>
      </w:rPr>
    </w:lvl>
    <w:lvl w:ilvl="2" w:tentative="0">
      <w:start w:val="1"/>
      <w:numFmt w:val="chineseCountingThousand"/>
      <w:lvlText w:val="(%3)"/>
      <w:lvlJc w:val="left"/>
      <w:pPr>
        <w:ind w:left="0" w:firstLine="400"/>
      </w:pPr>
      <w:rPr>
        <w:rFonts w:hint="eastAsia"/>
      </w:rPr>
    </w:lvl>
    <w:lvl w:ilvl="3" w:tentative="0">
      <w:start w:val="1"/>
      <w:numFmt w:val="decimal"/>
      <w:lvlText w:val="%4."/>
      <w:lvlJc w:val="left"/>
      <w:pPr>
        <w:ind w:left="-261" w:firstLine="402"/>
      </w:pPr>
      <w:rPr>
        <w:rFonts w:hint="eastAsia"/>
      </w:rPr>
    </w:lvl>
    <w:lvl w:ilvl="4" w:tentative="0">
      <w:start w:val="1"/>
      <w:numFmt w:val="decimalEnclosedCircleChinese"/>
      <w:suff w:val="nothing"/>
      <w:lvlText w:val="%5"/>
      <w:lvlJc w:val="left"/>
      <w:pPr>
        <w:ind w:left="0" w:firstLine="402"/>
      </w:pPr>
      <w:rPr>
        <w:rFonts w:hint="eastAsia"/>
      </w:rPr>
    </w:lvl>
    <w:lvl w:ilvl="5" w:tentative="0">
      <w:start w:val="1"/>
      <w:numFmt w:val="decimal"/>
      <w:suff w:val="nothing"/>
      <w:lvlText w:val="%6）"/>
      <w:lvlJc w:val="left"/>
      <w:pPr>
        <w:ind w:left="0" w:firstLine="402"/>
      </w:pPr>
      <w:rPr>
        <w:rFonts w:hint="eastAsia"/>
      </w:rPr>
    </w:lvl>
    <w:lvl w:ilvl="6" w:tentative="0">
      <w:start w:val="1"/>
      <w:numFmt w:val="lowerLetter"/>
      <w:suff w:val="nothing"/>
      <w:lvlText w:val="%7．"/>
      <w:lvlJc w:val="left"/>
      <w:pPr>
        <w:ind w:left="0" w:firstLine="402"/>
      </w:pPr>
      <w:rPr>
        <w:rFonts w:hint="eastAsia"/>
      </w:rPr>
    </w:lvl>
    <w:lvl w:ilvl="7" w:tentative="0">
      <w:start w:val="1"/>
      <w:numFmt w:val="lowerLetter"/>
      <w:suff w:val="nothing"/>
      <w:lvlText w:val="%8）"/>
      <w:lvlJc w:val="left"/>
      <w:pPr>
        <w:ind w:left="0" w:firstLine="402"/>
      </w:pPr>
      <w:rPr>
        <w:rFonts w:hint="eastAsia"/>
      </w:rPr>
    </w:lvl>
    <w:lvl w:ilvl="8" w:tentative="0">
      <w:start w:val="1"/>
      <w:numFmt w:val="lowerRoman"/>
      <w:suff w:val="nothing"/>
      <w:lvlText w:val="%9 "/>
      <w:lvlJc w:val="left"/>
      <w:pPr>
        <w:ind w:left="0" w:firstLine="402"/>
      </w:pPr>
      <w:rPr>
        <w:rFonts w:hint="eastAsia"/>
      </w:rPr>
    </w:lvl>
  </w:abstractNum>
  <w:abstractNum w:abstractNumId="89">
    <w:nsid w:val="693E924E"/>
    <w:multiLevelType w:val="singleLevel"/>
    <w:tmpl w:val="693E924E"/>
    <w:lvl w:ilvl="0" w:tentative="0">
      <w:start w:val="1"/>
      <w:numFmt w:val="decimal"/>
      <w:lvlText w:val="（%1）"/>
      <w:lvlJc w:val="left"/>
      <w:pPr>
        <w:ind w:left="420" w:hanging="420"/>
      </w:pPr>
      <w:rPr>
        <w:rFonts w:hint="eastAsia"/>
      </w:rPr>
    </w:lvl>
  </w:abstractNum>
  <w:abstractNum w:abstractNumId="90">
    <w:nsid w:val="6973FF37"/>
    <w:multiLevelType w:val="singleLevel"/>
    <w:tmpl w:val="6973FF37"/>
    <w:lvl w:ilvl="0" w:tentative="0">
      <w:start w:val="1"/>
      <w:numFmt w:val="decimal"/>
      <w:lvlText w:val="（%1）"/>
      <w:lvlJc w:val="left"/>
      <w:pPr>
        <w:ind w:left="420" w:hanging="420"/>
      </w:pPr>
      <w:rPr>
        <w:rFonts w:hint="eastAsia"/>
      </w:rPr>
    </w:lvl>
  </w:abstractNum>
  <w:abstractNum w:abstractNumId="91">
    <w:nsid w:val="6E5A6FB4"/>
    <w:multiLevelType w:val="multilevel"/>
    <w:tmpl w:val="6E5A6FB4"/>
    <w:lvl w:ilvl="0" w:tentative="0">
      <w:start w:val="1"/>
      <w:numFmt w:val="chineseCounting"/>
      <w:suff w:val="nothing"/>
      <w:lvlText w:val="%1、"/>
      <w:lvlJc w:val="left"/>
      <w:pPr>
        <w:ind w:left="0" w:firstLine="0"/>
      </w:pPr>
      <w:rPr>
        <w:rFonts w:hint="eastAsia"/>
      </w:rPr>
    </w:lvl>
    <w:lvl w:ilvl="1" w:tentative="0">
      <w:start w:val="1"/>
      <w:numFmt w:val="chineseCountingThousand"/>
      <w:lvlText w:val="%2、"/>
      <w:lvlJc w:val="left"/>
      <w:pPr>
        <w:ind w:left="0" w:firstLine="0"/>
      </w:pPr>
      <w:rPr>
        <w:rFonts w:hint="eastAsia"/>
      </w:rPr>
    </w:lvl>
    <w:lvl w:ilvl="2" w:tentative="0">
      <w:start w:val="1"/>
      <w:numFmt w:val="chineseCountingThousand"/>
      <w:lvlText w:val="(%3)"/>
      <w:lvlJc w:val="left"/>
      <w:pPr>
        <w:ind w:left="0" w:firstLine="400"/>
      </w:pPr>
      <w:rPr>
        <w:rFonts w:hint="eastAsia"/>
      </w:rPr>
    </w:lvl>
    <w:lvl w:ilvl="3" w:tentative="0">
      <w:start w:val="1"/>
      <w:numFmt w:val="decimal"/>
      <w:lvlText w:val="%4."/>
      <w:lvlJc w:val="left"/>
      <w:pPr>
        <w:ind w:left="-261" w:firstLine="402"/>
      </w:pPr>
      <w:rPr>
        <w:rFonts w:hint="eastAsia"/>
      </w:rPr>
    </w:lvl>
    <w:lvl w:ilvl="4" w:tentative="0">
      <w:start w:val="1"/>
      <w:numFmt w:val="decimalEnclosedCircleChinese"/>
      <w:suff w:val="nothing"/>
      <w:lvlText w:val="%5"/>
      <w:lvlJc w:val="left"/>
      <w:pPr>
        <w:ind w:left="0" w:firstLine="402"/>
      </w:pPr>
      <w:rPr>
        <w:rFonts w:hint="eastAsia"/>
      </w:rPr>
    </w:lvl>
    <w:lvl w:ilvl="5" w:tentative="0">
      <w:start w:val="1"/>
      <w:numFmt w:val="decimal"/>
      <w:suff w:val="nothing"/>
      <w:lvlText w:val="%6）"/>
      <w:lvlJc w:val="left"/>
      <w:pPr>
        <w:ind w:left="0" w:firstLine="402"/>
      </w:pPr>
      <w:rPr>
        <w:rFonts w:hint="eastAsia"/>
      </w:rPr>
    </w:lvl>
    <w:lvl w:ilvl="6" w:tentative="0">
      <w:start w:val="1"/>
      <w:numFmt w:val="lowerLetter"/>
      <w:suff w:val="nothing"/>
      <w:lvlText w:val="%7．"/>
      <w:lvlJc w:val="left"/>
      <w:pPr>
        <w:ind w:left="0" w:firstLine="402"/>
      </w:pPr>
      <w:rPr>
        <w:rFonts w:hint="eastAsia"/>
      </w:rPr>
    </w:lvl>
    <w:lvl w:ilvl="7" w:tentative="0">
      <w:start w:val="1"/>
      <w:numFmt w:val="lowerLetter"/>
      <w:suff w:val="nothing"/>
      <w:lvlText w:val="%8）"/>
      <w:lvlJc w:val="left"/>
      <w:pPr>
        <w:ind w:left="0" w:firstLine="402"/>
      </w:pPr>
      <w:rPr>
        <w:rFonts w:hint="eastAsia"/>
      </w:rPr>
    </w:lvl>
    <w:lvl w:ilvl="8" w:tentative="0">
      <w:start w:val="1"/>
      <w:numFmt w:val="lowerRoman"/>
      <w:suff w:val="nothing"/>
      <w:lvlText w:val="%9 "/>
      <w:lvlJc w:val="left"/>
      <w:pPr>
        <w:ind w:left="0" w:firstLine="402"/>
      </w:pPr>
      <w:rPr>
        <w:rFonts w:hint="eastAsia"/>
      </w:rPr>
    </w:lvl>
  </w:abstractNum>
  <w:abstractNum w:abstractNumId="92">
    <w:nsid w:val="70CF0E88"/>
    <w:multiLevelType w:val="multilevel"/>
    <w:tmpl w:val="70CF0E88"/>
    <w:lvl w:ilvl="0" w:tentative="0">
      <w:start w:val="1"/>
      <w:numFmt w:val="decimalEnclosedCircle"/>
      <w:lvlText w:val="%1"/>
      <w:lvlJc w:val="left"/>
      <w:pPr>
        <w:ind w:left="420" w:hanging="420"/>
      </w:pPr>
      <w:rPr>
        <w:rFonts w:hint="default" w:ascii="宋体" w:hAnsi="宋体" w:cs="Times New Roman"/>
        <w:color w:val="000000"/>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3">
    <w:nsid w:val="72A86AFA"/>
    <w:multiLevelType w:val="singleLevel"/>
    <w:tmpl w:val="72A86AFA"/>
    <w:lvl w:ilvl="0" w:tentative="0">
      <w:start w:val="1"/>
      <w:numFmt w:val="decimal"/>
      <w:lvlText w:val="（%1）"/>
      <w:lvlJc w:val="left"/>
      <w:pPr>
        <w:ind w:left="420" w:hanging="420"/>
      </w:pPr>
      <w:rPr>
        <w:rFonts w:hint="eastAsia"/>
      </w:rPr>
    </w:lvl>
  </w:abstractNum>
  <w:abstractNum w:abstractNumId="94">
    <w:nsid w:val="74ED7BF8"/>
    <w:multiLevelType w:val="singleLevel"/>
    <w:tmpl w:val="74ED7BF8"/>
    <w:lvl w:ilvl="0" w:tentative="0">
      <w:start w:val="1"/>
      <w:numFmt w:val="decimal"/>
      <w:lvlText w:val="（%1）"/>
      <w:lvlJc w:val="left"/>
      <w:pPr>
        <w:ind w:left="420" w:hanging="420"/>
      </w:pPr>
      <w:rPr>
        <w:rFonts w:hint="eastAsia"/>
      </w:rPr>
    </w:lvl>
  </w:abstractNum>
  <w:abstractNum w:abstractNumId="95">
    <w:nsid w:val="75702780"/>
    <w:multiLevelType w:val="multilevel"/>
    <w:tmpl w:val="75702780"/>
    <w:lvl w:ilvl="0" w:tentative="0">
      <w:start w:val="1"/>
      <w:numFmt w:val="chineseCounting"/>
      <w:suff w:val="nothing"/>
      <w:lvlText w:val="%1、"/>
      <w:lvlJc w:val="left"/>
      <w:pPr>
        <w:ind w:left="0" w:firstLine="0"/>
      </w:pPr>
      <w:rPr>
        <w:rFonts w:hint="eastAsia"/>
        <w:lang w:val="en-US"/>
      </w:rPr>
    </w:lvl>
    <w:lvl w:ilvl="1" w:tentative="0">
      <w:start w:val="1"/>
      <w:numFmt w:val="chineseCountingThousand"/>
      <w:lvlText w:val="%2、"/>
      <w:lvlJc w:val="left"/>
      <w:pPr>
        <w:ind w:left="0" w:firstLine="0"/>
      </w:pPr>
      <w:rPr>
        <w:rFonts w:hint="eastAsia"/>
      </w:rPr>
    </w:lvl>
    <w:lvl w:ilvl="2" w:tentative="0">
      <w:start w:val="1"/>
      <w:numFmt w:val="chineseCountingThousand"/>
      <w:lvlText w:val="(%3)"/>
      <w:lvlJc w:val="left"/>
      <w:pPr>
        <w:ind w:left="0" w:firstLine="400"/>
      </w:pPr>
      <w:rPr>
        <w:rFonts w:hint="eastAsia"/>
      </w:rPr>
    </w:lvl>
    <w:lvl w:ilvl="3" w:tentative="0">
      <w:start w:val="1"/>
      <w:numFmt w:val="decimal"/>
      <w:suff w:val="nothing"/>
      <w:lvlText w:val="（%4）"/>
      <w:lvlJc w:val="left"/>
      <w:pPr>
        <w:ind w:left="-261" w:firstLine="402"/>
      </w:pPr>
      <w:rPr>
        <w:rFonts w:hint="eastAsia"/>
      </w:rPr>
    </w:lvl>
    <w:lvl w:ilvl="4" w:tentative="0">
      <w:start w:val="1"/>
      <w:numFmt w:val="decimalEnclosedCircleChinese"/>
      <w:suff w:val="nothing"/>
      <w:lvlText w:val="%5"/>
      <w:lvlJc w:val="left"/>
      <w:pPr>
        <w:ind w:left="0" w:firstLine="402"/>
      </w:pPr>
      <w:rPr>
        <w:rFonts w:hint="eastAsia"/>
      </w:rPr>
    </w:lvl>
    <w:lvl w:ilvl="5" w:tentative="0">
      <w:start w:val="1"/>
      <w:numFmt w:val="decimal"/>
      <w:suff w:val="nothing"/>
      <w:lvlText w:val="%6）"/>
      <w:lvlJc w:val="left"/>
      <w:pPr>
        <w:ind w:left="0" w:firstLine="402"/>
      </w:pPr>
      <w:rPr>
        <w:rFonts w:hint="eastAsia"/>
      </w:rPr>
    </w:lvl>
    <w:lvl w:ilvl="6" w:tentative="0">
      <w:start w:val="1"/>
      <w:numFmt w:val="lowerLetter"/>
      <w:suff w:val="nothing"/>
      <w:lvlText w:val="%7．"/>
      <w:lvlJc w:val="left"/>
      <w:pPr>
        <w:ind w:left="0" w:firstLine="402"/>
      </w:pPr>
      <w:rPr>
        <w:rFonts w:hint="eastAsia"/>
      </w:rPr>
    </w:lvl>
    <w:lvl w:ilvl="7" w:tentative="0">
      <w:start w:val="1"/>
      <w:numFmt w:val="lowerLetter"/>
      <w:suff w:val="nothing"/>
      <w:lvlText w:val="%8）"/>
      <w:lvlJc w:val="left"/>
      <w:pPr>
        <w:ind w:left="0" w:firstLine="402"/>
      </w:pPr>
      <w:rPr>
        <w:rFonts w:hint="eastAsia"/>
      </w:rPr>
    </w:lvl>
    <w:lvl w:ilvl="8" w:tentative="0">
      <w:start w:val="1"/>
      <w:numFmt w:val="lowerRoman"/>
      <w:suff w:val="nothing"/>
      <w:lvlText w:val="%9 "/>
      <w:lvlJc w:val="left"/>
      <w:pPr>
        <w:ind w:left="0" w:firstLine="402"/>
      </w:pPr>
      <w:rPr>
        <w:rFonts w:hint="eastAsia"/>
      </w:rPr>
    </w:lvl>
  </w:abstractNum>
  <w:abstractNum w:abstractNumId="96">
    <w:nsid w:val="762F3722"/>
    <w:multiLevelType w:val="singleLevel"/>
    <w:tmpl w:val="762F3722"/>
    <w:lvl w:ilvl="0" w:tentative="0">
      <w:start w:val="1"/>
      <w:numFmt w:val="decimal"/>
      <w:lvlText w:val="%1)"/>
      <w:lvlJc w:val="left"/>
      <w:pPr>
        <w:ind w:left="425" w:hanging="425"/>
      </w:pPr>
      <w:rPr>
        <w:rFonts w:hint="default"/>
      </w:rPr>
    </w:lvl>
  </w:abstractNum>
  <w:abstractNum w:abstractNumId="97">
    <w:nsid w:val="780F2091"/>
    <w:multiLevelType w:val="multilevel"/>
    <w:tmpl w:val="780F2091"/>
    <w:lvl w:ilvl="0" w:tentative="0">
      <w:start w:val="1"/>
      <w:numFmt w:val="chineseCounting"/>
      <w:suff w:val="nothing"/>
      <w:lvlText w:val="%1、"/>
      <w:lvlJc w:val="left"/>
      <w:pPr>
        <w:ind w:left="0" w:firstLine="0"/>
      </w:pPr>
      <w:rPr>
        <w:rFonts w:hint="eastAsia"/>
        <w:lang w:val="en-US"/>
      </w:rPr>
    </w:lvl>
    <w:lvl w:ilvl="1" w:tentative="0">
      <w:start w:val="1"/>
      <w:numFmt w:val="chineseCountingThousand"/>
      <w:lvlText w:val="%2、"/>
      <w:lvlJc w:val="left"/>
      <w:pPr>
        <w:ind w:left="0" w:firstLine="0"/>
      </w:pPr>
      <w:rPr>
        <w:rFonts w:hint="eastAsia"/>
      </w:rPr>
    </w:lvl>
    <w:lvl w:ilvl="2" w:tentative="0">
      <w:start w:val="1"/>
      <w:numFmt w:val="chineseCountingThousand"/>
      <w:lvlText w:val="(%3)"/>
      <w:lvlJc w:val="left"/>
      <w:pPr>
        <w:ind w:left="0" w:firstLine="400"/>
      </w:pPr>
      <w:rPr>
        <w:rFonts w:hint="eastAsia"/>
      </w:rPr>
    </w:lvl>
    <w:lvl w:ilvl="3" w:tentative="0">
      <w:start w:val="1"/>
      <w:numFmt w:val="decimal"/>
      <w:suff w:val="nothing"/>
      <w:lvlText w:val="（%4）"/>
      <w:lvlJc w:val="left"/>
      <w:pPr>
        <w:ind w:left="-261" w:firstLine="402"/>
      </w:pPr>
      <w:rPr>
        <w:rFonts w:hint="eastAsia"/>
      </w:rPr>
    </w:lvl>
    <w:lvl w:ilvl="4" w:tentative="0">
      <w:start w:val="1"/>
      <w:numFmt w:val="decimalEnclosedCircleChinese"/>
      <w:suff w:val="nothing"/>
      <w:lvlText w:val="%5"/>
      <w:lvlJc w:val="left"/>
      <w:pPr>
        <w:ind w:left="0" w:firstLine="402"/>
      </w:pPr>
      <w:rPr>
        <w:rFonts w:hint="eastAsia"/>
      </w:rPr>
    </w:lvl>
    <w:lvl w:ilvl="5" w:tentative="0">
      <w:start w:val="1"/>
      <w:numFmt w:val="decimal"/>
      <w:suff w:val="nothing"/>
      <w:lvlText w:val="%6）"/>
      <w:lvlJc w:val="left"/>
      <w:pPr>
        <w:ind w:left="0" w:firstLine="402"/>
      </w:pPr>
      <w:rPr>
        <w:rFonts w:hint="eastAsia"/>
      </w:rPr>
    </w:lvl>
    <w:lvl w:ilvl="6" w:tentative="0">
      <w:start w:val="1"/>
      <w:numFmt w:val="lowerLetter"/>
      <w:suff w:val="nothing"/>
      <w:lvlText w:val="%7．"/>
      <w:lvlJc w:val="left"/>
      <w:pPr>
        <w:ind w:left="0" w:firstLine="402"/>
      </w:pPr>
      <w:rPr>
        <w:rFonts w:hint="eastAsia"/>
      </w:rPr>
    </w:lvl>
    <w:lvl w:ilvl="7" w:tentative="0">
      <w:start w:val="1"/>
      <w:numFmt w:val="lowerLetter"/>
      <w:suff w:val="nothing"/>
      <w:lvlText w:val="%8）"/>
      <w:lvlJc w:val="left"/>
      <w:pPr>
        <w:ind w:left="0" w:firstLine="402"/>
      </w:pPr>
      <w:rPr>
        <w:rFonts w:hint="eastAsia"/>
      </w:rPr>
    </w:lvl>
    <w:lvl w:ilvl="8" w:tentative="0">
      <w:start w:val="1"/>
      <w:numFmt w:val="lowerRoman"/>
      <w:suff w:val="nothing"/>
      <w:lvlText w:val="%9 "/>
      <w:lvlJc w:val="left"/>
      <w:pPr>
        <w:ind w:left="0" w:firstLine="402"/>
      </w:pPr>
      <w:rPr>
        <w:rFonts w:hint="eastAsia"/>
      </w:rPr>
    </w:lvl>
  </w:abstractNum>
  <w:abstractNum w:abstractNumId="98">
    <w:nsid w:val="782B9DB3"/>
    <w:multiLevelType w:val="singleLevel"/>
    <w:tmpl w:val="782B9DB3"/>
    <w:lvl w:ilvl="0" w:tentative="0">
      <w:start w:val="1"/>
      <w:numFmt w:val="decimal"/>
      <w:lvlText w:val="（%1）"/>
      <w:lvlJc w:val="left"/>
      <w:pPr>
        <w:ind w:left="420" w:hanging="420"/>
      </w:pPr>
      <w:rPr>
        <w:rFonts w:hint="eastAsia"/>
      </w:rPr>
    </w:lvl>
  </w:abstractNum>
  <w:abstractNum w:abstractNumId="99">
    <w:nsid w:val="79D92EFE"/>
    <w:multiLevelType w:val="singleLevel"/>
    <w:tmpl w:val="79D92EFE"/>
    <w:lvl w:ilvl="0" w:tentative="0">
      <w:start w:val="2"/>
      <w:numFmt w:val="decimal"/>
      <w:lvlText w:val="%1."/>
      <w:lvlJc w:val="left"/>
      <w:pPr>
        <w:tabs>
          <w:tab w:val="left" w:pos="312"/>
        </w:tabs>
      </w:pPr>
    </w:lvl>
  </w:abstractNum>
  <w:abstractNum w:abstractNumId="100">
    <w:nsid w:val="7B447594"/>
    <w:multiLevelType w:val="singleLevel"/>
    <w:tmpl w:val="7B447594"/>
    <w:lvl w:ilvl="0" w:tentative="0">
      <w:start w:val="1"/>
      <w:numFmt w:val="decimal"/>
      <w:suff w:val="nothing"/>
      <w:lvlText w:val="（%1）"/>
      <w:lvlJc w:val="left"/>
    </w:lvl>
  </w:abstractNum>
  <w:abstractNum w:abstractNumId="101">
    <w:nsid w:val="7CB21E61"/>
    <w:multiLevelType w:val="singleLevel"/>
    <w:tmpl w:val="7CB21E61"/>
    <w:lvl w:ilvl="0" w:tentative="0">
      <w:start w:val="1"/>
      <w:numFmt w:val="decimal"/>
      <w:lvlText w:val="%1)"/>
      <w:lvlJc w:val="left"/>
      <w:pPr>
        <w:ind w:left="425" w:hanging="425"/>
      </w:pPr>
      <w:rPr>
        <w:rFonts w:hint="default"/>
      </w:rPr>
    </w:lvl>
  </w:abstractNum>
  <w:abstractNum w:abstractNumId="102">
    <w:nsid w:val="7D531DF1"/>
    <w:multiLevelType w:val="multilevel"/>
    <w:tmpl w:val="7D531DF1"/>
    <w:lvl w:ilvl="0" w:tentative="0">
      <w:start w:val="1"/>
      <w:numFmt w:val="decimalEnclosedCircle"/>
      <w:lvlText w:val="%1"/>
      <w:lvlJc w:val="left"/>
      <w:pPr>
        <w:ind w:left="420" w:hanging="420"/>
      </w:pPr>
      <w:rPr>
        <w:rFonts w:hint="default" w:ascii="宋体" w:hAnsi="宋体" w:cs="Times New Roman"/>
        <w:color w:val="000000"/>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3">
    <w:nsid w:val="7DB0DD86"/>
    <w:multiLevelType w:val="singleLevel"/>
    <w:tmpl w:val="7DB0DD86"/>
    <w:lvl w:ilvl="0" w:tentative="0">
      <w:start w:val="1"/>
      <w:numFmt w:val="decimalEnclosedCircleChinese"/>
      <w:pStyle w:val="7"/>
      <w:suff w:val="nothing"/>
      <w:lvlText w:val="%1　"/>
      <w:lvlJc w:val="left"/>
      <w:pPr>
        <w:ind w:left="0" w:firstLine="400"/>
      </w:pPr>
      <w:rPr>
        <w:rFonts w:hint="eastAsia"/>
      </w:rPr>
    </w:lvl>
  </w:abstractNum>
  <w:abstractNum w:abstractNumId="104">
    <w:nsid w:val="7DE821AF"/>
    <w:multiLevelType w:val="singleLevel"/>
    <w:tmpl w:val="7DE821AF"/>
    <w:lvl w:ilvl="0" w:tentative="0">
      <w:start w:val="3"/>
      <w:numFmt w:val="decimal"/>
      <w:suff w:val="nothing"/>
      <w:lvlText w:val="（%1）"/>
      <w:lvlJc w:val="left"/>
    </w:lvl>
  </w:abstractNum>
  <w:num w:numId="1">
    <w:abstractNumId w:val="75"/>
  </w:num>
  <w:num w:numId="2">
    <w:abstractNumId w:val="103"/>
  </w:num>
  <w:num w:numId="3">
    <w:abstractNumId w:val="95"/>
  </w:num>
  <w:num w:numId="4">
    <w:abstractNumId w:val="97"/>
  </w:num>
  <w:num w:numId="5">
    <w:abstractNumId w:val="31"/>
  </w:num>
  <w:num w:numId="6">
    <w:abstractNumId w:val="80"/>
  </w:num>
  <w:num w:numId="7">
    <w:abstractNumId w:val="50"/>
  </w:num>
  <w:num w:numId="8">
    <w:abstractNumId w:val="48"/>
  </w:num>
  <w:num w:numId="9">
    <w:abstractNumId w:val="60"/>
  </w:num>
  <w:num w:numId="10">
    <w:abstractNumId w:val="28"/>
  </w:num>
  <w:num w:numId="11">
    <w:abstractNumId w:val="99"/>
  </w:num>
  <w:num w:numId="12">
    <w:abstractNumId w:val="29"/>
  </w:num>
  <w:num w:numId="13">
    <w:abstractNumId w:val="104"/>
  </w:num>
  <w:num w:numId="14">
    <w:abstractNumId w:val="27"/>
  </w:num>
  <w:num w:numId="15">
    <w:abstractNumId w:val="103"/>
    <w:lvlOverride w:ilvl="0">
      <w:startOverride w:val="1"/>
    </w:lvlOverride>
  </w:num>
  <w:num w:numId="16">
    <w:abstractNumId w:val="103"/>
    <w:lvlOverride w:ilvl="0">
      <w:startOverride w:val="1"/>
    </w:lvlOverride>
  </w:num>
  <w:num w:numId="17">
    <w:abstractNumId w:val="37"/>
  </w:num>
  <w:num w:numId="18">
    <w:abstractNumId w:val="44"/>
  </w:num>
  <w:num w:numId="19">
    <w:abstractNumId w:val="61"/>
  </w:num>
  <w:num w:numId="20">
    <w:abstractNumId w:val="10"/>
  </w:num>
  <w:num w:numId="21">
    <w:abstractNumId w:val="19"/>
  </w:num>
  <w:num w:numId="22">
    <w:abstractNumId w:val="100"/>
  </w:num>
  <w:num w:numId="23">
    <w:abstractNumId w:val="103"/>
    <w:lvlOverride w:ilvl="0">
      <w:startOverride w:val="1"/>
    </w:lvlOverride>
  </w:num>
  <w:num w:numId="24">
    <w:abstractNumId w:val="103"/>
    <w:lvlOverride w:ilvl="0">
      <w:startOverride w:val="1"/>
    </w:lvlOverride>
  </w:num>
  <w:num w:numId="25">
    <w:abstractNumId w:val="51"/>
  </w:num>
  <w:num w:numId="26">
    <w:abstractNumId w:val="103"/>
    <w:lvlOverride w:ilvl="0">
      <w:startOverride w:val="1"/>
    </w:lvlOverride>
  </w:num>
  <w:num w:numId="27">
    <w:abstractNumId w:val="103"/>
    <w:lvlOverride w:ilvl="0">
      <w:startOverride w:val="1"/>
    </w:lvlOverride>
  </w:num>
  <w:num w:numId="28">
    <w:abstractNumId w:val="103"/>
    <w:lvlOverride w:ilvl="0">
      <w:startOverride w:val="1"/>
    </w:lvlOverride>
  </w:num>
  <w:num w:numId="29">
    <w:abstractNumId w:val="103"/>
    <w:lvlOverride w:ilvl="0">
      <w:startOverride w:val="1"/>
    </w:lvlOverride>
  </w:num>
  <w:num w:numId="30">
    <w:abstractNumId w:val="68"/>
  </w:num>
  <w:num w:numId="31">
    <w:abstractNumId w:val="103"/>
    <w:lvlOverride w:ilvl="0">
      <w:startOverride w:val="1"/>
    </w:lvlOverride>
  </w:num>
  <w:num w:numId="32">
    <w:abstractNumId w:val="103"/>
    <w:lvlOverride w:ilvl="0">
      <w:startOverride w:val="1"/>
    </w:lvlOverride>
  </w:num>
  <w:num w:numId="33">
    <w:abstractNumId w:val="103"/>
    <w:lvlOverride w:ilvl="0">
      <w:startOverride w:val="1"/>
    </w:lvlOverride>
  </w:num>
  <w:num w:numId="34">
    <w:abstractNumId w:val="103"/>
    <w:lvlOverride w:ilvl="0">
      <w:startOverride w:val="1"/>
    </w:lvlOverride>
  </w:num>
  <w:num w:numId="35">
    <w:abstractNumId w:val="103"/>
    <w:lvlOverride w:ilvl="0">
      <w:startOverride w:val="1"/>
    </w:lvlOverride>
  </w:num>
  <w:num w:numId="36">
    <w:abstractNumId w:val="103"/>
    <w:lvlOverride w:ilvl="0">
      <w:startOverride w:val="1"/>
    </w:lvlOverride>
  </w:num>
  <w:num w:numId="37">
    <w:abstractNumId w:val="103"/>
    <w:lvlOverride w:ilvl="0">
      <w:startOverride w:val="1"/>
    </w:lvlOverride>
  </w:num>
  <w:num w:numId="38">
    <w:abstractNumId w:val="103"/>
    <w:lvlOverride w:ilvl="0">
      <w:startOverride w:val="1"/>
    </w:lvlOverride>
  </w:num>
  <w:num w:numId="39">
    <w:abstractNumId w:val="22"/>
  </w:num>
  <w:num w:numId="40">
    <w:abstractNumId w:val="103"/>
    <w:lvlOverride w:ilvl="0">
      <w:startOverride w:val="1"/>
    </w:lvlOverride>
  </w:num>
  <w:num w:numId="41">
    <w:abstractNumId w:val="103"/>
    <w:lvlOverride w:ilvl="0">
      <w:startOverride w:val="1"/>
    </w:lvlOverride>
  </w:num>
  <w:num w:numId="42">
    <w:abstractNumId w:val="103"/>
    <w:lvlOverride w:ilvl="0">
      <w:startOverride w:val="1"/>
    </w:lvlOverride>
  </w:num>
  <w:num w:numId="43">
    <w:abstractNumId w:val="45"/>
  </w:num>
  <w:num w:numId="44">
    <w:abstractNumId w:val="70"/>
  </w:num>
  <w:num w:numId="45">
    <w:abstractNumId w:val="58"/>
  </w:num>
  <w:num w:numId="46">
    <w:abstractNumId w:val="64"/>
  </w:num>
  <w:num w:numId="47">
    <w:abstractNumId w:val="102"/>
  </w:num>
  <w:num w:numId="48">
    <w:abstractNumId w:val="23"/>
  </w:num>
  <w:num w:numId="49">
    <w:abstractNumId w:val="40"/>
  </w:num>
  <w:num w:numId="50">
    <w:abstractNumId w:val="71"/>
  </w:num>
  <w:num w:numId="51">
    <w:abstractNumId w:val="62"/>
  </w:num>
  <w:num w:numId="52">
    <w:abstractNumId w:val="92"/>
  </w:num>
  <w:num w:numId="53">
    <w:abstractNumId w:val="91"/>
  </w:num>
  <w:num w:numId="54">
    <w:abstractNumId w:val="82"/>
  </w:num>
  <w:num w:numId="55">
    <w:abstractNumId w:val="83"/>
  </w:num>
  <w:num w:numId="56">
    <w:abstractNumId w:val="93"/>
  </w:num>
  <w:num w:numId="57">
    <w:abstractNumId w:val="72"/>
  </w:num>
  <w:num w:numId="58">
    <w:abstractNumId w:val="86"/>
  </w:num>
  <w:num w:numId="59">
    <w:abstractNumId w:val="43"/>
  </w:num>
  <w:num w:numId="60">
    <w:abstractNumId w:val="4"/>
  </w:num>
  <w:num w:numId="61">
    <w:abstractNumId w:val="34"/>
  </w:num>
  <w:num w:numId="62">
    <w:abstractNumId w:val="21"/>
  </w:num>
  <w:num w:numId="63">
    <w:abstractNumId w:val="103"/>
    <w:lvlOverride w:ilvl="0">
      <w:startOverride w:val="1"/>
    </w:lvlOverride>
  </w:num>
  <w:num w:numId="64">
    <w:abstractNumId w:val="103"/>
    <w:lvlOverride w:ilvl="0">
      <w:startOverride w:val="1"/>
    </w:lvlOverride>
  </w:num>
  <w:num w:numId="65">
    <w:abstractNumId w:val="67"/>
  </w:num>
  <w:num w:numId="66">
    <w:abstractNumId w:val="13"/>
  </w:num>
  <w:num w:numId="67">
    <w:abstractNumId w:val="84"/>
  </w:num>
  <w:num w:numId="68">
    <w:abstractNumId w:val="103"/>
    <w:lvlOverride w:ilvl="0">
      <w:startOverride w:val="1"/>
    </w:lvlOverride>
  </w:num>
  <w:num w:numId="69">
    <w:abstractNumId w:val="103"/>
    <w:lvlOverride w:ilvl="0">
      <w:startOverride w:val="1"/>
    </w:lvlOverride>
  </w:num>
  <w:num w:numId="70">
    <w:abstractNumId w:val="32"/>
  </w:num>
  <w:num w:numId="71">
    <w:abstractNumId w:val="78"/>
  </w:num>
  <w:num w:numId="72">
    <w:abstractNumId w:val="0"/>
  </w:num>
  <w:num w:numId="73">
    <w:abstractNumId w:val="69"/>
  </w:num>
  <w:num w:numId="74">
    <w:abstractNumId w:val="73"/>
  </w:num>
  <w:num w:numId="75">
    <w:abstractNumId w:val="103"/>
    <w:lvlOverride w:ilvl="0">
      <w:startOverride w:val="1"/>
    </w:lvlOverride>
  </w:num>
  <w:num w:numId="76">
    <w:abstractNumId w:val="79"/>
  </w:num>
  <w:num w:numId="77">
    <w:abstractNumId w:val="17"/>
  </w:num>
  <w:num w:numId="78">
    <w:abstractNumId w:val="103"/>
    <w:lvlOverride w:ilvl="0">
      <w:startOverride w:val="1"/>
    </w:lvlOverride>
  </w:num>
  <w:num w:numId="79">
    <w:abstractNumId w:val="54"/>
  </w:num>
  <w:num w:numId="80">
    <w:abstractNumId w:val="103"/>
    <w:lvlOverride w:ilvl="0">
      <w:startOverride w:val="1"/>
    </w:lvlOverride>
  </w:num>
  <w:num w:numId="81">
    <w:abstractNumId w:val="42"/>
  </w:num>
  <w:num w:numId="82">
    <w:abstractNumId w:val="103"/>
    <w:lvlOverride w:ilvl="0">
      <w:startOverride w:val="1"/>
    </w:lvlOverride>
  </w:num>
  <w:num w:numId="83">
    <w:abstractNumId w:val="81"/>
  </w:num>
  <w:num w:numId="84">
    <w:abstractNumId w:val="76"/>
  </w:num>
  <w:num w:numId="85">
    <w:abstractNumId w:val="96"/>
  </w:num>
  <w:num w:numId="86">
    <w:abstractNumId w:val="36"/>
  </w:num>
  <w:num w:numId="87">
    <w:abstractNumId w:val="101"/>
  </w:num>
  <w:num w:numId="88">
    <w:abstractNumId w:val="85"/>
  </w:num>
  <w:num w:numId="89">
    <w:abstractNumId w:val="103"/>
    <w:lvlOverride w:ilvl="0">
      <w:startOverride w:val="1"/>
    </w:lvlOverride>
  </w:num>
  <w:num w:numId="90">
    <w:abstractNumId w:val="65"/>
  </w:num>
  <w:num w:numId="91">
    <w:abstractNumId w:val="30"/>
  </w:num>
  <w:num w:numId="92">
    <w:abstractNumId w:val="11"/>
  </w:num>
  <w:num w:numId="93">
    <w:abstractNumId w:val="94"/>
  </w:num>
  <w:num w:numId="94">
    <w:abstractNumId w:val="90"/>
  </w:num>
  <w:num w:numId="95">
    <w:abstractNumId w:val="103"/>
    <w:lvlOverride w:ilvl="0">
      <w:startOverride w:val="1"/>
    </w:lvlOverride>
  </w:num>
  <w:num w:numId="96">
    <w:abstractNumId w:val="103"/>
    <w:lvlOverride w:ilvl="0">
      <w:startOverride w:val="1"/>
    </w:lvlOverride>
  </w:num>
  <w:num w:numId="97">
    <w:abstractNumId w:val="57"/>
  </w:num>
  <w:num w:numId="98">
    <w:abstractNumId w:val="89"/>
  </w:num>
  <w:num w:numId="99">
    <w:abstractNumId w:val="53"/>
  </w:num>
  <w:num w:numId="100">
    <w:abstractNumId w:val="49"/>
  </w:num>
  <w:num w:numId="101">
    <w:abstractNumId w:val="103"/>
    <w:lvlOverride w:ilvl="0">
      <w:startOverride w:val="1"/>
    </w:lvlOverride>
  </w:num>
  <w:num w:numId="102">
    <w:abstractNumId w:val="56"/>
  </w:num>
  <w:num w:numId="103">
    <w:abstractNumId w:val="87"/>
  </w:num>
  <w:num w:numId="104">
    <w:abstractNumId w:val="25"/>
  </w:num>
  <w:num w:numId="105">
    <w:abstractNumId w:val="1"/>
  </w:num>
  <w:num w:numId="106">
    <w:abstractNumId w:val="103"/>
    <w:lvlOverride w:ilvl="0">
      <w:startOverride w:val="1"/>
    </w:lvlOverride>
  </w:num>
  <w:num w:numId="107">
    <w:abstractNumId w:val="26"/>
  </w:num>
  <w:num w:numId="108">
    <w:abstractNumId w:val="12"/>
  </w:num>
  <w:num w:numId="109">
    <w:abstractNumId w:val="14"/>
  </w:num>
  <w:num w:numId="110">
    <w:abstractNumId w:val="77"/>
  </w:num>
  <w:num w:numId="111">
    <w:abstractNumId w:val="52"/>
  </w:num>
  <w:num w:numId="112">
    <w:abstractNumId w:val="47"/>
  </w:num>
  <w:num w:numId="113">
    <w:abstractNumId w:val="66"/>
  </w:num>
  <w:num w:numId="114">
    <w:abstractNumId w:val="41"/>
  </w:num>
  <w:num w:numId="115">
    <w:abstractNumId w:val="103"/>
    <w:lvlOverride w:ilvl="0">
      <w:startOverride w:val="1"/>
    </w:lvlOverride>
  </w:num>
  <w:num w:numId="116">
    <w:abstractNumId w:val="20"/>
  </w:num>
  <w:num w:numId="117">
    <w:abstractNumId w:val="103"/>
    <w:lvlOverride w:ilvl="0">
      <w:startOverride w:val="1"/>
    </w:lvlOverride>
  </w:num>
  <w:num w:numId="118">
    <w:abstractNumId w:val="7"/>
  </w:num>
  <w:num w:numId="119">
    <w:abstractNumId w:val="59"/>
  </w:num>
  <w:num w:numId="120">
    <w:abstractNumId w:val="16"/>
  </w:num>
  <w:num w:numId="121">
    <w:abstractNumId w:val="35"/>
  </w:num>
  <w:num w:numId="122">
    <w:abstractNumId w:val="88"/>
  </w:num>
  <w:num w:numId="123">
    <w:abstractNumId w:val="9"/>
  </w:num>
  <w:num w:numId="124">
    <w:abstractNumId w:val="103"/>
    <w:lvlOverride w:ilvl="0">
      <w:startOverride w:val="1"/>
    </w:lvlOverride>
  </w:num>
  <w:num w:numId="125">
    <w:abstractNumId w:val="98"/>
  </w:num>
  <w:num w:numId="126">
    <w:abstractNumId w:val="103"/>
    <w:lvlOverride w:ilvl="0">
      <w:startOverride w:val="1"/>
    </w:lvlOverride>
  </w:num>
  <w:num w:numId="127">
    <w:abstractNumId w:val="33"/>
  </w:num>
  <w:num w:numId="128">
    <w:abstractNumId w:val="103"/>
    <w:lvlOverride w:ilvl="0">
      <w:startOverride w:val="1"/>
    </w:lvlOverride>
  </w:num>
  <w:num w:numId="129">
    <w:abstractNumId w:val="24"/>
  </w:num>
  <w:num w:numId="130">
    <w:abstractNumId w:val="6"/>
  </w:num>
  <w:num w:numId="131">
    <w:abstractNumId w:val="38"/>
  </w:num>
  <w:num w:numId="132">
    <w:abstractNumId w:val="8"/>
  </w:num>
  <w:num w:numId="133">
    <w:abstractNumId w:val="39"/>
  </w:num>
  <w:num w:numId="134">
    <w:abstractNumId w:val="103"/>
    <w:lvlOverride w:ilvl="0">
      <w:startOverride w:val="1"/>
    </w:lvlOverride>
  </w:num>
  <w:num w:numId="135">
    <w:abstractNumId w:val="103"/>
    <w:lvlOverride w:ilvl="0">
      <w:startOverride w:val="1"/>
    </w:lvlOverride>
  </w:num>
  <w:num w:numId="136">
    <w:abstractNumId w:val="103"/>
    <w:lvlOverride w:ilvl="0">
      <w:startOverride w:val="1"/>
    </w:lvlOverride>
  </w:num>
  <w:num w:numId="137">
    <w:abstractNumId w:val="55"/>
  </w:num>
  <w:num w:numId="138">
    <w:abstractNumId w:val="63"/>
  </w:num>
  <w:num w:numId="139">
    <w:abstractNumId w:val="46"/>
  </w:num>
  <w:num w:numId="140">
    <w:abstractNumId w:val="5"/>
  </w:num>
  <w:num w:numId="141">
    <w:abstractNumId w:val="103"/>
    <w:lvlOverride w:ilvl="0">
      <w:startOverride w:val="1"/>
    </w:lvlOverride>
  </w:num>
  <w:num w:numId="142">
    <w:abstractNumId w:val="74"/>
  </w:num>
  <w:num w:numId="143">
    <w:abstractNumId w:val="2"/>
  </w:num>
  <w:num w:numId="144">
    <w:abstractNumId w:val="15"/>
  </w:num>
  <w:num w:numId="145">
    <w:abstractNumId w:val="18"/>
  </w:num>
  <w:num w:numId="14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hideSpellingErrors/>
  <w:documentProtection w:enforcement="0"/>
  <w:defaultTabStop w:val="0"/>
  <w:drawingGridHorizontalSpacing w:val="160"/>
  <w:drawingGridVerticalSpacing w:val="435"/>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1A69"/>
    <w:rsid w:val="00003790"/>
    <w:rsid w:val="0000759A"/>
    <w:rsid w:val="00011853"/>
    <w:rsid w:val="00022253"/>
    <w:rsid w:val="00023E83"/>
    <w:rsid w:val="000249C8"/>
    <w:rsid w:val="00031F64"/>
    <w:rsid w:val="00032B4C"/>
    <w:rsid w:val="00034BC2"/>
    <w:rsid w:val="00034E46"/>
    <w:rsid w:val="00041550"/>
    <w:rsid w:val="000419C9"/>
    <w:rsid w:val="00042110"/>
    <w:rsid w:val="00042834"/>
    <w:rsid w:val="0004523C"/>
    <w:rsid w:val="00051B16"/>
    <w:rsid w:val="00053B2B"/>
    <w:rsid w:val="00053E18"/>
    <w:rsid w:val="0005646F"/>
    <w:rsid w:val="00056B91"/>
    <w:rsid w:val="00061338"/>
    <w:rsid w:val="00073D2E"/>
    <w:rsid w:val="000829F0"/>
    <w:rsid w:val="00085575"/>
    <w:rsid w:val="0008579D"/>
    <w:rsid w:val="00092B53"/>
    <w:rsid w:val="00092EE7"/>
    <w:rsid w:val="00094CEB"/>
    <w:rsid w:val="00096A9D"/>
    <w:rsid w:val="0009711B"/>
    <w:rsid w:val="000A173F"/>
    <w:rsid w:val="000A1E5B"/>
    <w:rsid w:val="000A34A0"/>
    <w:rsid w:val="000A7CE3"/>
    <w:rsid w:val="000B044C"/>
    <w:rsid w:val="000C094A"/>
    <w:rsid w:val="000C09D2"/>
    <w:rsid w:val="000C159E"/>
    <w:rsid w:val="000C35DF"/>
    <w:rsid w:val="000C3CC3"/>
    <w:rsid w:val="000C61B7"/>
    <w:rsid w:val="000D07D6"/>
    <w:rsid w:val="000D48B0"/>
    <w:rsid w:val="000D5B33"/>
    <w:rsid w:val="000F1976"/>
    <w:rsid w:val="000F5917"/>
    <w:rsid w:val="0010191F"/>
    <w:rsid w:val="00110035"/>
    <w:rsid w:val="00113B70"/>
    <w:rsid w:val="001155C5"/>
    <w:rsid w:val="00116F7C"/>
    <w:rsid w:val="00121738"/>
    <w:rsid w:val="0012231B"/>
    <w:rsid w:val="00123976"/>
    <w:rsid w:val="001252AB"/>
    <w:rsid w:val="0013001A"/>
    <w:rsid w:val="0013439D"/>
    <w:rsid w:val="001345C6"/>
    <w:rsid w:val="00134942"/>
    <w:rsid w:val="001352F1"/>
    <w:rsid w:val="00135A58"/>
    <w:rsid w:val="001369DD"/>
    <w:rsid w:val="00137006"/>
    <w:rsid w:val="00137B46"/>
    <w:rsid w:val="00142511"/>
    <w:rsid w:val="00145435"/>
    <w:rsid w:val="001456C5"/>
    <w:rsid w:val="0014797C"/>
    <w:rsid w:val="001518C2"/>
    <w:rsid w:val="00151CC0"/>
    <w:rsid w:val="00152C21"/>
    <w:rsid w:val="00153D1F"/>
    <w:rsid w:val="00172A27"/>
    <w:rsid w:val="001764A5"/>
    <w:rsid w:val="00176F4D"/>
    <w:rsid w:val="0018657F"/>
    <w:rsid w:val="00192D19"/>
    <w:rsid w:val="00197BD0"/>
    <w:rsid w:val="001B5856"/>
    <w:rsid w:val="001B7A69"/>
    <w:rsid w:val="001C08FB"/>
    <w:rsid w:val="001C1B27"/>
    <w:rsid w:val="001C42F9"/>
    <w:rsid w:val="001D0988"/>
    <w:rsid w:val="001D5F11"/>
    <w:rsid w:val="001E141B"/>
    <w:rsid w:val="001E1E69"/>
    <w:rsid w:val="001E5BF1"/>
    <w:rsid w:val="001E7213"/>
    <w:rsid w:val="001F2D3F"/>
    <w:rsid w:val="001F5C7A"/>
    <w:rsid w:val="00223F48"/>
    <w:rsid w:val="002344D1"/>
    <w:rsid w:val="00235B9B"/>
    <w:rsid w:val="00243F1D"/>
    <w:rsid w:val="002461BE"/>
    <w:rsid w:val="0024658F"/>
    <w:rsid w:val="00251540"/>
    <w:rsid w:val="002536E7"/>
    <w:rsid w:val="00255434"/>
    <w:rsid w:val="00260961"/>
    <w:rsid w:val="00265A07"/>
    <w:rsid w:val="002676A5"/>
    <w:rsid w:val="002701E1"/>
    <w:rsid w:val="00277DA8"/>
    <w:rsid w:val="002824E8"/>
    <w:rsid w:val="00282BC8"/>
    <w:rsid w:val="00283E34"/>
    <w:rsid w:val="00285E64"/>
    <w:rsid w:val="00286291"/>
    <w:rsid w:val="00292391"/>
    <w:rsid w:val="0029604D"/>
    <w:rsid w:val="00296809"/>
    <w:rsid w:val="002A1B84"/>
    <w:rsid w:val="002B5372"/>
    <w:rsid w:val="002B7724"/>
    <w:rsid w:val="002C1539"/>
    <w:rsid w:val="002C4614"/>
    <w:rsid w:val="002C65E4"/>
    <w:rsid w:val="002D0C9D"/>
    <w:rsid w:val="002D7E36"/>
    <w:rsid w:val="002E5E5A"/>
    <w:rsid w:val="002F61EE"/>
    <w:rsid w:val="003037BA"/>
    <w:rsid w:val="00304C06"/>
    <w:rsid w:val="00307B6D"/>
    <w:rsid w:val="00310FDE"/>
    <w:rsid w:val="0031343B"/>
    <w:rsid w:val="00324521"/>
    <w:rsid w:val="003327CE"/>
    <w:rsid w:val="0034227E"/>
    <w:rsid w:val="00342C3F"/>
    <w:rsid w:val="003553F0"/>
    <w:rsid w:val="003620AB"/>
    <w:rsid w:val="00363340"/>
    <w:rsid w:val="00364440"/>
    <w:rsid w:val="003679BD"/>
    <w:rsid w:val="00367EFD"/>
    <w:rsid w:val="00375D64"/>
    <w:rsid w:val="00377944"/>
    <w:rsid w:val="003805DA"/>
    <w:rsid w:val="003844F0"/>
    <w:rsid w:val="003847C1"/>
    <w:rsid w:val="00386AFB"/>
    <w:rsid w:val="0039553D"/>
    <w:rsid w:val="003A2725"/>
    <w:rsid w:val="003B59C6"/>
    <w:rsid w:val="003C5F10"/>
    <w:rsid w:val="003D093F"/>
    <w:rsid w:val="003D12E4"/>
    <w:rsid w:val="003D2963"/>
    <w:rsid w:val="003D49EA"/>
    <w:rsid w:val="003E3948"/>
    <w:rsid w:val="003F7B8E"/>
    <w:rsid w:val="00407CA0"/>
    <w:rsid w:val="00411916"/>
    <w:rsid w:val="00411EA4"/>
    <w:rsid w:val="0041279B"/>
    <w:rsid w:val="004163C3"/>
    <w:rsid w:val="00416B8A"/>
    <w:rsid w:val="00420069"/>
    <w:rsid w:val="00427B1F"/>
    <w:rsid w:val="00431E60"/>
    <w:rsid w:val="00435B61"/>
    <w:rsid w:val="00437469"/>
    <w:rsid w:val="004377FA"/>
    <w:rsid w:val="00441914"/>
    <w:rsid w:val="0044256D"/>
    <w:rsid w:val="00442EAF"/>
    <w:rsid w:val="0045283B"/>
    <w:rsid w:val="00453AC1"/>
    <w:rsid w:val="0045409C"/>
    <w:rsid w:val="00464F9B"/>
    <w:rsid w:val="004726A8"/>
    <w:rsid w:val="00474784"/>
    <w:rsid w:val="00475B62"/>
    <w:rsid w:val="00481E83"/>
    <w:rsid w:val="00490013"/>
    <w:rsid w:val="004906A7"/>
    <w:rsid w:val="00492535"/>
    <w:rsid w:val="0049352C"/>
    <w:rsid w:val="004941F7"/>
    <w:rsid w:val="004944FE"/>
    <w:rsid w:val="00495149"/>
    <w:rsid w:val="0049623B"/>
    <w:rsid w:val="004979F9"/>
    <w:rsid w:val="004A1192"/>
    <w:rsid w:val="004A2442"/>
    <w:rsid w:val="004A5EC7"/>
    <w:rsid w:val="004A762C"/>
    <w:rsid w:val="004B0239"/>
    <w:rsid w:val="004B0DBE"/>
    <w:rsid w:val="004C7785"/>
    <w:rsid w:val="004D261B"/>
    <w:rsid w:val="004E2765"/>
    <w:rsid w:val="004E3033"/>
    <w:rsid w:val="004E7978"/>
    <w:rsid w:val="004F36FA"/>
    <w:rsid w:val="004F6C36"/>
    <w:rsid w:val="00507E0C"/>
    <w:rsid w:val="0051131D"/>
    <w:rsid w:val="005131C0"/>
    <w:rsid w:val="00514FD9"/>
    <w:rsid w:val="005202AF"/>
    <w:rsid w:val="00520499"/>
    <w:rsid w:val="00527356"/>
    <w:rsid w:val="00535B02"/>
    <w:rsid w:val="00535F0D"/>
    <w:rsid w:val="00537158"/>
    <w:rsid w:val="005371F3"/>
    <w:rsid w:val="00537BEE"/>
    <w:rsid w:val="00541C50"/>
    <w:rsid w:val="0055323E"/>
    <w:rsid w:val="00560948"/>
    <w:rsid w:val="00560F59"/>
    <w:rsid w:val="00561DA7"/>
    <w:rsid w:val="0057136F"/>
    <w:rsid w:val="00574843"/>
    <w:rsid w:val="005820A9"/>
    <w:rsid w:val="00585A23"/>
    <w:rsid w:val="00586FE7"/>
    <w:rsid w:val="00587824"/>
    <w:rsid w:val="00587A3F"/>
    <w:rsid w:val="00587C1F"/>
    <w:rsid w:val="0059263E"/>
    <w:rsid w:val="0059410A"/>
    <w:rsid w:val="00596111"/>
    <w:rsid w:val="005A0E3C"/>
    <w:rsid w:val="005A6AB0"/>
    <w:rsid w:val="005B002A"/>
    <w:rsid w:val="005B022E"/>
    <w:rsid w:val="005B19D0"/>
    <w:rsid w:val="005B32F2"/>
    <w:rsid w:val="005C0981"/>
    <w:rsid w:val="005C1DFF"/>
    <w:rsid w:val="005C2AB3"/>
    <w:rsid w:val="005C480A"/>
    <w:rsid w:val="005C5D68"/>
    <w:rsid w:val="005D38FA"/>
    <w:rsid w:val="005D6B8F"/>
    <w:rsid w:val="005D7647"/>
    <w:rsid w:val="005E0769"/>
    <w:rsid w:val="005E2F11"/>
    <w:rsid w:val="005E37B5"/>
    <w:rsid w:val="005F31B7"/>
    <w:rsid w:val="005F62BD"/>
    <w:rsid w:val="0060029C"/>
    <w:rsid w:val="006040B4"/>
    <w:rsid w:val="0063016D"/>
    <w:rsid w:val="006368E2"/>
    <w:rsid w:val="00637AF7"/>
    <w:rsid w:val="00645150"/>
    <w:rsid w:val="0064768F"/>
    <w:rsid w:val="00650A42"/>
    <w:rsid w:val="00651BC9"/>
    <w:rsid w:val="0065693C"/>
    <w:rsid w:val="006721C0"/>
    <w:rsid w:val="00677D03"/>
    <w:rsid w:val="00686F4E"/>
    <w:rsid w:val="00690323"/>
    <w:rsid w:val="00691426"/>
    <w:rsid w:val="00694A9C"/>
    <w:rsid w:val="006A037E"/>
    <w:rsid w:val="006A2BFB"/>
    <w:rsid w:val="006A5FBA"/>
    <w:rsid w:val="006B102A"/>
    <w:rsid w:val="006C4319"/>
    <w:rsid w:val="006C45D8"/>
    <w:rsid w:val="006D6AA7"/>
    <w:rsid w:val="006E1661"/>
    <w:rsid w:val="006E4009"/>
    <w:rsid w:val="006E553F"/>
    <w:rsid w:val="006F1297"/>
    <w:rsid w:val="007032E6"/>
    <w:rsid w:val="00707489"/>
    <w:rsid w:val="0071130C"/>
    <w:rsid w:val="007245D3"/>
    <w:rsid w:val="00725FED"/>
    <w:rsid w:val="00726EE7"/>
    <w:rsid w:val="0073188F"/>
    <w:rsid w:val="00736CD8"/>
    <w:rsid w:val="00743579"/>
    <w:rsid w:val="00743C0F"/>
    <w:rsid w:val="0074671D"/>
    <w:rsid w:val="00755217"/>
    <w:rsid w:val="007560C3"/>
    <w:rsid w:val="007579FF"/>
    <w:rsid w:val="00757AF2"/>
    <w:rsid w:val="007701D1"/>
    <w:rsid w:val="0077033F"/>
    <w:rsid w:val="007704D7"/>
    <w:rsid w:val="00772469"/>
    <w:rsid w:val="00772671"/>
    <w:rsid w:val="007734A4"/>
    <w:rsid w:val="007819AF"/>
    <w:rsid w:val="00784E29"/>
    <w:rsid w:val="00785232"/>
    <w:rsid w:val="00794DB0"/>
    <w:rsid w:val="007A14C0"/>
    <w:rsid w:val="007C3BF1"/>
    <w:rsid w:val="007D522C"/>
    <w:rsid w:val="007D6BF2"/>
    <w:rsid w:val="007D793F"/>
    <w:rsid w:val="007E45FA"/>
    <w:rsid w:val="007F2531"/>
    <w:rsid w:val="007F25CA"/>
    <w:rsid w:val="007F5250"/>
    <w:rsid w:val="007F762D"/>
    <w:rsid w:val="0080019E"/>
    <w:rsid w:val="00800763"/>
    <w:rsid w:val="0080183A"/>
    <w:rsid w:val="0080213F"/>
    <w:rsid w:val="0080224F"/>
    <w:rsid w:val="0081590C"/>
    <w:rsid w:val="00822B3F"/>
    <w:rsid w:val="00822D94"/>
    <w:rsid w:val="008230E9"/>
    <w:rsid w:val="0083096D"/>
    <w:rsid w:val="008358B6"/>
    <w:rsid w:val="00837FDA"/>
    <w:rsid w:val="00843F96"/>
    <w:rsid w:val="008446A1"/>
    <w:rsid w:val="00846E72"/>
    <w:rsid w:val="0085088B"/>
    <w:rsid w:val="00851180"/>
    <w:rsid w:val="00852294"/>
    <w:rsid w:val="008542AC"/>
    <w:rsid w:val="008545C4"/>
    <w:rsid w:val="00857E57"/>
    <w:rsid w:val="008620DA"/>
    <w:rsid w:val="00866C7D"/>
    <w:rsid w:val="0087203C"/>
    <w:rsid w:val="008720B7"/>
    <w:rsid w:val="00875FDC"/>
    <w:rsid w:val="00881FE7"/>
    <w:rsid w:val="00882411"/>
    <w:rsid w:val="00884C1E"/>
    <w:rsid w:val="00885D8F"/>
    <w:rsid w:val="0089504B"/>
    <w:rsid w:val="008A15D8"/>
    <w:rsid w:val="008A173F"/>
    <w:rsid w:val="008A493E"/>
    <w:rsid w:val="008A5AFB"/>
    <w:rsid w:val="008B2114"/>
    <w:rsid w:val="008B346A"/>
    <w:rsid w:val="008B38B9"/>
    <w:rsid w:val="008C0AEB"/>
    <w:rsid w:val="008C0D4A"/>
    <w:rsid w:val="008C15B8"/>
    <w:rsid w:val="008C359C"/>
    <w:rsid w:val="008C3652"/>
    <w:rsid w:val="008C5D80"/>
    <w:rsid w:val="008D148A"/>
    <w:rsid w:val="008D5BCA"/>
    <w:rsid w:val="008E5DBB"/>
    <w:rsid w:val="008E6012"/>
    <w:rsid w:val="008F5DF5"/>
    <w:rsid w:val="00900F2A"/>
    <w:rsid w:val="0090460B"/>
    <w:rsid w:val="00912A0C"/>
    <w:rsid w:val="00915229"/>
    <w:rsid w:val="009208C5"/>
    <w:rsid w:val="00923B38"/>
    <w:rsid w:val="00927CBD"/>
    <w:rsid w:val="00927D48"/>
    <w:rsid w:val="009351D7"/>
    <w:rsid w:val="00936745"/>
    <w:rsid w:val="009404B8"/>
    <w:rsid w:val="009407FD"/>
    <w:rsid w:val="009442FB"/>
    <w:rsid w:val="00944C4F"/>
    <w:rsid w:val="009454BD"/>
    <w:rsid w:val="00947961"/>
    <w:rsid w:val="00951431"/>
    <w:rsid w:val="009532F2"/>
    <w:rsid w:val="009625BB"/>
    <w:rsid w:val="00964667"/>
    <w:rsid w:val="00973B85"/>
    <w:rsid w:val="00974D6C"/>
    <w:rsid w:val="009810D7"/>
    <w:rsid w:val="0098311E"/>
    <w:rsid w:val="00984991"/>
    <w:rsid w:val="00986CD8"/>
    <w:rsid w:val="009928F1"/>
    <w:rsid w:val="0099566C"/>
    <w:rsid w:val="00996B21"/>
    <w:rsid w:val="009A0518"/>
    <w:rsid w:val="009A35B2"/>
    <w:rsid w:val="009A5C98"/>
    <w:rsid w:val="009B062D"/>
    <w:rsid w:val="009B492B"/>
    <w:rsid w:val="009B76AD"/>
    <w:rsid w:val="009D5147"/>
    <w:rsid w:val="009E46FA"/>
    <w:rsid w:val="009F5FAE"/>
    <w:rsid w:val="00A03264"/>
    <w:rsid w:val="00A046E3"/>
    <w:rsid w:val="00A04CA8"/>
    <w:rsid w:val="00A12860"/>
    <w:rsid w:val="00A12FE5"/>
    <w:rsid w:val="00A13F6C"/>
    <w:rsid w:val="00A20095"/>
    <w:rsid w:val="00A25458"/>
    <w:rsid w:val="00A312F9"/>
    <w:rsid w:val="00A40FE3"/>
    <w:rsid w:val="00A4228F"/>
    <w:rsid w:val="00A437AD"/>
    <w:rsid w:val="00A4522F"/>
    <w:rsid w:val="00A46ED2"/>
    <w:rsid w:val="00A516C1"/>
    <w:rsid w:val="00A61668"/>
    <w:rsid w:val="00A622F5"/>
    <w:rsid w:val="00A660B8"/>
    <w:rsid w:val="00A721A9"/>
    <w:rsid w:val="00A72313"/>
    <w:rsid w:val="00A7350C"/>
    <w:rsid w:val="00A80702"/>
    <w:rsid w:val="00A80EEE"/>
    <w:rsid w:val="00A83973"/>
    <w:rsid w:val="00A8409D"/>
    <w:rsid w:val="00A86439"/>
    <w:rsid w:val="00A93536"/>
    <w:rsid w:val="00A94782"/>
    <w:rsid w:val="00AA0901"/>
    <w:rsid w:val="00AA2E1E"/>
    <w:rsid w:val="00AA2F15"/>
    <w:rsid w:val="00AB4384"/>
    <w:rsid w:val="00AB4847"/>
    <w:rsid w:val="00AB5CF3"/>
    <w:rsid w:val="00AC0BAC"/>
    <w:rsid w:val="00AC1505"/>
    <w:rsid w:val="00AC3C5F"/>
    <w:rsid w:val="00AC781A"/>
    <w:rsid w:val="00AD73EA"/>
    <w:rsid w:val="00AE10FD"/>
    <w:rsid w:val="00AE1871"/>
    <w:rsid w:val="00AF1B58"/>
    <w:rsid w:val="00AF56A3"/>
    <w:rsid w:val="00AF75FB"/>
    <w:rsid w:val="00B070B8"/>
    <w:rsid w:val="00B10F25"/>
    <w:rsid w:val="00B13431"/>
    <w:rsid w:val="00B13BF9"/>
    <w:rsid w:val="00B206F5"/>
    <w:rsid w:val="00B2184A"/>
    <w:rsid w:val="00B23EC0"/>
    <w:rsid w:val="00B30145"/>
    <w:rsid w:val="00B33D7E"/>
    <w:rsid w:val="00B35BF3"/>
    <w:rsid w:val="00B362AC"/>
    <w:rsid w:val="00B40D8A"/>
    <w:rsid w:val="00B52959"/>
    <w:rsid w:val="00B54F8E"/>
    <w:rsid w:val="00B56B28"/>
    <w:rsid w:val="00B63418"/>
    <w:rsid w:val="00B636E6"/>
    <w:rsid w:val="00B642A1"/>
    <w:rsid w:val="00B65070"/>
    <w:rsid w:val="00B67AAE"/>
    <w:rsid w:val="00B73FEB"/>
    <w:rsid w:val="00B7672C"/>
    <w:rsid w:val="00B77E5B"/>
    <w:rsid w:val="00B77FE9"/>
    <w:rsid w:val="00B81191"/>
    <w:rsid w:val="00B83A93"/>
    <w:rsid w:val="00B9041F"/>
    <w:rsid w:val="00B9285E"/>
    <w:rsid w:val="00B938DA"/>
    <w:rsid w:val="00B94DDD"/>
    <w:rsid w:val="00BA602B"/>
    <w:rsid w:val="00BC049D"/>
    <w:rsid w:val="00BC0F3D"/>
    <w:rsid w:val="00BC3549"/>
    <w:rsid w:val="00BC4AEC"/>
    <w:rsid w:val="00BC53EB"/>
    <w:rsid w:val="00BC67F8"/>
    <w:rsid w:val="00BC6B66"/>
    <w:rsid w:val="00BD66F2"/>
    <w:rsid w:val="00BE4C5F"/>
    <w:rsid w:val="00BE60CE"/>
    <w:rsid w:val="00BF30C9"/>
    <w:rsid w:val="00BF37CC"/>
    <w:rsid w:val="00BF69C5"/>
    <w:rsid w:val="00C00182"/>
    <w:rsid w:val="00C0384A"/>
    <w:rsid w:val="00C05767"/>
    <w:rsid w:val="00C05BDA"/>
    <w:rsid w:val="00C05F2E"/>
    <w:rsid w:val="00C077DF"/>
    <w:rsid w:val="00C10814"/>
    <w:rsid w:val="00C17A8F"/>
    <w:rsid w:val="00C203E0"/>
    <w:rsid w:val="00C2264F"/>
    <w:rsid w:val="00C22748"/>
    <w:rsid w:val="00C22C77"/>
    <w:rsid w:val="00C243F7"/>
    <w:rsid w:val="00C2445C"/>
    <w:rsid w:val="00C250F3"/>
    <w:rsid w:val="00C26158"/>
    <w:rsid w:val="00C33535"/>
    <w:rsid w:val="00C379D7"/>
    <w:rsid w:val="00C454D8"/>
    <w:rsid w:val="00C469A0"/>
    <w:rsid w:val="00C47257"/>
    <w:rsid w:val="00C544CF"/>
    <w:rsid w:val="00C54D03"/>
    <w:rsid w:val="00C57A10"/>
    <w:rsid w:val="00C62431"/>
    <w:rsid w:val="00C63A78"/>
    <w:rsid w:val="00C66E43"/>
    <w:rsid w:val="00C82CC8"/>
    <w:rsid w:val="00C9141A"/>
    <w:rsid w:val="00C92243"/>
    <w:rsid w:val="00CB56B7"/>
    <w:rsid w:val="00CB66B8"/>
    <w:rsid w:val="00CB769C"/>
    <w:rsid w:val="00CC2313"/>
    <w:rsid w:val="00CE1000"/>
    <w:rsid w:val="00CE1E93"/>
    <w:rsid w:val="00CE77B0"/>
    <w:rsid w:val="00CF3242"/>
    <w:rsid w:val="00CF4BEE"/>
    <w:rsid w:val="00CF5A74"/>
    <w:rsid w:val="00D1082C"/>
    <w:rsid w:val="00D368C7"/>
    <w:rsid w:val="00D37CE1"/>
    <w:rsid w:val="00D43AEA"/>
    <w:rsid w:val="00D4559B"/>
    <w:rsid w:val="00D515C9"/>
    <w:rsid w:val="00D614D2"/>
    <w:rsid w:val="00D61C18"/>
    <w:rsid w:val="00D63B93"/>
    <w:rsid w:val="00D6748E"/>
    <w:rsid w:val="00D742E5"/>
    <w:rsid w:val="00D74BE9"/>
    <w:rsid w:val="00D764AF"/>
    <w:rsid w:val="00D76582"/>
    <w:rsid w:val="00D804B6"/>
    <w:rsid w:val="00D83146"/>
    <w:rsid w:val="00D8698A"/>
    <w:rsid w:val="00D91439"/>
    <w:rsid w:val="00D9226B"/>
    <w:rsid w:val="00D96925"/>
    <w:rsid w:val="00D977D1"/>
    <w:rsid w:val="00DA2EC0"/>
    <w:rsid w:val="00DB085C"/>
    <w:rsid w:val="00DB6BC7"/>
    <w:rsid w:val="00DB6E00"/>
    <w:rsid w:val="00DC2389"/>
    <w:rsid w:val="00DD7581"/>
    <w:rsid w:val="00DD7D8C"/>
    <w:rsid w:val="00DE11BC"/>
    <w:rsid w:val="00DF6214"/>
    <w:rsid w:val="00E0061F"/>
    <w:rsid w:val="00E14836"/>
    <w:rsid w:val="00E17C0E"/>
    <w:rsid w:val="00E226ED"/>
    <w:rsid w:val="00E33354"/>
    <w:rsid w:val="00E34764"/>
    <w:rsid w:val="00E40616"/>
    <w:rsid w:val="00E45C90"/>
    <w:rsid w:val="00E5184E"/>
    <w:rsid w:val="00E65113"/>
    <w:rsid w:val="00E67CFC"/>
    <w:rsid w:val="00E70769"/>
    <w:rsid w:val="00E70B32"/>
    <w:rsid w:val="00E7101B"/>
    <w:rsid w:val="00E71B1A"/>
    <w:rsid w:val="00E76643"/>
    <w:rsid w:val="00E77336"/>
    <w:rsid w:val="00E77A7B"/>
    <w:rsid w:val="00E77D6E"/>
    <w:rsid w:val="00E82455"/>
    <w:rsid w:val="00E82496"/>
    <w:rsid w:val="00E832A3"/>
    <w:rsid w:val="00E86C7B"/>
    <w:rsid w:val="00E87CF9"/>
    <w:rsid w:val="00E93367"/>
    <w:rsid w:val="00E94953"/>
    <w:rsid w:val="00E95CCC"/>
    <w:rsid w:val="00EA1337"/>
    <w:rsid w:val="00EA53EC"/>
    <w:rsid w:val="00EA7EDD"/>
    <w:rsid w:val="00EB1814"/>
    <w:rsid w:val="00EB1D85"/>
    <w:rsid w:val="00EB3460"/>
    <w:rsid w:val="00EB543C"/>
    <w:rsid w:val="00EC2629"/>
    <w:rsid w:val="00ED0D25"/>
    <w:rsid w:val="00ED6C7A"/>
    <w:rsid w:val="00ED7C8D"/>
    <w:rsid w:val="00EE2664"/>
    <w:rsid w:val="00EE68EB"/>
    <w:rsid w:val="00EE6913"/>
    <w:rsid w:val="00EE6FEB"/>
    <w:rsid w:val="00EE78FA"/>
    <w:rsid w:val="00EF6CE3"/>
    <w:rsid w:val="00EF6F37"/>
    <w:rsid w:val="00EF7506"/>
    <w:rsid w:val="00F01C9E"/>
    <w:rsid w:val="00F01CAE"/>
    <w:rsid w:val="00F034F6"/>
    <w:rsid w:val="00F0466C"/>
    <w:rsid w:val="00F049D2"/>
    <w:rsid w:val="00F056D4"/>
    <w:rsid w:val="00F05A83"/>
    <w:rsid w:val="00F101C7"/>
    <w:rsid w:val="00F10EA0"/>
    <w:rsid w:val="00F11E10"/>
    <w:rsid w:val="00F13E9D"/>
    <w:rsid w:val="00F16E77"/>
    <w:rsid w:val="00F37011"/>
    <w:rsid w:val="00F37DB9"/>
    <w:rsid w:val="00F41A4A"/>
    <w:rsid w:val="00F4377F"/>
    <w:rsid w:val="00F437D6"/>
    <w:rsid w:val="00F513DD"/>
    <w:rsid w:val="00F51AA4"/>
    <w:rsid w:val="00F522AE"/>
    <w:rsid w:val="00F53F5A"/>
    <w:rsid w:val="00F619EE"/>
    <w:rsid w:val="00F72737"/>
    <w:rsid w:val="00F77817"/>
    <w:rsid w:val="00F8109B"/>
    <w:rsid w:val="00F81755"/>
    <w:rsid w:val="00F87826"/>
    <w:rsid w:val="00F95497"/>
    <w:rsid w:val="00F97C09"/>
    <w:rsid w:val="00FA2BC1"/>
    <w:rsid w:val="00FA2C5E"/>
    <w:rsid w:val="00FA69EC"/>
    <w:rsid w:val="00FA6AA1"/>
    <w:rsid w:val="00FB1473"/>
    <w:rsid w:val="00FB2AE5"/>
    <w:rsid w:val="00FC4C02"/>
    <w:rsid w:val="00FD064A"/>
    <w:rsid w:val="00FD65E8"/>
    <w:rsid w:val="00FE2205"/>
    <w:rsid w:val="00FF0111"/>
    <w:rsid w:val="0106016B"/>
    <w:rsid w:val="010A4CDC"/>
    <w:rsid w:val="012E7E8E"/>
    <w:rsid w:val="01384EB5"/>
    <w:rsid w:val="013A1954"/>
    <w:rsid w:val="01560F7E"/>
    <w:rsid w:val="0165290F"/>
    <w:rsid w:val="01686F61"/>
    <w:rsid w:val="016A3C1C"/>
    <w:rsid w:val="017F49E8"/>
    <w:rsid w:val="01A22D73"/>
    <w:rsid w:val="01D42375"/>
    <w:rsid w:val="01D757A4"/>
    <w:rsid w:val="01DA327E"/>
    <w:rsid w:val="01E836D2"/>
    <w:rsid w:val="01FD1705"/>
    <w:rsid w:val="01FE004F"/>
    <w:rsid w:val="020C54B8"/>
    <w:rsid w:val="023A0321"/>
    <w:rsid w:val="023D64A2"/>
    <w:rsid w:val="024C4365"/>
    <w:rsid w:val="024F7224"/>
    <w:rsid w:val="025061C4"/>
    <w:rsid w:val="0257026D"/>
    <w:rsid w:val="02A6153D"/>
    <w:rsid w:val="02AF5659"/>
    <w:rsid w:val="02D07FF3"/>
    <w:rsid w:val="030651D3"/>
    <w:rsid w:val="03553CE2"/>
    <w:rsid w:val="03823067"/>
    <w:rsid w:val="0388435F"/>
    <w:rsid w:val="038C42C9"/>
    <w:rsid w:val="03AC63FC"/>
    <w:rsid w:val="03B276C7"/>
    <w:rsid w:val="03D745C0"/>
    <w:rsid w:val="03DF1DE3"/>
    <w:rsid w:val="03FF6DA8"/>
    <w:rsid w:val="04044BDA"/>
    <w:rsid w:val="041363EF"/>
    <w:rsid w:val="04237A41"/>
    <w:rsid w:val="04C64FFF"/>
    <w:rsid w:val="04ED4714"/>
    <w:rsid w:val="04F95D27"/>
    <w:rsid w:val="05157D8B"/>
    <w:rsid w:val="05171B22"/>
    <w:rsid w:val="052B169E"/>
    <w:rsid w:val="05325F65"/>
    <w:rsid w:val="054303F2"/>
    <w:rsid w:val="055A51E0"/>
    <w:rsid w:val="05913A93"/>
    <w:rsid w:val="0597193E"/>
    <w:rsid w:val="05D3419E"/>
    <w:rsid w:val="05F8714E"/>
    <w:rsid w:val="06071477"/>
    <w:rsid w:val="06304C4A"/>
    <w:rsid w:val="063460F3"/>
    <w:rsid w:val="06440DC0"/>
    <w:rsid w:val="064837F5"/>
    <w:rsid w:val="067D2D1A"/>
    <w:rsid w:val="06BD16E4"/>
    <w:rsid w:val="070518A8"/>
    <w:rsid w:val="07217EFC"/>
    <w:rsid w:val="07277424"/>
    <w:rsid w:val="074017B9"/>
    <w:rsid w:val="07704B62"/>
    <w:rsid w:val="07875186"/>
    <w:rsid w:val="0790063F"/>
    <w:rsid w:val="07986ED2"/>
    <w:rsid w:val="07AA5783"/>
    <w:rsid w:val="07C84512"/>
    <w:rsid w:val="07CC38AD"/>
    <w:rsid w:val="07D013E3"/>
    <w:rsid w:val="07D76A0D"/>
    <w:rsid w:val="080B602D"/>
    <w:rsid w:val="0821678B"/>
    <w:rsid w:val="08351CC8"/>
    <w:rsid w:val="08384BCC"/>
    <w:rsid w:val="083E0324"/>
    <w:rsid w:val="08474E58"/>
    <w:rsid w:val="087910E7"/>
    <w:rsid w:val="0883582E"/>
    <w:rsid w:val="08BC22B4"/>
    <w:rsid w:val="08CC07DA"/>
    <w:rsid w:val="08CE7210"/>
    <w:rsid w:val="08D22E17"/>
    <w:rsid w:val="08D5690A"/>
    <w:rsid w:val="08E1772F"/>
    <w:rsid w:val="08FB5CCE"/>
    <w:rsid w:val="092A75CF"/>
    <w:rsid w:val="093C4EB3"/>
    <w:rsid w:val="097F6FA3"/>
    <w:rsid w:val="09961927"/>
    <w:rsid w:val="09A444E1"/>
    <w:rsid w:val="09C81176"/>
    <w:rsid w:val="09DE6DE7"/>
    <w:rsid w:val="09DF2C06"/>
    <w:rsid w:val="0A037D3A"/>
    <w:rsid w:val="0A11294B"/>
    <w:rsid w:val="0A33641C"/>
    <w:rsid w:val="0A6327B0"/>
    <w:rsid w:val="0A75113B"/>
    <w:rsid w:val="0A7F2549"/>
    <w:rsid w:val="0A944903"/>
    <w:rsid w:val="0AC61E72"/>
    <w:rsid w:val="0ADF7964"/>
    <w:rsid w:val="0AE65A2A"/>
    <w:rsid w:val="0AEF16CF"/>
    <w:rsid w:val="0AF4443E"/>
    <w:rsid w:val="0B061D79"/>
    <w:rsid w:val="0B083D12"/>
    <w:rsid w:val="0B11553C"/>
    <w:rsid w:val="0B213667"/>
    <w:rsid w:val="0B285EA9"/>
    <w:rsid w:val="0B2D025A"/>
    <w:rsid w:val="0B450939"/>
    <w:rsid w:val="0B471D34"/>
    <w:rsid w:val="0B48323C"/>
    <w:rsid w:val="0B4E1B65"/>
    <w:rsid w:val="0B555B9E"/>
    <w:rsid w:val="0B5C1D88"/>
    <w:rsid w:val="0B627964"/>
    <w:rsid w:val="0B8C7FBF"/>
    <w:rsid w:val="0B8F026C"/>
    <w:rsid w:val="0B9B2C79"/>
    <w:rsid w:val="0BA539BC"/>
    <w:rsid w:val="0BAE2D92"/>
    <w:rsid w:val="0BB130A8"/>
    <w:rsid w:val="0BB15C2B"/>
    <w:rsid w:val="0C06044D"/>
    <w:rsid w:val="0C0702E1"/>
    <w:rsid w:val="0C072D9D"/>
    <w:rsid w:val="0C0768E5"/>
    <w:rsid w:val="0C0F7A61"/>
    <w:rsid w:val="0C120A9B"/>
    <w:rsid w:val="0C182827"/>
    <w:rsid w:val="0C1E60A1"/>
    <w:rsid w:val="0C3E6DB5"/>
    <w:rsid w:val="0C5762E7"/>
    <w:rsid w:val="0C745C20"/>
    <w:rsid w:val="0C8D3BAA"/>
    <w:rsid w:val="0CC76638"/>
    <w:rsid w:val="0CD526BF"/>
    <w:rsid w:val="0CFE0B8E"/>
    <w:rsid w:val="0D261457"/>
    <w:rsid w:val="0D5556AF"/>
    <w:rsid w:val="0D5E0F59"/>
    <w:rsid w:val="0D701DF9"/>
    <w:rsid w:val="0D72501A"/>
    <w:rsid w:val="0D74146E"/>
    <w:rsid w:val="0D8D092B"/>
    <w:rsid w:val="0DA93522"/>
    <w:rsid w:val="0DAD7CDF"/>
    <w:rsid w:val="0DC16AF5"/>
    <w:rsid w:val="0DC54057"/>
    <w:rsid w:val="0DCE0EEC"/>
    <w:rsid w:val="0DDF0426"/>
    <w:rsid w:val="0DEC762F"/>
    <w:rsid w:val="0E121740"/>
    <w:rsid w:val="0E236820"/>
    <w:rsid w:val="0E2B1FA9"/>
    <w:rsid w:val="0E351A8B"/>
    <w:rsid w:val="0E512BDE"/>
    <w:rsid w:val="0E5864B1"/>
    <w:rsid w:val="0E6F7ABD"/>
    <w:rsid w:val="0E87679C"/>
    <w:rsid w:val="0E9135B0"/>
    <w:rsid w:val="0ECA0540"/>
    <w:rsid w:val="0ED84FAC"/>
    <w:rsid w:val="0EF15A54"/>
    <w:rsid w:val="0EF42BBD"/>
    <w:rsid w:val="0EF908B8"/>
    <w:rsid w:val="0EFC1F3D"/>
    <w:rsid w:val="0F1E5AE0"/>
    <w:rsid w:val="0F317F31"/>
    <w:rsid w:val="0F704B61"/>
    <w:rsid w:val="0F751372"/>
    <w:rsid w:val="0F7528E6"/>
    <w:rsid w:val="0F966468"/>
    <w:rsid w:val="0FCE4AEE"/>
    <w:rsid w:val="0FE541A7"/>
    <w:rsid w:val="0FE75158"/>
    <w:rsid w:val="0FEB7057"/>
    <w:rsid w:val="0FEC220C"/>
    <w:rsid w:val="0FF31FD6"/>
    <w:rsid w:val="104759D4"/>
    <w:rsid w:val="10483685"/>
    <w:rsid w:val="10946A69"/>
    <w:rsid w:val="109E59CA"/>
    <w:rsid w:val="10D82ACA"/>
    <w:rsid w:val="10EE63F5"/>
    <w:rsid w:val="10F33CBF"/>
    <w:rsid w:val="11000186"/>
    <w:rsid w:val="11465695"/>
    <w:rsid w:val="114746F1"/>
    <w:rsid w:val="11571E25"/>
    <w:rsid w:val="116D2F11"/>
    <w:rsid w:val="116F139E"/>
    <w:rsid w:val="116F741B"/>
    <w:rsid w:val="118A465E"/>
    <w:rsid w:val="119863A6"/>
    <w:rsid w:val="11A8713D"/>
    <w:rsid w:val="11B753FA"/>
    <w:rsid w:val="11C60EBB"/>
    <w:rsid w:val="11D1752A"/>
    <w:rsid w:val="11FE162F"/>
    <w:rsid w:val="12027934"/>
    <w:rsid w:val="12042955"/>
    <w:rsid w:val="120A1247"/>
    <w:rsid w:val="12232DD9"/>
    <w:rsid w:val="12242425"/>
    <w:rsid w:val="123A4F87"/>
    <w:rsid w:val="123F11E9"/>
    <w:rsid w:val="12421ED0"/>
    <w:rsid w:val="12662B25"/>
    <w:rsid w:val="128166C1"/>
    <w:rsid w:val="1282136C"/>
    <w:rsid w:val="12880007"/>
    <w:rsid w:val="12971683"/>
    <w:rsid w:val="129942B2"/>
    <w:rsid w:val="129E2A41"/>
    <w:rsid w:val="12A56FDC"/>
    <w:rsid w:val="12AF31A7"/>
    <w:rsid w:val="12B00155"/>
    <w:rsid w:val="12D64890"/>
    <w:rsid w:val="12EB6242"/>
    <w:rsid w:val="130C1B62"/>
    <w:rsid w:val="13284CEB"/>
    <w:rsid w:val="13331DF8"/>
    <w:rsid w:val="136A6DD5"/>
    <w:rsid w:val="13724F12"/>
    <w:rsid w:val="13844191"/>
    <w:rsid w:val="138A500D"/>
    <w:rsid w:val="13F303AE"/>
    <w:rsid w:val="13FF73EB"/>
    <w:rsid w:val="140416B2"/>
    <w:rsid w:val="14057AEF"/>
    <w:rsid w:val="141435CB"/>
    <w:rsid w:val="14217B2A"/>
    <w:rsid w:val="14280387"/>
    <w:rsid w:val="143646F8"/>
    <w:rsid w:val="144F392A"/>
    <w:rsid w:val="145057D4"/>
    <w:rsid w:val="14625E62"/>
    <w:rsid w:val="14825D1A"/>
    <w:rsid w:val="14AF7A0C"/>
    <w:rsid w:val="14DD6B2F"/>
    <w:rsid w:val="14DF010C"/>
    <w:rsid w:val="14E45142"/>
    <w:rsid w:val="15026115"/>
    <w:rsid w:val="151065EC"/>
    <w:rsid w:val="151A70EF"/>
    <w:rsid w:val="151C0F6B"/>
    <w:rsid w:val="15202DA1"/>
    <w:rsid w:val="152436B6"/>
    <w:rsid w:val="15A21235"/>
    <w:rsid w:val="15A41994"/>
    <w:rsid w:val="15B034B5"/>
    <w:rsid w:val="15B52B33"/>
    <w:rsid w:val="15C00E24"/>
    <w:rsid w:val="15C2412F"/>
    <w:rsid w:val="1616256A"/>
    <w:rsid w:val="164735FE"/>
    <w:rsid w:val="16475C9D"/>
    <w:rsid w:val="16531E92"/>
    <w:rsid w:val="16697A71"/>
    <w:rsid w:val="168B63AB"/>
    <w:rsid w:val="1692255C"/>
    <w:rsid w:val="169E668D"/>
    <w:rsid w:val="16A56E37"/>
    <w:rsid w:val="16A8786F"/>
    <w:rsid w:val="16C94E27"/>
    <w:rsid w:val="16E1284B"/>
    <w:rsid w:val="16FC4AA9"/>
    <w:rsid w:val="17382425"/>
    <w:rsid w:val="173D3CD4"/>
    <w:rsid w:val="17533E54"/>
    <w:rsid w:val="175858BF"/>
    <w:rsid w:val="17586581"/>
    <w:rsid w:val="175E7322"/>
    <w:rsid w:val="17671CBC"/>
    <w:rsid w:val="176777C9"/>
    <w:rsid w:val="176C4423"/>
    <w:rsid w:val="178D5BDF"/>
    <w:rsid w:val="179303F5"/>
    <w:rsid w:val="17C3033D"/>
    <w:rsid w:val="17CF5D54"/>
    <w:rsid w:val="180F7D98"/>
    <w:rsid w:val="18172263"/>
    <w:rsid w:val="181C1F34"/>
    <w:rsid w:val="18244DCA"/>
    <w:rsid w:val="182D7150"/>
    <w:rsid w:val="186A798D"/>
    <w:rsid w:val="186C0DF2"/>
    <w:rsid w:val="18964900"/>
    <w:rsid w:val="18A851B8"/>
    <w:rsid w:val="18D23E2B"/>
    <w:rsid w:val="18D52521"/>
    <w:rsid w:val="18DA254A"/>
    <w:rsid w:val="190251D8"/>
    <w:rsid w:val="19332FD8"/>
    <w:rsid w:val="196606E7"/>
    <w:rsid w:val="1970714C"/>
    <w:rsid w:val="19AD346E"/>
    <w:rsid w:val="19DB7CFB"/>
    <w:rsid w:val="19E87C8D"/>
    <w:rsid w:val="19F82CA0"/>
    <w:rsid w:val="1A063512"/>
    <w:rsid w:val="1A1B66B7"/>
    <w:rsid w:val="1A2A3C2B"/>
    <w:rsid w:val="1A692C58"/>
    <w:rsid w:val="1A726115"/>
    <w:rsid w:val="1A934781"/>
    <w:rsid w:val="1A993792"/>
    <w:rsid w:val="1AB233E4"/>
    <w:rsid w:val="1AC04214"/>
    <w:rsid w:val="1AE73AAA"/>
    <w:rsid w:val="1AE97D97"/>
    <w:rsid w:val="1AF27DF1"/>
    <w:rsid w:val="1AF41A23"/>
    <w:rsid w:val="1B076E5E"/>
    <w:rsid w:val="1B0C080F"/>
    <w:rsid w:val="1B315867"/>
    <w:rsid w:val="1B6D2E26"/>
    <w:rsid w:val="1B72148E"/>
    <w:rsid w:val="1B856F9D"/>
    <w:rsid w:val="1B876A46"/>
    <w:rsid w:val="1B932655"/>
    <w:rsid w:val="1B945B9E"/>
    <w:rsid w:val="1BA64C24"/>
    <w:rsid w:val="1BBD6296"/>
    <w:rsid w:val="1BC47DAD"/>
    <w:rsid w:val="1BCA031A"/>
    <w:rsid w:val="1BCB1660"/>
    <w:rsid w:val="1C075E69"/>
    <w:rsid w:val="1C12551F"/>
    <w:rsid w:val="1C206C92"/>
    <w:rsid w:val="1C381474"/>
    <w:rsid w:val="1C4E7B7C"/>
    <w:rsid w:val="1C646C8C"/>
    <w:rsid w:val="1C70403B"/>
    <w:rsid w:val="1C8C3E1B"/>
    <w:rsid w:val="1C9E40F7"/>
    <w:rsid w:val="1CA3485C"/>
    <w:rsid w:val="1CB10D44"/>
    <w:rsid w:val="1CC26A2A"/>
    <w:rsid w:val="1CCD1B31"/>
    <w:rsid w:val="1CE12702"/>
    <w:rsid w:val="1CE63385"/>
    <w:rsid w:val="1CF31AD0"/>
    <w:rsid w:val="1D214EA7"/>
    <w:rsid w:val="1D310FC7"/>
    <w:rsid w:val="1D5431EA"/>
    <w:rsid w:val="1D575EA1"/>
    <w:rsid w:val="1D6662BA"/>
    <w:rsid w:val="1D6A2AB8"/>
    <w:rsid w:val="1D7467C8"/>
    <w:rsid w:val="1D774FBB"/>
    <w:rsid w:val="1D7914B1"/>
    <w:rsid w:val="1D7D1374"/>
    <w:rsid w:val="1D8C7D40"/>
    <w:rsid w:val="1D9121CC"/>
    <w:rsid w:val="1DA966A6"/>
    <w:rsid w:val="1DB84B1C"/>
    <w:rsid w:val="1DEF5E67"/>
    <w:rsid w:val="1DF77283"/>
    <w:rsid w:val="1E0261F6"/>
    <w:rsid w:val="1E357407"/>
    <w:rsid w:val="1E3B0EF8"/>
    <w:rsid w:val="1E535E93"/>
    <w:rsid w:val="1E5A2140"/>
    <w:rsid w:val="1E6404A6"/>
    <w:rsid w:val="1E81688A"/>
    <w:rsid w:val="1E94193B"/>
    <w:rsid w:val="1E96380B"/>
    <w:rsid w:val="1E975368"/>
    <w:rsid w:val="1EDA2486"/>
    <w:rsid w:val="1EFF0B3E"/>
    <w:rsid w:val="1F034110"/>
    <w:rsid w:val="1F2E3F89"/>
    <w:rsid w:val="1F482D5E"/>
    <w:rsid w:val="1F494978"/>
    <w:rsid w:val="1F5469B5"/>
    <w:rsid w:val="1F6B6A6C"/>
    <w:rsid w:val="1F7F3796"/>
    <w:rsid w:val="1F9B41F9"/>
    <w:rsid w:val="1F9C01BD"/>
    <w:rsid w:val="1FA64FE2"/>
    <w:rsid w:val="1FB170A0"/>
    <w:rsid w:val="1FC070BB"/>
    <w:rsid w:val="1FFB1470"/>
    <w:rsid w:val="20232CE7"/>
    <w:rsid w:val="202441DD"/>
    <w:rsid w:val="205745EE"/>
    <w:rsid w:val="20654CA5"/>
    <w:rsid w:val="207A1947"/>
    <w:rsid w:val="2083418C"/>
    <w:rsid w:val="208F27DE"/>
    <w:rsid w:val="2092476B"/>
    <w:rsid w:val="2099293D"/>
    <w:rsid w:val="20B77EC8"/>
    <w:rsid w:val="20CD1403"/>
    <w:rsid w:val="20DD7676"/>
    <w:rsid w:val="21116FA2"/>
    <w:rsid w:val="2138022E"/>
    <w:rsid w:val="214450EB"/>
    <w:rsid w:val="214B6DEE"/>
    <w:rsid w:val="21635201"/>
    <w:rsid w:val="2164600D"/>
    <w:rsid w:val="21734D1B"/>
    <w:rsid w:val="21A276C9"/>
    <w:rsid w:val="21C85AF7"/>
    <w:rsid w:val="21CF7C1F"/>
    <w:rsid w:val="21E37B46"/>
    <w:rsid w:val="21E9032B"/>
    <w:rsid w:val="21F801D3"/>
    <w:rsid w:val="21FD1F07"/>
    <w:rsid w:val="21FD5B77"/>
    <w:rsid w:val="22205804"/>
    <w:rsid w:val="222C2363"/>
    <w:rsid w:val="222D4FED"/>
    <w:rsid w:val="223361E3"/>
    <w:rsid w:val="223A1DA9"/>
    <w:rsid w:val="2244023E"/>
    <w:rsid w:val="224C04CC"/>
    <w:rsid w:val="224F44B6"/>
    <w:rsid w:val="227024A1"/>
    <w:rsid w:val="227721F4"/>
    <w:rsid w:val="22776016"/>
    <w:rsid w:val="22851C28"/>
    <w:rsid w:val="22931B9D"/>
    <w:rsid w:val="229979B0"/>
    <w:rsid w:val="22A52C74"/>
    <w:rsid w:val="22A93DF1"/>
    <w:rsid w:val="22AB3465"/>
    <w:rsid w:val="22BE333B"/>
    <w:rsid w:val="22C378CB"/>
    <w:rsid w:val="22DB15F0"/>
    <w:rsid w:val="22DE25F4"/>
    <w:rsid w:val="22F82ED5"/>
    <w:rsid w:val="22FA47A2"/>
    <w:rsid w:val="23060F09"/>
    <w:rsid w:val="230B6634"/>
    <w:rsid w:val="232351AC"/>
    <w:rsid w:val="232F1A84"/>
    <w:rsid w:val="232F3AC9"/>
    <w:rsid w:val="23315E48"/>
    <w:rsid w:val="2345523C"/>
    <w:rsid w:val="235823DF"/>
    <w:rsid w:val="23636B21"/>
    <w:rsid w:val="23AA33DB"/>
    <w:rsid w:val="23CE783B"/>
    <w:rsid w:val="23D015AA"/>
    <w:rsid w:val="23DA5601"/>
    <w:rsid w:val="23DE0DD7"/>
    <w:rsid w:val="23E33059"/>
    <w:rsid w:val="23FB4DC5"/>
    <w:rsid w:val="24012EC8"/>
    <w:rsid w:val="2407754B"/>
    <w:rsid w:val="240B355C"/>
    <w:rsid w:val="240E568D"/>
    <w:rsid w:val="241B5065"/>
    <w:rsid w:val="24277736"/>
    <w:rsid w:val="242B5298"/>
    <w:rsid w:val="243424B9"/>
    <w:rsid w:val="24377454"/>
    <w:rsid w:val="244E7181"/>
    <w:rsid w:val="244F06E6"/>
    <w:rsid w:val="246054EA"/>
    <w:rsid w:val="24654405"/>
    <w:rsid w:val="246C071E"/>
    <w:rsid w:val="247E60FF"/>
    <w:rsid w:val="24A55E8C"/>
    <w:rsid w:val="24A648D6"/>
    <w:rsid w:val="24B3192E"/>
    <w:rsid w:val="24C1529D"/>
    <w:rsid w:val="24DF3553"/>
    <w:rsid w:val="24E0590C"/>
    <w:rsid w:val="250F720E"/>
    <w:rsid w:val="25366495"/>
    <w:rsid w:val="25413EBD"/>
    <w:rsid w:val="25595C0D"/>
    <w:rsid w:val="257174AD"/>
    <w:rsid w:val="259A0D87"/>
    <w:rsid w:val="259B085D"/>
    <w:rsid w:val="25DD4288"/>
    <w:rsid w:val="25E552D6"/>
    <w:rsid w:val="2603606B"/>
    <w:rsid w:val="260A4BDA"/>
    <w:rsid w:val="26126C75"/>
    <w:rsid w:val="26242ED7"/>
    <w:rsid w:val="2628629B"/>
    <w:rsid w:val="26331D28"/>
    <w:rsid w:val="26415585"/>
    <w:rsid w:val="265D56A6"/>
    <w:rsid w:val="268B5BCD"/>
    <w:rsid w:val="26A44AC9"/>
    <w:rsid w:val="26C96138"/>
    <w:rsid w:val="26D02784"/>
    <w:rsid w:val="26D51143"/>
    <w:rsid w:val="26DC6EC3"/>
    <w:rsid w:val="26DE6493"/>
    <w:rsid w:val="26FC4970"/>
    <w:rsid w:val="271D5651"/>
    <w:rsid w:val="27212DD9"/>
    <w:rsid w:val="272540EF"/>
    <w:rsid w:val="278F3B4A"/>
    <w:rsid w:val="279D7A60"/>
    <w:rsid w:val="27E15966"/>
    <w:rsid w:val="27E15B04"/>
    <w:rsid w:val="27E77DF4"/>
    <w:rsid w:val="27FD0A36"/>
    <w:rsid w:val="280E671E"/>
    <w:rsid w:val="2823188F"/>
    <w:rsid w:val="28493730"/>
    <w:rsid w:val="286041D7"/>
    <w:rsid w:val="287A55D7"/>
    <w:rsid w:val="28990387"/>
    <w:rsid w:val="28AA153D"/>
    <w:rsid w:val="28C724A6"/>
    <w:rsid w:val="28D232B3"/>
    <w:rsid w:val="28EC6D54"/>
    <w:rsid w:val="28ED682F"/>
    <w:rsid w:val="29281F4F"/>
    <w:rsid w:val="2930733A"/>
    <w:rsid w:val="29341B3F"/>
    <w:rsid w:val="294D11DD"/>
    <w:rsid w:val="295B6732"/>
    <w:rsid w:val="296F6315"/>
    <w:rsid w:val="29B255AC"/>
    <w:rsid w:val="29B4111D"/>
    <w:rsid w:val="29D171AE"/>
    <w:rsid w:val="29E35FBF"/>
    <w:rsid w:val="2A0C4F0B"/>
    <w:rsid w:val="2A2E5EC3"/>
    <w:rsid w:val="2A3F7516"/>
    <w:rsid w:val="2A4F25AF"/>
    <w:rsid w:val="2A596B58"/>
    <w:rsid w:val="2A7E6405"/>
    <w:rsid w:val="2ABB7AB5"/>
    <w:rsid w:val="2ADC5AFD"/>
    <w:rsid w:val="2AE04C14"/>
    <w:rsid w:val="2AEA4426"/>
    <w:rsid w:val="2AEB7012"/>
    <w:rsid w:val="2AF043CD"/>
    <w:rsid w:val="2B1405A3"/>
    <w:rsid w:val="2B213145"/>
    <w:rsid w:val="2B226EBA"/>
    <w:rsid w:val="2B3E5C07"/>
    <w:rsid w:val="2B421755"/>
    <w:rsid w:val="2B630FE0"/>
    <w:rsid w:val="2B646328"/>
    <w:rsid w:val="2B7F5B7C"/>
    <w:rsid w:val="2B874047"/>
    <w:rsid w:val="2B877A62"/>
    <w:rsid w:val="2BA8103C"/>
    <w:rsid w:val="2BB01966"/>
    <w:rsid w:val="2BB85D4C"/>
    <w:rsid w:val="2BB92985"/>
    <w:rsid w:val="2BBC5362"/>
    <w:rsid w:val="2BBD4D3C"/>
    <w:rsid w:val="2BDC3B5D"/>
    <w:rsid w:val="2BDD2A00"/>
    <w:rsid w:val="2BE30E13"/>
    <w:rsid w:val="2BE54AB3"/>
    <w:rsid w:val="2BF10255"/>
    <w:rsid w:val="2BF14304"/>
    <w:rsid w:val="2BF21797"/>
    <w:rsid w:val="2BFD7302"/>
    <w:rsid w:val="2C2562D7"/>
    <w:rsid w:val="2C2C5D0A"/>
    <w:rsid w:val="2C373380"/>
    <w:rsid w:val="2C467ACB"/>
    <w:rsid w:val="2C482046"/>
    <w:rsid w:val="2C4910A4"/>
    <w:rsid w:val="2C53279B"/>
    <w:rsid w:val="2C776EAE"/>
    <w:rsid w:val="2C7C410C"/>
    <w:rsid w:val="2C84191C"/>
    <w:rsid w:val="2C9A0352"/>
    <w:rsid w:val="2CA61EB6"/>
    <w:rsid w:val="2CB90F6B"/>
    <w:rsid w:val="2CBC21B9"/>
    <w:rsid w:val="2CC06D85"/>
    <w:rsid w:val="2CC212A2"/>
    <w:rsid w:val="2CC64E98"/>
    <w:rsid w:val="2CE53EC9"/>
    <w:rsid w:val="2CED7B05"/>
    <w:rsid w:val="2CF03311"/>
    <w:rsid w:val="2CF66974"/>
    <w:rsid w:val="2D2C49F4"/>
    <w:rsid w:val="2D3231A3"/>
    <w:rsid w:val="2D334771"/>
    <w:rsid w:val="2D4A7C0F"/>
    <w:rsid w:val="2D5C5587"/>
    <w:rsid w:val="2D6979A2"/>
    <w:rsid w:val="2D6B7D37"/>
    <w:rsid w:val="2D6E0F8B"/>
    <w:rsid w:val="2D961EB4"/>
    <w:rsid w:val="2D9E051C"/>
    <w:rsid w:val="2DA67A52"/>
    <w:rsid w:val="2DB35372"/>
    <w:rsid w:val="2DC2419D"/>
    <w:rsid w:val="2DC42ED8"/>
    <w:rsid w:val="2DF714AB"/>
    <w:rsid w:val="2DFB8006"/>
    <w:rsid w:val="2E1B6A09"/>
    <w:rsid w:val="2E1C66D9"/>
    <w:rsid w:val="2E20419C"/>
    <w:rsid w:val="2E3748D8"/>
    <w:rsid w:val="2E39096E"/>
    <w:rsid w:val="2E3D181E"/>
    <w:rsid w:val="2E407735"/>
    <w:rsid w:val="2E4378CA"/>
    <w:rsid w:val="2E5D65EC"/>
    <w:rsid w:val="2E8B220F"/>
    <w:rsid w:val="2E9F2E41"/>
    <w:rsid w:val="2EDE33A7"/>
    <w:rsid w:val="2EE6629B"/>
    <w:rsid w:val="2EF808F5"/>
    <w:rsid w:val="2F1A4F5B"/>
    <w:rsid w:val="2F545ECF"/>
    <w:rsid w:val="2F553A02"/>
    <w:rsid w:val="2F6A3916"/>
    <w:rsid w:val="2F8E51C6"/>
    <w:rsid w:val="2F907D1A"/>
    <w:rsid w:val="2F9D6A6D"/>
    <w:rsid w:val="2FAC60D5"/>
    <w:rsid w:val="2FAD16BD"/>
    <w:rsid w:val="2FAF086C"/>
    <w:rsid w:val="2FB07141"/>
    <w:rsid w:val="2FCF3509"/>
    <w:rsid w:val="2FDA5ED0"/>
    <w:rsid w:val="2FDE0037"/>
    <w:rsid w:val="30122489"/>
    <w:rsid w:val="303567D0"/>
    <w:rsid w:val="30395CA8"/>
    <w:rsid w:val="303C0F99"/>
    <w:rsid w:val="30626094"/>
    <w:rsid w:val="306D78AA"/>
    <w:rsid w:val="306F7E23"/>
    <w:rsid w:val="30810334"/>
    <w:rsid w:val="30995E67"/>
    <w:rsid w:val="309C2D68"/>
    <w:rsid w:val="30FC1A0E"/>
    <w:rsid w:val="311218B8"/>
    <w:rsid w:val="311B079F"/>
    <w:rsid w:val="314A3A4E"/>
    <w:rsid w:val="314D4DA6"/>
    <w:rsid w:val="315930FF"/>
    <w:rsid w:val="31690F17"/>
    <w:rsid w:val="316C76DF"/>
    <w:rsid w:val="318341BB"/>
    <w:rsid w:val="3192753B"/>
    <w:rsid w:val="31986FA8"/>
    <w:rsid w:val="319D16E5"/>
    <w:rsid w:val="31A11CAB"/>
    <w:rsid w:val="31AB7069"/>
    <w:rsid w:val="31BC2CF2"/>
    <w:rsid w:val="31CE3705"/>
    <w:rsid w:val="31DE1ED4"/>
    <w:rsid w:val="31E437C3"/>
    <w:rsid w:val="31FE5BD6"/>
    <w:rsid w:val="32085F70"/>
    <w:rsid w:val="321C348A"/>
    <w:rsid w:val="3221548D"/>
    <w:rsid w:val="324A2F04"/>
    <w:rsid w:val="324C7B5E"/>
    <w:rsid w:val="32550151"/>
    <w:rsid w:val="326D7E52"/>
    <w:rsid w:val="326F0D08"/>
    <w:rsid w:val="32711838"/>
    <w:rsid w:val="32747FA4"/>
    <w:rsid w:val="327D6EB6"/>
    <w:rsid w:val="32AA6C62"/>
    <w:rsid w:val="32BB4C10"/>
    <w:rsid w:val="32C05123"/>
    <w:rsid w:val="32C75919"/>
    <w:rsid w:val="32D57F96"/>
    <w:rsid w:val="32EB41A2"/>
    <w:rsid w:val="32F561CF"/>
    <w:rsid w:val="330900E6"/>
    <w:rsid w:val="331276B1"/>
    <w:rsid w:val="333558CB"/>
    <w:rsid w:val="333564B2"/>
    <w:rsid w:val="335605B2"/>
    <w:rsid w:val="337B04AE"/>
    <w:rsid w:val="33843804"/>
    <w:rsid w:val="339D3A1D"/>
    <w:rsid w:val="33B17382"/>
    <w:rsid w:val="33D449D2"/>
    <w:rsid w:val="33E21C4D"/>
    <w:rsid w:val="33EF0DA0"/>
    <w:rsid w:val="340F3785"/>
    <w:rsid w:val="342F7D23"/>
    <w:rsid w:val="343C6C73"/>
    <w:rsid w:val="34410B72"/>
    <w:rsid w:val="346430F8"/>
    <w:rsid w:val="346460CA"/>
    <w:rsid w:val="346F391A"/>
    <w:rsid w:val="349B7345"/>
    <w:rsid w:val="34B46019"/>
    <w:rsid w:val="34D200AA"/>
    <w:rsid w:val="34D80506"/>
    <w:rsid w:val="35044F71"/>
    <w:rsid w:val="351A12FF"/>
    <w:rsid w:val="35220C42"/>
    <w:rsid w:val="35421406"/>
    <w:rsid w:val="357A7844"/>
    <w:rsid w:val="359C7287"/>
    <w:rsid w:val="35BD50CB"/>
    <w:rsid w:val="35C44FE1"/>
    <w:rsid w:val="35D4215C"/>
    <w:rsid w:val="35D74B52"/>
    <w:rsid w:val="35DA638D"/>
    <w:rsid w:val="35EC7885"/>
    <w:rsid w:val="35FC0DF4"/>
    <w:rsid w:val="3606114A"/>
    <w:rsid w:val="362C4720"/>
    <w:rsid w:val="365411F7"/>
    <w:rsid w:val="365F6D9E"/>
    <w:rsid w:val="367053C7"/>
    <w:rsid w:val="367E2577"/>
    <w:rsid w:val="368469DA"/>
    <w:rsid w:val="36AE5448"/>
    <w:rsid w:val="36BD4A98"/>
    <w:rsid w:val="36D40E86"/>
    <w:rsid w:val="36E5255B"/>
    <w:rsid w:val="36F40CAC"/>
    <w:rsid w:val="36F7580B"/>
    <w:rsid w:val="37037925"/>
    <w:rsid w:val="37037E69"/>
    <w:rsid w:val="370965F4"/>
    <w:rsid w:val="37303C6E"/>
    <w:rsid w:val="37380B29"/>
    <w:rsid w:val="373B3B43"/>
    <w:rsid w:val="373E69D6"/>
    <w:rsid w:val="375F2717"/>
    <w:rsid w:val="37627BEE"/>
    <w:rsid w:val="376B1595"/>
    <w:rsid w:val="377014F4"/>
    <w:rsid w:val="377C43B1"/>
    <w:rsid w:val="3781543C"/>
    <w:rsid w:val="379457FC"/>
    <w:rsid w:val="37B54493"/>
    <w:rsid w:val="37C01428"/>
    <w:rsid w:val="37C6592C"/>
    <w:rsid w:val="37DC23DD"/>
    <w:rsid w:val="37F74618"/>
    <w:rsid w:val="3814179D"/>
    <w:rsid w:val="38157283"/>
    <w:rsid w:val="382010FF"/>
    <w:rsid w:val="382640E4"/>
    <w:rsid w:val="38331502"/>
    <w:rsid w:val="383D2F1B"/>
    <w:rsid w:val="384A0198"/>
    <w:rsid w:val="38634448"/>
    <w:rsid w:val="3883551D"/>
    <w:rsid w:val="38C84635"/>
    <w:rsid w:val="38DB7BFA"/>
    <w:rsid w:val="39140011"/>
    <w:rsid w:val="391C0296"/>
    <w:rsid w:val="391D3AF0"/>
    <w:rsid w:val="391F69AB"/>
    <w:rsid w:val="392B63A0"/>
    <w:rsid w:val="3936176F"/>
    <w:rsid w:val="393939CD"/>
    <w:rsid w:val="3941478B"/>
    <w:rsid w:val="395F0715"/>
    <w:rsid w:val="396E0F66"/>
    <w:rsid w:val="39710A35"/>
    <w:rsid w:val="39720959"/>
    <w:rsid w:val="397D48A4"/>
    <w:rsid w:val="39A43912"/>
    <w:rsid w:val="39B04F23"/>
    <w:rsid w:val="39BE3C62"/>
    <w:rsid w:val="39CA02B6"/>
    <w:rsid w:val="39E66956"/>
    <w:rsid w:val="39F15374"/>
    <w:rsid w:val="39F73E41"/>
    <w:rsid w:val="3A0D756E"/>
    <w:rsid w:val="3A22137F"/>
    <w:rsid w:val="3A5B4B80"/>
    <w:rsid w:val="3A5C7570"/>
    <w:rsid w:val="3A6D52F6"/>
    <w:rsid w:val="3A720516"/>
    <w:rsid w:val="3A8B78BD"/>
    <w:rsid w:val="3A8E66D8"/>
    <w:rsid w:val="3A9312C9"/>
    <w:rsid w:val="3AB417A1"/>
    <w:rsid w:val="3ABF2DF9"/>
    <w:rsid w:val="3AC51D1F"/>
    <w:rsid w:val="3AD1417A"/>
    <w:rsid w:val="3AF60F06"/>
    <w:rsid w:val="3B0C7B6C"/>
    <w:rsid w:val="3B0F40E7"/>
    <w:rsid w:val="3B1C1823"/>
    <w:rsid w:val="3B1F7233"/>
    <w:rsid w:val="3B24019C"/>
    <w:rsid w:val="3B4925B5"/>
    <w:rsid w:val="3B5849A8"/>
    <w:rsid w:val="3B694CE8"/>
    <w:rsid w:val="3B6E0C97"/>
    <w:rsid w:val="3B727BBA"/>
    <w:rsid w:val="3B825D7E"/>
    <w:rsid w:val="3B83368E"/>
    <w:rsid w:val="3B8B201F"/>
    <w:rsid w:val="3BA4762F"/>
    <w:rsid w:val="3BB3529B"/>
    <w:rsid w:val="3BB538AE"/>
    <w:rsid w:val="3BC94CF1"/>
    <w:rsid w:val="3BCC1F83"/>
    <w:rsid w:val="3BDA0DBB"/>
    <w:rsid w:val="3BEE59A1"/>
    <w:rsid w:val="3C0B5697"/>
    <w:rsid w:val="3C2A4032"/>
    <w:rsid w:val="3C2F6874"/>
    <w:rsid w:val="3C4C5CD6"/>
    <w:rsid w:val="3C504BF5"/>
    <w:rsid w:val="3C5A50CA"/>
    <w:rsid w:val="3C604B16"/>
    <w:rsid w:val="3C9348C9"/>
    <w:rsid w:val="3CB21149"/>
    <w:rsid w:val="3CB550D0"/>
    <w:rsid w:val="3CDA0858"/>
    <w:rsid w:val="3CF34AEF"/>
    <w:rsid w:val="3D232519"/>
    <w:rsid w:val="3D3A012C"/>
    <w:rsid w:val="3D7143D1"/>
    <w:rsid w:val="3D847AEF"/>
    <w:rsid w:val="3D8D4A80"/>
    <w:rsid w:val="3D8F7AD8"/>
    <w:rsid w:val="3D981281"/>
    <w:rsid w:val="3D9B6610"/>
    <w:rsid w:val="3DAE6608"/>
    <w:rsid w:val="3DDB2FBF"/>
    <w:rsid w:val="3E0B5973"/>
    <w:rsid w:val="3E111A02"/>
    <w:rsid w:val="3E57134E"/>
    <w:rsid w:val="3E5E3F73"/>
    <w:rsid w:val="3E622899"/>
    <w:rsid w:val="3E875DFB"/>
    <w:rsid w:val="3E9E4A92"/>
    <w:rsid w:val="3EA83156"/>
    <w:rsid w:val="3EC541D4"/>
    <w:rsid w:val="3EDB58B2"/>
    <w:rsid w:val="3EFD33F2"/>
    <w:rsid w:val="3F05360D"/>
    <w:rsid w:val="3F127EC2"/>
    <w:rsid w:val="3F1936A8"/>
    <w:rsid w:val="3F1B62AB"/>
    <w:rsid w:val="3F287F88"/>
    <w:rsid w:val="3F36187C"/>
    <w:rsid w:val="3F4A3648"/>
    <w:rsid w:val="3F4D51A4"/>
    <w:rsid w:val="3F580EC6"/>
    <w:rsid w:val="3F5F6472"/>
    <w:rsid w:val="3F616373"/>
    <w:rsid w:val="3F685A09"/>
    <w:rsid w:val="3F725AA7"/>
    <w:rsid w:val="3F725E89"/>
    <w:rsid w:val="3F7408F9"/>
    <w:rsid w:val="3F9875F1"/>
    <w:rsid w:val="3F9B205C"/>
    <w:rsid w:val="3FB45298"/>
    <w:rsid w:val="3FD66DE6"/>
    <w:rsid w:val="3FEA2131"/>
    <w:rsid w:val="401619AA"/>
    <w:rsid w:val="40194511"/>
    <w:rsid w:val="4034722F"/>
    <w:rsid w:val="40362719"/>
    <w:rsid w:val="406C4A5E"/>
    <w:rsid w:val="407D43F8"/>
    <w:rsid w:val="408E6564"/>
    <w:rsid w:val="409E0A4C"/>
    <w:rsid w:val="409F1F53"/>
    <w:rsid w:val="40A06A06"/>
    <w:rsid w:val="40AB6219"/>
    <w:rsid w:val="40B307CB"/>
    <w:rsid w:val="40DC64A9"/>
    <w:rsid w:val="41416355"/>
    <w:rsid w:val="414B0C19"/>
    <w:rsid w:val="41607B54"/>
    <w:rsid w:val="416978E6"/>
    <w:rsid w:val="418571B6"/>
    <w:rsid w:val="418B3BC9"/>
    <w:rsid w:val="41A1392D"/>
    <w:rsid w:val="41BC332E"/>
    <w:rsid w:val="41C97E98"/>
    <w:rsid w:val="41FD6100"/>
    <w:rsid w:val="420213FD"/>
    <w:rsid w:val="421776A4"/>
    <w:rsid w:val="42296BFF"/>
    <w:rsid w:val="424479CC"/>
    <w:rsid w:val="4245791B"/>
    <w:rsid w:val="428B7B3A"/>
    <w:rsid w:val="42A003DC"/>
    <w:rsid w:val="42A835C7"/>
    <w:rsid w:val="42AE22B6"/>
    <w:rsid w:val="42BC0FC2"/>
    <w:rsid w:val="42CA13D7"/>
    <w:rsid w:val="42DD57E8"/>
    <w:rsid w:val="42F02F5B"/>
    <w:rsid w:val="42FE0640"/>
    <w:rsid w:val="430259A8"/>
    <w:rsid w:val="431C58DB"/>
    <w:rsid w:val="43441481"/>
    <w:rsid w:val="4347474D"/>
    <w:rsid w:val="4393114D"/>
    <w:rsid w:val="439554C3"/>
    <w:rsid w:val="43B82E54"/>
    <w:rsid w:val="43B854A2"/>
    <w:rsid w:val="43BD1D22"/>
    <w:rsid w:val="43DF5D34"/>
    <w:rsid w:val="43F246C7"/>
    <w:rsid w:val="43FF1636"/>
    <w:rsid w:val="440154A0"/>
    <w:rsid w:val="4402524A"/>
    <w:rsid w:val="440C60C0"/>
    <w:rsid w:val="443B554F"/>
    <w:rsid w:val="444756BD"/>
    <w:rsid w:val="444E4A2C"/>
    <w:rsid w:val="446D2679"/>
    <w:rsid w:val="44872A6A"/>
    <w:rsid w:val="44AE1D22"/>
    <w:rsid w:val="44B521A8"/>
    <w:rsid w:val="44E70A23"/>
    <w:rsid w:val="44E73260"/>
    <w:rsid w:val="44F816EF"/>
    <w:rsid w:val="45022D66"/>
    <w:rsid w:val="45200C29"/>
    <w:rsid w:val="455E621A"/>
    <w:rsid w:val="4597240A"/>
    <w:rsid w:val="4597661C"/>
    <w:rsid w:val="45B0151F"/>
    <w:rsid w:val="45BB3903"/>
    <w:rsid w:val="45D30DD1"/>
    <w:rsid w:val="45DD4DCC"/>
    <w:rsid w:val="45F17351"/>
    <w:rsid w:val="463B53C5"/>
    <w:rsid w:val="46494351"/>
    <w:rsid w:val="464C7AE8"/>
    <w:rsid w:val="464F6F36"/>
    <w:rsid w:val="466107E1"/>
    <w:rsid w:val="46776FEF"/>
    <w:rsid w:val="468E04A8"/>
    <w:rsid w:val="46913D28"/>
    <w:rsid w:val="46D00A34"/>
    <w:rsid w:val="46D64CF3"/>
    <w:rsid w:val="471836FD"/>
    <w:rsid w:val="47863C28"/>
    <w:rsid w:val="47964733"/>
    <w:rsid w:val="47AB3CD0"/>
    <w:rsid w:val="47B21202"/>
    <w:rsid w:val="47B9550F"/>
    <w:rsid w:val="47D7450B"/>
    <w:rsid w:val="47DC5F53"/>
    <w:rsid w:val="47F46407"/>
    <w:rsid w:val="47F83410"/>
    <w:rsid w:val="480C0E2F"/>
    <w:rsid w:val="480C20B0"/>
    <w:rsid w:val="481E51D0"/>
    <w:rsid w:val="483A47B2"/>
    <w:rsid w:val="483B5F73"/>
    <w:rsid w:val="484372AF"/>
    <w:rsid w:val="48501ADE"/>
    <w:rsid w:val="48504E70"/>
    <w:rsid w:val="48BB38AC"/>
    <w:rsid w:val="48C43C3B"/>
    <w:rsid w:val="48C84142"/>
    <w:rsid w:val="48DB088D"/>
    <w:rsid w:val="48DE7F49"/>
    <w:rsid w:val="490C06BF"/>
    <w:rsid w:val="49191F98"/>
    <w:rsid w:val="492C6FBA"/>
    <w:rsid w:val="49432D57"/>
    <w:rsid w:val="499E5F0E"/>
    <w:rsid w:val="49C142F8"/>
    <w:rsid w:val="49ED3969"/>
    <w:rsid w:val="4A0C7D76"/>
    <w:rsid w:val="4A152035"/>
    <w:rsid w:val="4A3556DB"/>
    <w:rsid w:val="4A382180"/>
    <w:rsid w:val="4A4E348B"/>
    <w:rsid w:val="4A804780"/>
    <w:rsid w:val="4A845C02"/>
    <w:rsid w:val="4A910A04"/>
    <w:rsid w:val="4AA97DE0"/>
    <w:rsid w:val="4AA97FF9"/>
    <w:rsid w:val="4AAB64C9"/>
    <w:rsid w:val="4AAD5429"/>
    <w:rsid w:val="4AB702F4"/>
    <w:rsid w:val="4AC944A5"/>
    <w:rsid w:val="4AE8479A"/>
    <w:rsid w:val="4AF8178A"/>
    <w:rsid w:val="4AF95650"/>
    <w:rsid w:val="4AFB77A5"/>
    <w:rsid w:val="4B0C03CF"/>
    <w:rsid w:val="4B1A2225"/>
    <w:rsid w:val="4B2506AF"/>
    <w:rsid w:val="4B2D322C"/>
    <w:rsid w:val="4B3F1367"/>
    <w:rsid w:val="4B6E11F2"/>
    <w:rsid w:val="4BAC7B0A"/>
    <w:rsid w:val="4BBD21AF"/>
    <w:rsid w:val="4BF8237D"/>
    <w:rsid w:val="4C0670C5"/>
    <w:rsid w:val="4C104176"/>
    <w:rsid w:val="4C1A0EEE"/>
    <w:rsid w:val="4C3F1887"/>
    <w:rsid w:val="4C4F03BD"/>
    <w:rsid w:val="4C7B48CA"/>
    <w:rsid w:val="4C7C3222"/>
    <w:rsid w:val="4C8F0BDA"/>
    <w:rsid w:val="4CA24E2A"/>
    <w:rsid w:val="4CB326DE"/>
    <w:rsid w:val="4CBC4BF8"/>
    <w:rsid w:val="4CC50595"/>
    <w:rsid w:val="4CCA292B"/>
    <w:rsid w:val="4CCF689A"/>
    <w:rsid w:val="4CD4008C"/>
    <w:rsid w:val="4CE96BAF"/>
    <w:rsid w:val="4D0E2918"/>
    <w:rsid w:val="4D19045F"/>
    <w:rsid w:val="4D1B1B40"/>
    <w:rsid w:val="4D373574"/>
    <w:rsid w:val="4D584EDE"/>
    <w:rsid w:val="4D5B1193"/>
    <w:rsid w:val="4D7F34B3"/>
    <w:rsid w:val="4D8165DE"/>
    <w:rsid w:val="4D8B2396"/>
    <w:rsid w:val="4DAC2717"/>
    <w:rsid w:val="4DBF6CA1"/>
    <w:rsid w:val="4DE347FB"/>
    <w:rsid w:val="4DF37C35"/>
    <w:rsid w:val="4DFB3AF0"/>
    <w:rsid w:val="4E043D03"/>
    <w:rsid w:val="4E0F3B03"/>
    <w:rsid w:val="4E141239"/>
    <w:rsid w:val="4E1EF279"/>
    <w:rsid w:val="4E211584"/>
    <w:rsid w:val="4E2503F4"/>
    <w:rsid w:val="4E2F369F"/>
    <w:rsid w:val="4E3C3321"/>
    <w:rsid w:val="4E481C8B"/>
    <w:rsid w:val="4E8729E8"/>
    <w:rsid w:val="4E966DA7"/>
    <w:rsid w:val="4EAC19A0"/>
    <w:rsid w:val="4EAC762C"/>
    <w:rsid w:val="4EBF00D3"/>
    <w:rsid w:val="4EC65091"/>
    <w:rsid w:val="4EDB2C1F"/>
    <w:rsid w:val="4EEA494D"/>
    <w:rsid w:val="4EEC2E7A"/>
    <w:rsid w:val="4EEF206B"/>
    <w:rsid w:val="4F086CFE"/>
    <w:rsid w:val="4F6D00C5"/>
    <w:rsid w:val="4F7D5621"/>
    <w:rsid w:val="4F815833"/>
    <w:rsid w:val="4F887790"/>
    <w:rsid w:val="4F8F5B86"/>
    <w:rsid w:val="4FA3A76D"/>
    <w:rsid w:val="4FAC550A"/>
    <w:rsid w:val="4FC86063"/>
    <w:rsid w:val="4FCD2B34"/>
    <w:rsid w:val="4FFFE953"/>
    <w:rsid w:val="503E0BFC"/>
    <w:rsid w:val="5051046C"/>
    <w:rsid w:val="50605C4D"/>
    <w:rsid w:val="50643F7F"/>
    <w:rsid w:val="50660B8C"/>
    <w:rsid w:val="507A6D00"/>
    <w:rsid w:val="5087088A"/>
    <w:rsid w:val="508B0381"/>
    <w:rsid w:val="5093695B"/>
    <w:rsid w:val="50957F5C"/>
    <w:rsid w:val="50970ACF"/>
    <w:rsid w:val="50BD7467"/>
    <w:rsid w:val="50D61000"/>
    <w:rsid w:val="510A6B20"/>
    <w:rsid w:val="511D7A8F"/>
    <w:rsid w:val="511F4BE9"/>
    <w:rsid w:val="51553B21"/>
    <w:rsid w:val="51566D63"/>
    <w:rsid w:val="518032A7"/>
    <w:rsid w:val="5185414B"/>
    <w:rsid w:val="518937F8"/>
    <w:rsid w:val="519773B4"/>
    <w:rsid w:val="5198218E"/>
    <w:rsid w:val="51A81490"/>
    <w:rsid w:val="51B42DC6"/>
    <w:rsid w:val="51C2190C"/>
    <w:rsid w:val="51C4023F"/>
    <w:rsid w:val="51C763DE"/>
    <w:rsid w:val="51FC3390"/>
    <w:rsid w:val="520613B5"/>
    <w:rsid w:val="521F3FE9"/>
    <w:rsid w:val="5221316E"/>
    <w:rsid w:val="52327502"/>
    <w:rsid w:val="52363C9F"/>
    <w:rsid w:val="5277129A"/>
    <w:rsid w:val="529154C8"/>
    <w:rsid w:val="52945AA5"/>
    <w:rsid w:val="529B12A9"/>
    <w:rsid w:val="52B240DE"/>
    <w:rsid w:val="52EF51DC"/>
    <w:rsid w:val="52F66404"/>
    <w:rsid w:val="531460B5"/>
    <w:rsid w:val="5330082B"/>
    <w:rsid w:val="533344CB"/>
    <w:rsid w:val="53543D51"/>
    <w:rsid w:val="5363387A"/>
    <w:rsid w:val="53941F7A"/>
    <w:rsid w:val="53943BF8"/>
    <w:rsid w:val="53CC43C8"/>
    <w:rsid w:val="53D17152"/>
    <w:rsid w:val="540F59C0"/>
    <w:rsid w:val="541F773C"/>
    <w:rsid w:val="547935CE"/>
    <w:rsid w:val="548971B9"/>
    <w:rsid w:val="548E3ED7"/>
    <w:rsid w:val="54B228FD"/>
    <w:rsid w:val="54B232E7"/>
    <w:rsid w:val="54BF0ADD"/>
    <w:rsid w:val="54D12455"/>
    <w:rsid w:val="54D54C81"/>
    <w:rsid w:val="54E21AC4"/>
    <w:rsid w:val="54E4472E"/>
    <w:rsid w:val="54E72062"/>
    <w:rsid w:val="54E7425F"/>
    <w:rsid w:val="54E85993"/>
    <w:rsid w:val="54F403E3"/>
    <w:rsid w:val="54F410E3"/>
    <w:rsid w:val="55044595"/>
    <w:rsid w:val="5505509C"/>
    <w:rsid w:val="55110117"/>
    <w:rsid w:val="55194678"/>
    <w:rsid w:val="551B650B"/>
    <w:rsid w:val="551D4960"/>
    <w:rsid w:val="5520218B"/>
    <w:rsid w:val="554560C1"/>
    <w:rsid w:val="555C39EC"/>
    <w:rsid w:val="556176D1"/>
    <w:rsid w:val="556916DA"/>
    <w:rsid w:val="559A0831"/>
    <w:rsid w:val="55A14F3D"/>
    <w:rsid w:val="55A230C2"/>
    <w:rsid w:val="55AA0BE2"/>
    <w:rsid w:val="55AE0A58"/>
    <w:rsid w:val="56095819"/>
    <w:rsid w:val="560D116C"/>
    <w:rsid w:val="56207AFE"/>
    <w:rsid w:val="56332837"/>
    <w:rsid w:val="5650208E"/>
    <w:rsid w:val="565905DF"/>
    <w:rsid w:val="565C75CE"/>
    <w:rsid w:val="56807F32"/>
    <w:rsid w:val="568D777A"/>
    <w:rsid w:val="56B716B1"/>
    <w:rsid w:val="56B80532"/>
    <w:rsid w:val="56BA2FFB"/>
    <w:rsid w:val="56DC0149"/>
    <w:rsid w:val="56EB126C"/>
    <w:rsid w:val="57054778"/>
    <w:rsid w:val="57061223"/>
    <w:rsid w:val="573542D4"/>
    <w:rsid w:val="573C7B9E"/>
    <w:rsid w:val="57585D3E"/>
    <w:rsid w:val="57627009"/>
    <w:rsid w:val="576D0C07"/>
    <w:rsid w:val="576E5EF0"/>
    <w:rsid w:val="578C1D2C"/>
    <w:rsid w:val="57A44DAC"/>
    <w:rsid w:val="57B56DDC"/>
    <w:rsid w:val="57B90D3C"/>
    <w:rsid w:val="57D6638B"/>
    <w:rsid w:val="57DF302D"/>
    <w:rsid w:val="57E01B2E"/>
    <w:rsid w:val="57F7056A"/>
    <w:rsid w:val="58055AB0"/>
    <w:rsid w:val="580D33C8"/>
    <w:rsid w:val="582962BA"/>
    <w:rsid w:val="583731C3"/>
    <w:rsid w:val="584711E2"/>
    <w:rsid w:val="5856720B"/>
    <w:rsid w:val="587C7E1E"/>
    <w:rsid w:val="58870D68"/>
    <w:rsid w:val="58875D33"/>
    <w:rsid w:val="58A3281D"/>
    <w:rsid w:val="58B702E0"/>
    <w:rsid w:val="58BF1372"/>
    <w:rsid w:val="58C13722"/>
    <w:rsid w:val="58CE7613"/>
    <w:rsid w:val="58D3167D"/>
    <w:rsid w:val="59070C71"/>
    <w:rsid w:val="590D4B2E"/>
    <w:rsid w:val="591A6784"/>
    <w:rsid w:val="59232AA7"/>
    <w:rsid w:val="59260C5A"/>
    <w:rsid w:val="59550661"/>
    <w:rsid w:val="595C70B9"/>
    <w:rsid w:val="596917A8"/>
    <w:rsid w:val="597C53DC"/>
    <w:rsid w:val="59822F0F"/>
    <w:rsid w:val="599109FD"/>
    <w:rsid w:val="59A17AB9"/>
    <w:rsid w:val="59C04972"/>
    <w:rsid w:val="59C55F0C"/>
    <w:rsid w:val="59DB6EE8"/>
    <w:rsid w:val="59E720A2"/>
    <w:rsid w:val="5A0455E1"/>
    <w:rsid w:val="5A053A0D"/>
    <w:rsid w:val="5A0A0CDC"/>
    <w:rsid w:val="5A127776"/>
    <w:rsid w:val="5A174A1B"/>
    <w:rsid w:val="5A3127D4"/>
    <w:rsid w:val="5A716D87"/>
    <w:rsid w:val="5A764F42"/>
    <w:rsid w:val="5A836D39"/>
    <w:rsid w:val="5A856D64"/>
    <w:rsid w:val="5A8D610E"/>
    <w:rsid w:val="5A902112"/>
    <w:rsid w:val="5AB27F08"/>
    <w:rsid w:val="5AB90B3F"/>
    <w:rsid w:val="5AC4247D"/>
    <w:rsid w:val="5ACF7323"/>
    <w:rsid w:val="5AD833DB"/>
    <w:rsid w:val="5AE415BE"/>
    <w:rsid w:val="5AEF6C94"/>
    <w:rsid w:val="5AF255FF"/>
    <w:rsid w:val="5B323AE8"/>
    <w:rsid w:val="5B41257A"/>
    <w:rsid w:val="5B5E5C34"/>
    <w:rsid w:val="5B634F0F"/>
    <w:rsid w:val="5B981947"/>
    <w:rsid w:val="5BA33A0E"/>
    <w:rsid w:val="5BAD1FBC"/>
    <w:rsid w:val="5BAF1816"/>
    <w:rsid w:val="5BBD43A1"/>
    <w:rsid w:val="5BE32857"/>
    <w:rsid w:val="5BE736A3"/>
    <w:rsid w:val="5BED1CF2"/>
    <w:rsid w:val="5C17051C"/>
    <w:rsid w:val="5C284DB8"/>
    <w:rsid w:val="5C2A6F0E"/>
    <w:rsid w:val="5C344611"/>
    <w:rsid w:val="5C3638DC"/>
    <w:rsid w:val="5C504CA0"/>
    <w:rsid w:val="5C566511"/>
    <w:rsid w:val="5C684B8E"/>
    <w:rsid w:val="5C7148AD"/>
    <w:rsid w:val="5C975502"/>
    <w:rsid w:val="5C9C4AEA"/>
    <w:rsid w:val="5C9E7DEC"/>
    <w:rsid w:val="5CAC250A"/>
    <w:rsid w:val="5CC43286"/>
    <w:rsid w:val="5CC50100"/>
    <w:rsid w:val="5CCC12A1"/>
    <w:rsid w:val="5CCD72DE"/>
    <w:rsid w:val="5CEA275F"/>
    <w:rsid w:val="5D0A0F41"/>
    <w:rsid w:val="5D12464D"/>
    <w:rsid w:val="5D1F1F2F"/>
    <w:rsid w:val="5D246C2A"/>
    <w:rsid w:val="5D41552D"/>
    <w:rsid w:val="5D424BD9"/>
    <w:rsid w:val="5D4C4B58"/>
    <w:rsid w:val="5D585D11"/>
    <w:rsid w:val="5D637CD2"/>
    <w:rsid w:val="5D794F72"/>
    <w:rsid w:val="5DA353D6"/>
    <w:rsid w:val="5DBE20B5"/>
    <w:rsid w:val="5DCA2279"/>
    <w:rsid w:val="5DFF065E"/>
    <w:rsid w:val="5E2D6BAD"/>
    <w:rsid w:val="5E362CD9"/>
    <w:rsid w:val="5E3C6026"/>
    <w:rsid w:val="5E4F4E37"/>
    <w:rsid w:val="5E5423A7"/>
    <w:rsid w:val="5E5730D0"/>
    <w:rsid w:val="5E691224"/>
    <w:rsid w:val="5E6C5431"/>
    <w:rsid w:val="5E72658D"/>
    <w:rsid w:val="5E884937"/>
    <w:rsid w:val="5E934549"/>
    <w:rsid w:val="5E9605A4"/>
    <w:rsid w:val="5E9B138D"/>
    <w:rsid w:val="5EA80E41"/>
    <w:rsid w:val="5EAA529C"/>
    <w:rsid w:val="5EB65F8D"/>
    <w:rsid w:val="5EC105FD"/>
    <w:rsid w:val="5ED373AB"/>
    <w:rsid w:val="5EE13BB1"/>
    <w:rsid w:val="5EF73E3B"/>
    <w:rsid w:val="5EFE3633"/>
    <w:rsid w:val="5F024BD1"/>
    <w:rsid w:val="5F1F7394"/>
    <w:rsid w:val="5F2531C3"/>
    <w:rsid w:val="5F2557D2"/>
    <w:rsid w:val="5F256AB0"/>
    <w:rsid w:val="5F3E7CB9"/>
    <w:rsid w:val="5F3F1ED7"/>
    <w:rsid w:val="5F4633AD"/>
    <w:rsid w:val="5F633239"/>
    <w:rsid w:val="5F6C5727"/>
    <w:rsid w:val="5F705BC1"/>
    <w:rsid w:val="5F8A3188"/>
    <w:rsid w:val="5FBB542E"/>
    <w:rsid w:val="5FD64980"/>
    <w:rsid w:val="5FE17E2E"/>
    <w:rsid w:val="5FFF3522"/>
    <w:rsid w:val="600143B6"/>
    <w:rsid w:val="6002154F"/>
    <w:rsid w:val="60120AB7"/>
    <w:rsid w:val="601C7B77"/>
    <w:rsid w:val="604B6F32"/>
    <w:rsid w:val="605B47E5"/>
    <w:rsid w:val="60626843"/>
    <w:rsid w:val="60674F0E"/>
    <w:rsid w:val="60A35340"/>
    <w:rsid w:val="60B80884"/>
    <w:rsid w:val="60B86412"/>
    <w:rsid w:val="60D43ECD"/>
    <w:rsid w:val="60DA25F2"/>
    <w:rsid w:val="60DD7805"/>
    <w:rsid w:val="61095980"/>
    <w:rsid w:val="61225E43"/>
    <w:rsid w:val="61293544"/>
    <w:rsid w:val="61314422"/>
    <w:rsid w:val="61815B99"/>
    <w:rsid w:val="618D5F87"/>
    <w:rsid w:val="618F2A91"/>
    <w:rsid w:val="619D2C97"/>
    <w:rsid w:val="619F546D"/>
    <w:rsid w:val="61AB3037"/>
    <w:rsid w:val="61C04ECA"/>
    <w:rsid w:val="61C90196"/>
    <w:rsid w:val="61D20CEA"/>
    <w:rsid w:val="61DF6D24"/>
    <w:rsid w:val="61ED3767"/>
    <w:rsid w:val="61F06A01"/>
    <w:rsid w:val="61F26F46"/>
    <w:rsid w:val="621060F6"/>
    <w:rsid w:val="621611B8"/>
    <w:rsid w:val="623509BA"/>
    <w:rsid w:val="623B5B52"/>
    <w:rsid w:val="625718A8"/>
    <w:rsid w:val="625E68AC"/>
    <w:rsid w:val="6282089F"/>
    <w:rsid w:val="62836D4D"/>
    <w:rsid w:val="62A477CD"/>
    <w:rsid w:val="62B66747"/>
    <w:rsid w:val="62CE30AD"/>
    <w:rsid w:val="62D46250"/>
    <w:rsid w:val="62D746BD"/>
    <w:rsid w:val="63030932"/>
    <w:rsid w:val="630442D2"/>
    <w:rsid w:val="63196EF1"/>
    <w:rsid w:val="632103C5"/>
    <w:rsid w:val="632A3210"/>
    <w:rsid w:val="634C267E"/>
    <w:rsid w:val="6359138D"/>
    <w:rsid w:val="635D2D5C"/>
    <w:rsid w:val="638A5EBA"/>
    <w:rsid w:val="63AA7340"/>
    <w:rsid w:val="63C264E2"/>
    <w:rsid w:val="63CB1538"/>
    <w:rsid w:val="63D33F66"/>
    <w:rsid w:val="63E7579E"/>
    <w:rsid w:val="63E97833"/>
    <w:rsid w:val="63F60DB8"/>
    <w:rsid w:val="64056B13"/>
    <w:rsid w:val="6405744B"/>
    <w:rsid w:val="64127E7F"/>
    <w:rsid w:val="64202F2F"/>
    <w:rsid w:val="642208FC"/>
    <w:rsid w:val="64530E27"/>
    <w:rsid w:val="64633E58"/>
    <w:rsid w:val="64687379"/>
    <w:rsid w:val="646A667B"/>
    <w:rsid w:val="646E7765"/>
    <w:rsid w:val="6470512A"/>
    <w:rsid w:val="648C6F8D"/>
    <w:rsid w:val="64940184"/>
    <w:rsid w:val="64B558A6"/>
    <w:rsid w:val="64C52492"/>
    <w:rsid w:val="64CB5B01"/>
    <w:rsid w:val="64DD5B54"/>
    <w:rsid w:val="64FF1197"/>
    <w:rsid w:val="652501FA"/>
    <w:rsid w:val="65351754"/>
    <w:rsid w:val="653E69B1"/>
    <w:rsid w:val="654B4010"/>
    <w:rsid w:val="655F099B"/>
    <w:rsid w:val="6567430B"/>
    <w:rsid w:val="657E28BF"/>
    <w:rsid w:val="65927C3F"/>
    <w:rsid w:val="65B10909"/>
    <w:rsid w:val="65CA684A"/>
    <w:rsid w:val="65CC6610"/>
    <w:rsid w:val="65CE7ABB"/>
    <w:rsid w:val="65DA3C68"/>
    <w:rsid w:val="65DB1780"/>
    <w:rsid w:val="65E3317C"/>
    <w:rsid w:val="65ED1E89"/>
    <w:rsid w:val="66016993"/>
    <w:rsid w:val="66301888"/>
    <w:rsid w:val="663C45DB"/>
    <w:rsid w:val="663D49F5"/>
    <w:rsid w:val="663F58DD"/>
    <w:rsid w:val="6657799D"/>
    <w:rsid w:val="66656FA4"/>
    <w:rsid w:val="666A2689"/>
    <w:rsid w:val="666C7CE4"/>
    <w:rsid w:val="666D77E0"/>
    <w:rsid w:val="66770329"/>
    <w:rsid w:val="66951461"/>
    <w:rsid w:val="66A1426D"/>
    <w:rsid w:val="66AE3D99"/>
    <w:rsid w:val="66AF69FF"/>
    <w:rsid w:val="66D90EB0"/>
    <w:rsid w:val="66E97821"/>
    <w:rsid w:val="670B6C3B"/>
    <w:rsid w:val="673153CE"/>
    <w:rsid w:val="6741032C"/>
    <w:rsid w:val="675743B8"/>
    <w:rsid w:val="67612C90"/>
    <w:rsid w:val="676B72A2"/>
    <w:rsid w:val="67775331"/>
    <w:rsid w:val="677F6C64"/>
    <w:rsid w:val="67943446"/>
    <w:rsid w:val="67966D3D"/>
    <w:rsid w:val="67AE320F"/>
    <w:rsid w:val="67BA3FB4"/>
    <w:rsid w:val="67C26B20"/>
    <w:rsid w:val="67E6363B"/>
    <w:rsid w:val="67E80BED"/>
    <w:rsid w:val="67F77BCA"/>
    <w:rsid w:val="681E6CAC"/>
    <w:rsid w:val="682735C3"/>
    <w:rsid w:val="682C7568"/>
    <w:rsid w:val="683F7DEF"/>
    <w:rsid w:val="68607FDF"/>
    <w:rsid w:val="687650E7"/>
    <w:rsid w:val="687C7BE8"/>
    <w:rsid w:val="68D31737"/>
    <w:rsid w:val="68F04AE2"/>
    <w:rsid w:val="691370F4"/>
    <w:rsid w:val="694B5164"/>
    <w:rsid w:val="69521839"/>
    <w:rsid w:val="6970137B"/>
    <w:rsid w:val="69777DB8"/>
    <w:rsid w:val="6986480F"/>
    <w:rsid w:val="698E78DC"/>
    <w:rsid w:val="69BB3820"/>
    <w:rsid w:val="69BB4216"/>
    <w:rsid w:val="69C34588"/>
    <w:rsid w:val="69C5567A"/>
    <w:rsid w:val="69E5339F"/>
    <w:rsid w:val="69E94655"/>
    <w:rsid w:val="69FB500D"/>
    <w:rsid w:val="69FE28EE"/>
    <w:rsid w:val="6A1B15B9"/>
    <w:rsid w:val="6A3E6E34"/>
    <w:rsid w:val="6A4B0C01"/>
    <w:rsid w:val="6A4C180D"/>
    <w:rsid w:val="6A577612"/>
    <w:rsid w:val="6A5D3355"/>
    <w:rsid w:val="6A5D474A"/>
    <w:rsid w:val="6A6035DA"/>
    <w:rsid w:val="6AB75374"/>
    <w:rsid w:val="6ACC4CBB"/>
    <w:rsid w:val="6AE62667"/>
    <w:rsid w:val="6AF0678E"/>
    <w:rsid w:val="6B031E75"/>
    <w:rsid w:val="6B171D3A"/>
    <w:rsid w:val="6B1A701E"/>
    <w:rsid w:val="6B1C1DB0"/>
    <w:rsid w:val="6B306AB1"/>
    <w:rsid w:val="6B3205AA"/>
    <w:rsid w:val="6B3975BA"/>
    <w:rsid w:val="6B3F3BC1"/>
    <w:rsid w:val="6B4F5511"/>
    <w:rsid w:val="6B511852"/>
    <w:rsid w:val="6B927B30"/>
    <w:rsid w:val="6BAF7D65"/>
    <w:rsid w:val="6BE90E03"/>
    <w:rsid w:val="6C072FCB"/>
    <w:rsid w:val="6C321C90"/>
    <w:rsid w:val="6C3800CE"/>
    <w:rsid w:val="6C3E33F0"/>
    <w:rsid w:val="6C406813"/>
    <w:rsid w:val="6C5B5C05"/>
    <w:rsid w:val="6C605545"/>
    <w:rsid w:val="6C670813"/>
    <w:rsid w:val="6C873D77"/>
    <w:rsid w:val="6C8B6E2E"/>
    <w:rsid w:val="6C9F0BE0"/>
    <w:rsid w:val="6C9F1228"/>
    <w:rsid w:val="6CB670EC"/>
    <w:rsid w:val="6CBD2742"/>
    <w:rsid w:val="6CDF0522"/>
    <w:rsid w:val="6CEB5F97"/>
    <w:rsid w:val="6D223C67"/>
    <w:rsid w:val="6D2C523B"/>
    <w:rsid w:val="6D315964"/>
    <w:rsid w:val="6D4422F2"/>
    <w:rsid w:val="6D547714"/>
    <w:rsid w:val="6D566CED"/>
    <w:rsid w:val="6D8175E3"/>
    <w:rsid w:val="6D973498"/>
    <w:rsid w:val="6DB73C9D"/>
    <w:rsid w:val="6DD50D86"/>
    <w:rsid w:val="6DF74B58"/>
    <w:rsid w:val="6E0718E9"/>
    <w:rsid w:val="6E1A25A8"/>
    <w:rsid w:val="6E247EE9"/>
    <w:rsid w:val="6E364F0D"/>
    <w:rsid w:val="6E471279"/>
    <w:rsid w:val="6E845701"/>
    <w:rsid w:val="6E960C7C"/>
    <w:rsid w:val="6EA12E58"/>
    <w:rsid w:val="6EC1037E"/>
    <w:rsid w:val="6EDA1EC3"/>
    <w:rsid w:val="6EDF0B52"/>
    <w:rsid w:val="6EFFCBC6"/>
    <w:rsid w:val="6F167F0A"/>
    <w:rsid w:val="6F1902C8"/>
    <w:rsid w:val="6F2B3036"/>
    <w:rsid w:val="6F3637F9"/>
    <w:rsid w:val="6F3B04F2"/>
    <w:rsid w:val="6F6852C7"/>
    <w:rsid w:val="6F885B19"/>
    <w:rsid w:val="6F8E58B9"/>
    <w:rsid w:val="6F924DC8"/>
    <w:rsid w:val="6FAC1B3A"/>
    <w:rsid w:val="6FB45AC6"/>
    <w:rsid w:val="6FC67E67"/>
    <w:rsid w:val="6FDCEDD4"/>
    <w:rsid w:val="6FED221B"/>
    <w:rsid w:val="700646D9"/>
    <w:rsid w:val="7023783B"/>
    <w:rsid w:val="70295077"/>
    <w:rsid w:val="702F4C19"/>
    <w:rsid w:val="703D43C4"/>
    <w:rsid w:val="70443816"/>
    <w:rsid w:val="704518FC"/>
    <w:rsid w:val="7065374F"/>
    <w:rsid w:val="709056AE"/>
    <w:rsid w:val="709528A3"/>
    <w:rsid w:val="70A03F7E"/>
    <w:rsid w:val="70A450DE"/>
    <w:rsid w:val="70B36E68"/>
    <w:rsid w:val="70D95211"/>
    <w:rsid w:val="70DD6347"/>
    <w:rsid w:val="70E15FBA"/>
    <w:rsid w:val="70F2790B"/>
    <w:rsid w:val="70FA6987"/>
    <w:rsid w:val="70FC212C"/>
    <w:rsid w:val="71086ACD"/>
    <w:rsid w:val="712B23BC"/>
    <w:rsid w:val="712F25F0"/>
    <w:rsid w:val="714A0C23"/>
    <w:rsid w:val="714F3AC6"/>
    <w:rsid w:val="71676A72"/>
    <w:rsid w:val="716C6CC3"/>
    <w:rsid w:val="7173352E"/>
    <w:rsid w:val="717656F1"/>
    <w:rsid w:val="717C27FC"/>
    <w:rsid w:val="71915BCA"/>
    <w:rsid w:val="719A6145"/>
    <w:rsid w:val="71C82413"/>
    <w:rsid w:val="71DB6939"/>
    <w:rsid w:val="71FF5DC2"/>
    <w:rsid w:val="720F09D6"/>
    <w:rsid w:val="72495D02"/>
    <w:rsid w:val="7250093D"/>
    <w:rsid w:val="72555C26"/>
    <w:rsid w:val="72681350"/>
    <w:rsid w:val="726B7824"/>
    <w:rsid w:val="72726095"/>
    <w:rsid w:val="729C158B"/>
    <w:rsid w:val="72AB55B8"/>
    <w:rsid w:val="72B016C3"/>
    <w:rsid w:val="72BA2137"/>
    <w:rsid w:val="72C62697"/>
    <w:rsid w:val="73016962"/>
    <w:rsid w:val="7320608A"/>
    <w:rsid w:val="733825C9"/>
    <w:rsid w:val="733B53B4"/>
    <w:rsid w:val="733E18B3"/>
    <w:rsid w:val="73854D2E"/>
    <w:rsid w:val="73D42B4D"/>
    <w:rsid w:val="73E04345"/>
    <w:rsid w:val="73E67B08"/>
    <w:rsid w:val="73F26C25"/>
    <w:rsid w:val="73F560B4"/>
    <w:rsid w:val="73FC63B2"/>
    <w:rsid w:val="741A035F"/>
    <w:rsid w:val="74264F2E"/>
    <w:rsid w:val="743D4910"/>
    <w:rsid w:val="743D7C11"/>
    <w:rsid w:val="74441D22"/>
    <w:rsid w:val="745225A3"/>
    <w:rsid w:val="746C0980"/>
    <w:rsid w:val="74762B5B"/>
    <w:rsid w:val="74820AC0"/>
    <w:rsid w:val="748B3AC6"/>
    <w:rsid w:val="74A02F83"/>
    <w:rsid w:val="74B2051E"/>
    <w:rsid w:val="74CC3591"/>
    <w:rsid w:val="74E04C8E"/>
    <w:rsid w:val="74E06DE9"/>
    <w:rsid w:val="74E250C2"/>
    <w:rsid w:val="74E50BC5"/>
    <w:rsid w:val="74F31BA2"/>
    <w:rsid w:val="75004D8F"/>
    <w:rsid w:val="750D0040"/>
    <w:rsid w:val="750E0719"/>
    <w:rsid w:val="752358C6"/>
    <w:rsid w:val="754A7F12"/>
    <w:rsid w:val="755F4356"/>
    <w:rsid w:val="75A50E65"/>
    <w:rsid w:val="75AC1EA1"/>
    <w:rsid w:val="75D10D2A"/>
    <w:rsid w:val="75EF06F2"/>
    <w:rsid w:val="75F433DE"/>
    <w:rsid w:val="764B6F0F"/>
    <w:rsid w:val="766F2201"/>
    <w:rsid w:val="76701BA3"/>
    <w:rsid w:val="768763A7"/>
    <w:rsid w:val="768D6496"/>
    <w:rsid w:val="7690384F"/>
    <w:rsid w:val="76AE4D46"/>
    <w:rsid w:val="76C04693"/>
    <w:rsid w:val="76C2410B"/>
    <w:rsid w:val="76C67CF6"/>
    <w:rsid w:val="76E66F10"/>
    <w:rsid w:val="76FA1956"/>
    <w:rsid w:val="76FB67F8"/>
    <w:rsid w:val="76FF6D6F"/>
    <w:rsid w:val="77332D1B"/>
    <w:rsid w:val="7739755B"/>
    <w:rsid w:val="774242C2"/>
    <w:rsid w:val="777A71D5"/>
    <w:rsid w:val="77821ABF"/>
    <w:rsid w:val="77863F2A"/>
    <w:rsid w:val="778832B2"/>
    <w:rsid w:val="7790540D"/>
    <w:rsid w:val="779E14EC"/>
    <w:rsid w:val="77C7389A"/>
    <w:rsid w:val="77C95BAB"/>
    <w:rsid w:val="77D42595"/>
    <w:rsid w:val="77D535F2"/>
    <w:rsid w:val="77FC1575"/>
    <w:rsid w:val="77FFFF9C"/>
    <w:rsid w:val="7816596E"/>
    <w:rsid w:val="781932A5"/>
    <w:rsid w:val="782309AD"/>
    <w:rsid w:val="785B7063"/>
    <w:rsid w:val="786159BB"/>
    <w:rsid w:val="78670827"/>
    <w:rsid w:val="78690213"/>
    <w:rsid w:val="7884221F"/>
    <w:rsid w:val="789C421D"/>
    <w:rsid w:val="789F3CC7"/>
    <w:rsid w:val="78A50CFB"/>
    <w:rsid w:val="78B57F56"/>
    <w:rsid w:val="78BB2F41"/>
    <w:rsid w:val="78CB5565"/>
    <w:rsid w:val="78D1185C"/>
    <w:rsid w:val="78D2583F"/>
    <w:rsid w:val="78D8691F"/>
    <w:rsid w:val="78F17D96"/>
    <w:rsid w:val="79000056"/>
    <w:rsid w:val="792B57A9"/>
    <w:rsid w:val="793072A8"/>
    <w:rsid w:val="79373B2C"/>
    <w:rsid w:val="793B754E"/>
    <w:rsid w:val="7951685E"/>
    <w:rsid w:val="7965510E"/>
    <w:rsid w:val="796A20CA"/>
    <w:rsid w:val="796D32E6"/>
    <w:rsid w:val="798315C1"/>
    <w:rsid w:val="798A49CE"/>
    <w:rsid w:val="798C4627"/>
    <w:rsid w:val="799C238D"/>
    <w:rsid w:val="79A41EB4"/>
    <w:rsid w:val="79A60CC2"/>
    <w:rsid w:val="79CD01B5"/>
    <w:rsid w:val="79ED4BF9"/>
    <w:rsid w:val="79ED6F45"/>
    <w:rsid w:val="7A0C679A"/>
    <w:rsid w:val="7A425A7C"/>
    <w:rsid w:val="7A49237F"/>
    <w:rsid w:val="7A52312B"/>
    <w:rsid w:val="7A854992"/>
    <w:rsid w:val="7A8704E0"/>
    <w:rsid w:val="7A985DCF"/>
    <w:rsid w:val="7AA53AEB"/>
    <w:rsid w:val="7AAB1008"/>
    <w:rsid w:val="7ABC7343"/>
    <w:rsid w:val="7ABE7FD0"/>
    <w:rsid w:val="7ACA42EF"/>
    <w:rsid w:val="7AF05179"/>
    <w:rsid w:val="7AF6702B"/>
    <w:rsid w:val="7B0673B9"/>
    <w:rsid w:val="7B112FA6"/>
    <w:rsid w:val="7B181332"/>
    <w:rsid w:val="7B2977FB"/>
    <w:rsid w:val="7B4267EB"/>
    <w:rsid w:val="7B450EFE"/>
    <w:rsid w:val="7B490AE9"/>
    <w:rsid w:val="7B4F63DE"/>
    <w:rsid w:val="7B573FFF"/>
    <w:rsid w:val="7B592F78"/>
    <w:rsid w:val="7BA240B0"/>
    <w:rsid w:val="7BB110FE"/>
    <w:rsid w:val="7BBE4ECB"/>
    <w:rsid w:val="7BD1507B"/>
    <w:rsid w:val="7BE414C8"/>
    <w:rsid w:val="7BF3150A"/>
    <w:rsid w:val="7C094C2D"/>
    <w:rsid w:val="7C151561"/>
    <w:rsid w:val="7C2D33FF"/>
    <w:rsid w:val="7C33714C"/>
    <w:rsid w:val="7C382E3C"/>
    <w:rsid w:val="7C3BFD7E"/>
    <w:rsid w:val="7C4D4246"/>
    <w:rsid w:val="7C5C61E4"/>
    <w:rsid w:val="7C766778"/>
    <w:rsid w:val="7CC40807"/>
    <w:rsid w:val="7CD52F5D"/>
    <w:rsid w:val="7CE32256"/>
    <w:rsid w:val="7CF908E1"/>
    <w:rsid w:val="7CFE163B"/>
    <w:rsid w:val="7D0B0617"/>
    <w:rsid w:val="7D1F638D"/>
    <w:rsid w:val="7D241A5B"/>
    <w:rsid w:val="7D3C4D25"/>
    <w:rsid w:val="7D49775C"/>
    <w:rsid w:val="7D5425EB"/>
    <w:rsid w:val="7D7E4BEE"/>
    <w:rsid w:val="7D833624"/>
    <w:rsid w:val="7D94328E"/>
    <w:rsid w:val="7D956A71"/>
    <w:rsid w:val="7DA470CD"/>
    <w:rsid w:val="7DD05A41"/>
    <w:rsid w:val="7DDD7851"/>
    <w:rsid w:val="7DE82E8B"/>
    <w:rsid w:val="7E0E4724"/>
    <w:rsid w:val="7E1963A9"/>
    <w:rsid w:val="7E593EB1"/>
    <w:rsid w:val="7E5A2899"/>
    <w:rsid w:val="7E6C5028"/>
    <w:rsid w:val="7E6F579A"/>
    <w:rsid w:val="7E7A0D2D"/>
    <w:rsid w:val="7E7D5A75"/>
    <w:rsid w:val="7E966DD6"/>
    <w:rsid w:val="7E970FC9"/>
    <w:rsid w:val="7EA26245"/>
    <w:rsid w:val="7EAF5EB6"/>
    <w:rsid w:val="7ECC1646"/>
    <w:rsid w:val="7F094EE8"/>
    <w:rsid w:val="7F3B2144"/>
    <w:rsid w:val="7F3C57E2"/>
    <w:rsid w:val="7F3F0170"/>
    <w:rsid w:val="7F7B0F26"/>
    <w:rsid w:val="7FA70E50"/>
    <w:rsid w:val="7FAE2D29"/>
    <w:rsid w:val="7FBF4BC0"/>
    <w:rsid w:val="7FC4AE13"/>
    <w:rsid w:val="7FCF7868"/>
    <w:rsid w:val="7FD74262"/>
    <w:rsid w:val="7FD772B2"/>
    <w:rsid w:val="7FD96391"/>
    <w:rsid w:val="7FDD6ADD"/>
    <w:rsid w:val="7FF727EA"/>
    <w:rsid w:val="7FFB2FFF"/>
    <w:rsid w:val="9BF7A4CD"/>
    <w:rsid w:val="9FDFCB62"/>
    <w:rsid w:val="9FF5060E"/>
    <w:rsid w:val="ADF5686C"/>
    <w:rsid w:val="B66FEE3C"/>
    <w:rsid w:val="BAFFB179"/>
    <w:rsid w:val="D3D86898"/>
    <w:rsid w:val="DE9E0D34"/>
    <w:rsid w:val="DF5F43BF"/>
    <w:rsid w:val="E6D57FCE"/>
    <w:rsid w:val="F55FEC60"/>
    <w:rsid w:val="F6C3384B"/>
    <w:rsid w:val="F7771888"/>
    <w:rsid w:val="F7F3EB3F"/>
    <w:rsid w:val="F7FB6AAA"/>
    <w:rsid w:val="F7FF256F"/>
    <w:rsid w:val="FDBD3BE7"/>
    <w:rsid w:val="FDBF71F1"/>
    <w:rsid w:val="FFB7A3F3"/>
    <w:rsid w:val="FFFB629E"/>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f">
      <v:fill on="t" focussize="0,0"/>
      <v:stroke on="f"/>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0" w:name="Normal Indent"/>
    <w:lsdException w:uiPriority="0" w:name="footnote text"/>
    <w:lsdException w:qFormat="1" w:uiPriority="0" w:name="annotation text"/>
    <w:lsdException w:qFormat="1" w:unhideWhenUsed="0" w:uiPriority="99" w:semiHidden="0" w:name="header"/>
    <w:lsdException w:qFormat="1" w:unhideWhenUsed="0" w:uiPriority="99"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qFormat="1"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iPriority="99" w:semiHidden="0" w:name="Hyperlink"/>
    <w:lsdException w:uiPriority="0" w:name="FollowedHyperlink"/>
    <w:lsdException w:qFormat="1" w:unhideWhenUsed="0" w:uiPriority="0" w:semiHidden="0" w:name="Strong"/>
    <w:lsdException w:qFormat="1" w:unhideWhenUsed="0" w:uiPriority="0" w:semiHidden="0" w:name="Emphasis"/>
    <w:lsdException w:uiPriority="0" w:name="Document Map"/>
    <w:lsdException w:qFormat="1" w:unhideWhenUsed="0" w:uiPriority="0" w:semiHidden="0" w:name="Plain Text"/>
    <w:lsdException w:uiPriority="0" w:name="E-mail Signature"/>
    <w:lsdException w:qFormat="1" w:uiPriority="99"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qFormat="1"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580" w:lineRule="exact"/>
      <w:ind w:firstLine="420" w:firstLineChars="200"/>
      <w:jc w:val="both"/>
    </w:pPr>
    <w:rPr>
      <w:rFonts w:ascii="Times New Roman" w:hAnsi="Times New Roman" w:eastAsia="仿宋_GB2312" w:cstheme="minorBidi"/>
      <w:kern w:val="2"/>
      <w:sz w:val="32"/>
      <w:szCs w:val="24"/>
      <w:lang w:val="en-US" w:eastAsia="zh-CN" w:bidi="ar-SA"/>
    </w:rPr>
  </w:style>
  <w:style w:type="paragraph" w:styleId="2">
    <w:name w:val="heading 1"/>
    <w:basedOn w:val="1"/>
    <w:next w:val="1"/>
    <w:link w:val="32"/>
    <w:qFormat/>
    <w:uiPriority w:val="0"/>
    <w:pPr>
      <w:keepNext/>
      <w:keepLines/>
      <w:jc w:val="center"/>
      <w:outlineLvl w:val="0"/>
    </w:pPr>
    <w:rPr>
      <w:b/>
      <w:bCs/>
      <w:kern w:val="44"/>
      <w:sz w:val="44"/>
      <w:szCs w:val="44"/>
    </w:rPr>
  </w:style>
  <w:style w:type="paragraph" w:styleId="3">
    <w:name w:val="heading 2"/>
    <w:basedOn w:val="1"/>
    <w:next w:val="1"/>
    <w:link w:val="34"/>
    <w:unhideWhenUsed/>
    <w:qFormat/>
    <w:uiPriority w:val="0"/>
    <w:pPr>
      <w:keepNext/>
      <w:keepLines/>
      <w:numPr>
        <w:ilvl w:val="1"/>
        <w:numId w:val="1"/>
      </w:numPr>
      <w:ind w:firstLineChars="0"/>
      <w:outlineLvl w:val="1"/>
    </w:pPr>
    <w:rPr>
      <w:rFonts w:eastAsia="黑体" w:asciiTheme="majorHAnsi" w:hAnsiTheme="majorHAnsi" w:cstheme="majorBidi"/>
      <w:b/>
      <w:bCs/>
      <w:szCs w:val="32"/>
    </w:rPr>
  </w:style>
  <w:style w:type="paragraph" w:styleId="4">
    <w:name w:val="heading 3"/>
    <w:basedOn w:val="1"/>
    <w:next w:val="1"/>
    <w:link w:val="35"/>
    <w:unhideWhenUsed/>
    <w:qFormat/>
    <w:uiPriority w:val="0"/>
    <w:pPr>
      <w:keepNext/>
      <w:keepLines/>
      <w:spacing w:before="260" w:after="260" w:line="416" w:lineRule="auto"/>
      <w:outlineLvl w:val="2"/>
    </w:pPr>
    <w:rPr>
      <w:bCs/>
      <w:szCs w:val="32"/>
    </w:rPr>
  </w:style>
  <w:style w:type="paragraph" w:styleId="5">
    <w:name w:val="heading 4"/>
    <w:basedOn w:val="1"/>
    <w:next w:val="1"/>
    <w:link w:val="38"/>
    <w:unhideWhenUsed/>
    <w:qFormat/>
    <w:uiPriority w:val="0"/>
    <w:pPr>
      <w:keepNext/>
      <w:keepLines/>
      <w:outlineLvl w:val="3"/>
    </w:pPr>
    <w:rPr>
      <w:rFonts w:asciiTheme="majorHAnsi" w:hAnsiTheme="majorHAnsi" w:cstheme="majorBidi"/>
      <w:b/>
      <w:bCs/>
      <w:szCs w:val="28"/>
    </w:rPr>
  </w:style>
  <w:style w:type="paragraph" w:styleId="6">
    <w:name w:val="heading 5"/>
    <w:basedOn w:val="1"/>
    <w:next w:val="1"/>
    <w:link w:val="39"/>
    <w:unhideWhenUsed/>
    <w:qFormat/>
    <w:uiPriority w:val="0"/>
    <w:pPr>
      <w:keepNext/>
      <w:keepLines/>
      <w:outlineLvl w:val="4"/>
    </w:pPr>
    <w:rPr>
      <w:bCs/>
      <w:szCs w:val="28"/>
    </w:rPr>
  </w:style>
  <w:style w:type="paragraph" w:styleId="7">
    <w:name w:val="heading 6"/>
    <w:basedOn w:val="1"/>
    <w:next w:val="1"/>
    <w:link w:val="40"/>
    <w:unhideWhenUsed/>
    <w:qFormat/>
    <w:uiPriority w:val="0"/>
    <w:pPr>
      <w:keepNext/>
      <w:keepLines/>
      <w:numPr>
        <w:ilvl w:val="0"/>
        <w:numId w:val="2"/>
      </w:numPr>
      <w:ind w:firstLine="640"/>
      <w:outlineLvl w:val="5"/>
    </w:pPr>
    <w:rPr>
      <w:rFonts w:ascii="Arial" w:hAnsi="Arial" w:eastAsia="楷体_GB2312"/>
      <w:b/>
    </w:rPr>
  </w:style>
  <w:style w:type="paragraph" w:styleId="8">
    <w:name w:val="heading 7"/>
    <w:basedOn w:val="1"/>
    <w:next w:val="1"/>
    <w:link w:val="41"/>
    <w:unhideWhenUsed/>
    <w:qFormat/>
    <w:uiPriority w:val="0"/>
    <w:pPr>
      <w:keepNext/>
      <w:keepLines/>
      <w:spacing w:before="240" w:after="64" w:line="317" w:lineRule="auto"/>
      <w:ind w:firstLine="402"/>
      <w:outlineLvl w:val="6"/>
    </w:pPr>
    <w:rPr>
      <w:b/>
      <w:sz w:val="24"/>
    </w:rPr>
  </w:style>
  <w:style w:type="paragraph" w:styleId="9">
    <w:name w:val="heading 8"/>
    <w:basedOn w:val="1"/>
    <w:next w:val="1"/>
    <w:link w:val="42"/>
    <w:unhideWhenUsed/>
    <w:qFormat/>
    <w:uiPriority w:val="0"/>
    <w:pPr>
      <w:keepNext/>
      <w:keepLines/>
      <w:spacing w:before="240" w:after="64" w:line="317" w:lineRule="auto"/>
      <w:ind w:firstLine="402"/>
      <w:outlineLvl w:val="7"/>
    </w:pPr>
    <w:rPr>
      <w:rFonts w:ascii="Arial" w:hAnsi="Arial" w:eastAsia="黑体"/>
      <w:sz w:val="24"/>
    </w:rPr>
  </w:style>
  <w:style w:type="paragraph" w:styleId="10">
    <w:name w:val="heading 9"/>
    <w:basedOn w:val="1"/>
    <w:next w:val="1"/>
    <w:link w:val="43"/>
    <w:unhideWhenUsed/>
    <w:qFormat/>
    <w:uiPriority w:val="0"/>
    <w:pPr>
      <w:keepNext/>
      <w:keepLines/>
      <w:spacing w:before="240" w:after="64" w:line="317" w:lineRule="auto"/>
      <w:ind w:firstLine="402"/>
      <w:outlineLvl w:val="8"/>
    </w:pPr>
    <w:rPr>
      <w:rFonts w:ascii="Arial" w:hAnsi="Arial" w:eastAsia="黑体"/>
    </w:rPr>
  </w:style>
  <w:style w:type="character" w:default="1" w:styleId="29">
    <w:name w:val="Default Paragraph Font"/>
    <w:semiHidden/>
    <w:unhideWhenUsed/>
    <w:qFormat/>
    <w:uiPriority w:val="1"/>
  </w:style>
  <w:style w:type="table" w:default="1" w:styleId="27">
    <w:name w:val="Normal Table"/>
    <w:semiHidden/>
    <w:unhideWhenUsed/>
    <w:qFormat/>
    <w:uiPriority w:val="99"/>
    <w:tblPr>
      <w:tblCellMar>
        <w:top w:w="0" w:type="dxa"/>
        <w:left w:w="108" w:type="dxa"/>
        <w:bottom w:w="0" w:type="dxa"/>
        <w:right w:w="108" w:type="dxa"/>
      </w:tblCellMar>
    </w:tblPr>
  </w:style>
  <w:style w:type="paragraph" w:styleId="11">
    <w:name w:val="toc 7"/>
    <w:basedOn w:val="1"/>
    <w:next w:val="1"/>
    <w:unhideWhenUsed/>
    <w:qFormat/>
    <w:uiPriority w:val="39"/>
    <w:pPr>
      <w:ind w:left="2520" w:leftChars="1200"/>
    </w:pPr>
    <w:rPr>
      <w:szCs w:val="22"/>
    </w:rPr>
  </w:style>
  <w:style w:type="paragraph" w:styleId="12">
    <w:name w:val="annotation text"/>
    <w:basedOn w:val="1"/>
    <w:link w:val="50"/>
    <w:semiHidden/>
    <w:unhideWhenUsed/>
    <w:qFormat/>
    <w:uiPriority w:val="0"/>
    <w:pPr>
      <w:jc w:val="left"/>
    </w:pPr>
  </w:style>
  <w:style w:type="paragraph" w:styleId="13">
    <w:name w:val="toc 5"/>
    <w:basedOn w:val="1"/>
    <w:next w:val="1"/>
    <w:unhideWhenUsed/>
    <w:qFormat/>
    <w:uiPriority w:val="39"/>
    <w:pPr>
      <w:ind w:left="1680" w:leftChars="800"/>
    </w:pPr>
    <w:rPr>
      <w:szCs w:val="22"/>
    </w:rPr>
  </w:style>
  <w:style w:type="paragraph" w:styleId="14">
    <w:name w:val="toc 3"/>
    <w:basedOn w:val="1"/>
    <w:next w:val="1"/>
    <w:qFormat/>
    <w:uiPriority w:val="39"/>
    <w:pPr>
      <w:ind w:left="840" w:leftChars="400"/>
    </w:pPr>
  </w:style>
  <w:style w:type="paragraph" w:styleId="15">
    <w:name w:val="Plain Text"/>
    <w:basedOn w:val="1"/>
    <w:qFormat/>
    <w:uiPriority w:val="0"/>
    <w:pPr>
      <w:spacing w:before="156" w:beforeLines="50" w:after="156" w:afterLines="50" w:line="400" w:lineRule="exact"/>
    </w:pPr>
    <w:rPr>
      <w:rFonts w:ascii="宋体" w:hAnsi="Courier New"/>
      <w:kern w:val="0"/>
      <w:sz w:val="24"/>
    </w:rPr>
  </w:style>
  <w:style w:type="paragraph" w:styleId="16">
    <w:name w:val="toc 8"/>
    <w:basedOn w:val="1"/>
    <w:next w:val="1"/>
    <w:unhideWhenUsed/>
    <w:qFormat/>
    <w:uiPriority w:val="39"/>
    <w:pPr>
      <w:ind w:left="2940" w:leftChars="1400"/>
    </w:pPr>
    <w:rPr>
      <w:szCs w:val="22"/>
    </w:rPr>
  </w:style>
  <w:style w:type="paragraph" w:styleId="17">
    <w:name w:val="Balloon Text"/>
    <w:basedOn w:val="1"/>
    <w:link w:val="48"/>
    <w:unhideWhenUsed/>
    <w:qFormat/>
    <w:uiPriority w:val="0"/>
    <w:rPr>
      <w:sz w:val="18"/>
      <w:szCs w:val="18"/>
    </w:rPr>
  </w:style>
  <w:style w:type="paragraph" w:styleId="18">
    <w:name w:val="footer"/>
    <w:basedOn w:val="1"/>
    <w:link w:val="37"/>
    <w:qFormat/>
    <w:uiPriority w:val="99"/>
    <w:pPr>
      <w:tabs>
        <w:tab w:val="center" w:pos="4153"/>
        <w:tab w:val="right" w:pos="8306"/>
      </w:tabs>
      <w:snapToGrid w:val="0"/>
      <w:jc w:val="left"/>
    </w:pPr>
    <w:rPr>
      <w:sz w:val="18"/>
      <w:szCs w:val="18"/>
    </w:rPr>
  </w:style>
  <w:style w:type="paragraph" w:styleId="19">
    <w:name w:val="header"/>
    <w:basedOn w:val="1"/>
    <w:link w:val="36"/>
    <w:qFormat/>
    <w:uiPriority w:val="99"/>
    <w:pPr>
      <w:pBdr>
        <w:bottom w:val="single" w:color="auto" w:sz="6" w:space="1"/>
      </w:pBdr>
      <w:tabs>
        <w:tab w:val="center" w:pos="4153"/>
        <w:tab w:val="right" w:pos="8306"/>
      </w:tabs>
      <w:snapToGrid w:val="0"/>
      <w:jc w:val="center"/>
    </w:pPr>
    <w:rPr>
      <w:sz w:val="18"/>
      <w:szCs w:val="18"/>
    </w:rPr>
  </w:style>
  <w:style w:type="paragraph" w:styleId="20">
    <w:name w:val="toc 1"/>
    <w:basedOn w:val="1"/>
    <w:next w:val="1"/>
    <w:qFormat/>
    <w:uiPriority w:val="39"/>
  </w:style>
  <w:style w:type="paragraph" w:styleId="21">
    <w:name w:val="toc 4"/>
    <w:basedOn w:val="1"/>
    <w:next w:val="1"/>
    <w:unhideWhenUsed/>
    <w:qFormat/>
    <w:uiPriority w:val="39"/>
    <w:pPr>
      <w:ind w:left="1260" w:leftChars="600"/>
    </w:pPr>
    <w:rPr>
      <w:szCs w:val="22"/>
    </w:rPr>
  </w:style>
  <w:style w:type="paragraph" w:styleId="22">
    <w:name w:val="toc 6"/>
    <w:basedOn w:val="1"/>
    <w:next w:val="1"/>
    <w:unhideWhenUsed/>
    <w:qFormat/>
    <w:uiPriority w:val="39"/>
    <w:pPr>
      <w:ind w:left="2100" w:leftChars="1000"/>
    </w:pPr>
    <w:rPr>
      <w:szCs w:val="22"/>
    </w:rPr>
  </w:style>
  <w:style w:type="paragraph" w:styleId="23">
    <w:name w:val="toc 2"/>
    <w:basedOn w:val="1"/>
    <w:next w:val="1"/>
    <w:qFormat/>
    <w:uiPriority w:val="39"/>
    <w:pPr>
      <w:ind w:left="420" w:leftChars="200"/>
    </w:pPr>
  </w:style>
  <w:style w:type="paragraph" w:styleId="24">
    <w:name w:val="toc 9"/>
    <w:basedOn w:val="1"/>
    <w:next w:val="1"/>
    <w:unhideWhenUsed/>
    <w:qFormat/>
    <w:uiPriority w:val="39"/>
    <w:pPr>
      <w:ind w:left="3360" w:leftChars="1600"/>
    </w:pPr>
    <w:rPr>
      <w:szCs w:val="22"/>
    </w:rPr>
  </w:style>
  <w:style w:type="paragraph" w:styleId="25">
    <w:name w:val="Normal (Web)"/>
    <w:basedOn w:val="1"/>
    <w:unhideWhenUsed/>
    <w:qFormat/>
    <w:uiPriority w:val="99"/>
    <w:pPr>
      <w:widowControl/>
      <w:spacing w:before="100" w:beforeAutospacing="1" w:after="100" w:afterAutospacing="1"/>
      <w:jc w:val="left"/>
    </w:pPr>
    <w:rPr>
      <w:rFonts w:ascii="宋体" w:hAnsi="宋体" w:eastAsia="宋体" w:cs="宋体"/>
      <w:kern w:val="0"/>
      <w:sz w:val="24"/>
    </w:rPr>
  </w:style>
  <w:style w:type="paragraph" w:styleId="26">
    <w:name w:val="annotation subject"/>
    <w:basedOn w:val="12"/>
    <w:next w:val="12"/>
    <w:link w:val="51"/>
    <w:semiHidden/>
    <w:unhideWhenUsed/>
    <w:qFormat/>
    <w:uiPriority w:val="0"/>
    <w:rPr>
      <w:b/>
      <w:bCs/>
    </w:rPr>
  </w:style>
  <w:style w:type="table" w:styleId="28">
    <w:name w:val="Table Grid"/>
    <w:basedOn w:val="2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30">
    <w:name w:val="Hyperlink"/>
    <w:basedOn w:val="29"/>
    <w:unhideWhenUsed/>
    <w:qFormat/>
    <w:uiPriority w:val="99"/>
    <w:rPr>
      <w:color w:val="0563C1" w:themeColor="hyperlink"/>
      <w:u w:val="single"/>
      <w14:textFill>
        <w14:solidFill>
          <w14:schemeClr w14:val="hlink"/>
        </w14:solidFill>
      </w14:textFill>
    </w:rPr>
  </w:style>
  <w:style w:type="character" w:styleId="31">
    <w:name w:val="annotation reference"/>
    <w:basedOn w:val="29"/>
    <w:semiHidden/>
    <w:unhideWhenUsed/>
    <w:qFormat/>
    <w:uiPriority w:val="0"/>
    <w:rPr>
      <w:sz w:val="21"/>
      <w:szCs w:val="21"/>
    </w:rPr>
  </w:style>
  <w:style w:type="character" w:customStyle="1" w:styleId="32">
    <w:name w:val="标题 1 Char"/>
    <w:basedOn w:val="29"/>
    <w:link w:val="2"/>
    <w:qFormat/>
    <w:uiPriority w:val="0"/>
    <w:rPr>
      <w:rFonts w:eastAsia="仿宋_GB2312"/>
      <w:b/>
      <w:bCs/>
      <w:kern w:val="44"/>
      <w:sz w:val="44"/>
      <w:szCs w:val="44"/>
    </w:rPr>
  </w:style>
  <w:style w:type="paragraph" w:customStyle="1" w:styleId="33">
    <w:name w:val="列出段落1"/>
    <w:basedOn w:val="1"/>
    <w:qFormat/>
    <w:uiPriority w:val="34"/>
    <w:rPr>
      <w:szCs w:val="22"/>
    </w:rPr>
  </w:style>
  <w:style w:type="character" w:customStyle="1" w:styleId="34">
    <w:name w:val="标题 2 Char"/>
    <w:basedOn w:val="29"/>
    <w:link w:val="3"/>
    <w:qFormat/>
    <w:uiPriority w:val="0"/>
    <w:rPr>
      <w:rFonts w:eastAsia="黑体" w:asciiTheme="majorHAnsi" w:hAnsiTheme="majorHAnsi" w:cstheme="majorBidi"/>
      <w:b/>
      <w:bCs/>
      <w:kern w:val="2"/>
      <w:sz w:val="32"/>
      <w:szCs w:val="32"/>
    </w:rPr>
  </w:style>
  <w:style w:type="character" w:customStyle="1" w:styleId="35">
    <w:name w:val="标题 3 Char"/>
    <w:basedOn w:val="29"/>
    <w:link w:val="4"/>
    <w:qFormat/>
    <w:uiPriority w:val="0"/>
    <w:rPr>
      <w:rFonts w:eastAsia="仿宋_GB2312"/>
      <w:bCs/>
      <w:kern w:val="2"/>
      <w:sz w:val="32"/>
      <w:szCs w:val="32"/>
    </w:rPr>
  </w:style>
  <w:style w:type="character" w:customStyle="1" w:styleId="36">
    <w:name w:val="页眉 Char"/>
    <w:basedOn w:val="29"/>
    <w:link w:val="19"/>
    <w:qFormat/>
    <w:uiPriority w:val="99"/>
    <w:rPr>
      <w:kern w:val="2"/>
      <w:sz w:val="18"/>
      <w:szCs w:val="18"/>
    </w:rPr>
  </w:style>
  <w:style w:type="character" w:customStyle="1" w:styleId="37">
    <w:name w:val="页脚 Char"/>
    <w:basedOn w:val="29"/>
    <w:link w:val="18"/>
    <w:qFormat/>
    <w:uiPriority w:val="99"/>
    <w:rPr>
      <w:kern w:val="2"/>
      <w:sz w:val="18"/>
      <w:szCs w:val="18"/>
    </w:rPr>
  </w:style>
  <w:style w:type="character" w:customStyle="1" w:styleId="38">
    <w:name w:val="标题 4 Char"/>
    <w:basedOn w:val="29"/>
    <w:link w:val="5"/>
    <w:qFormat/>
    <w:uiPriority w:val="0"/>
    <w:rPr>
      <w:rFonts w:eastAsia="仿宋_GB2312" w:asciiTheme="majorHAnsi" w:hAnsiTheme="majorHAnsi" w:cstheme="majorBidi"/>
      <w:b/>
      <w:bCs/>
      <w:kern w:val="2"/>
      <w:sz w:val="32"/>
      <w:szCs w:val="28"/>
    </w:rPr>
  </w:style>
  <w:style w:type="character" w:customStyle="1" w:styleId="39">
    <w:name w:val="标题 5 Char"/>
    <w:basedOn w:val="29"/>
    <w:link w:val="6"/>
    <w:semiHidden/>
    <w:qFormat/>
    <w:uiPriority w:val="0"/>
    <w:rPr>
      <w:rFonts w:eastAsia="仿宋_GB2312" w:asciiTheme="minorHAnsi" w:hAnsiTheme="minorHAnsi"/>
      <w:bCs/>
      <w:kern w:val="2"/>
      <w:sz w:val="32"/>
      <w:szCs w:val="28"/>
    </w:rPr>
  </w:style>
  <w:style w:type="character" w:customStyle="1" w:styleId="40">
    <w:name w:val="标题 6 Char"/>
    <w:basedOn w:val="29"/>
    <w:link w:val="7"/>
    <w:qFormat/>
    <w:uiPriority w:val="0"/>
    <w:rPr>
      <w:rFonts w:ascii="Arial" w:hAnsi="Arial" w:eastAsia="楷体_GB2312" w:cstheme="minorBidi"/>
      <w:b/>
      <w:kern w:val="2"/>
      <w:sz w:val="32"/>
      <w:szCs w:val="24"/>
    </w:rPr>
  </w:style>
  <w:style w:type="character" w:customStyle="1" w:styleId="41">
    <w:name w:val="标题 7 Char"/>
    <w:basedOn w:val="29"/>
    <w:link w:val="8"/>
    <w:semiHidden/>
    <w:qFormat/>
    <w:uiPriority w:val="0"/>
    <w:rPr>
      <w:b/>
      <w:kern w:val="2"/>
      <w:sz w:val="24"/>
      <w:szCs w:val="24"/>
    </w:rPr>
  </w:style>
  <w:style w:type="character" w:customStyle="1" w:styleId="42">
    <w:name w:val="标题 8 Char"/>
    <w:basedOn w:val="29"/>
    <w:link w:val="9"/>
    <w:semiHidden/>
    <w:qFormat/>
    <w:uiPriority w:val="0"/>
    <w:rPr>
      <w:rFonts w:ascii="Arial" w:hAnsi="Arial" w:eastAsia="黑体"/>
      <w:kern w:val="2"/>
      <w:sz w:val="24"/>
      <w:szCs w:val="24"/>
    </w:rPr>
  </w:style>
  <w:style w:type="character" w:customStyle="1" w:styleId="43">
    <w:name w:val="标题 9 Char"/>
    <w:basedOn w:val="29"/>
    <w:link w:val="10"/>
    <w:semiHidden/>
    <w:qFormat/>
    <w:uiPriority w:val="0"/>
    <w:rPr>
      <w:rFonts w:ascii="Arial" w:hAnsi="Arial" w:eastAsia="黑体"/>
      <w:kern w:val="2"/>
      <w:sz w:val="21"/>
      <w:szCs w:val="24"/>
    </w:rPr>
  </w:style>
  <w:style w:type="paragraph" w:customStyle="1" w:styleId="44">
    <w:name w:val="正文1"/>
    <w:basedOn w:val="1"/>
    <w:qFormat/>
    <w:uiPriority w:val="0"/>
    <w:pPr>
      <w:ind w:firstLine="480"/>
    </w:pPr>
    <w:rPr>
      <w:rFonts w:cs="宋体"/>
      <w:szCs w:val="20"/>
    </w:rPr>
  </w:style>
  <w:style w:type="paragraph" w:customStyle="1" w:styleId="45">
    <w:name w:val="列出段落11"/>
    <w:basedOn w:val="1"/>
    <w:qFormat/>
    <w:uiPriority w:val="34"/>
    <w:pPr>
      <w:widowControl/>
      <w:spacing w:line="600" w:lineRule="exact"/>
      <w:jc w:val="left"/>
    </w:pPr>
    <w:rPr>
      <w:rFonts w:ascii="仿宋" w:hAnsi="仿宋" w:eastAsia="仿宋" w:cs="宋体"/>
      <w:bCs/>
      <w:color w:val="000000"/>
      <w:kern w:val="0"/>
      <w:sz w:val="24"/>
    </w:rPr>
  </w:style>
  <w:style w:type="paragraph" w:customStyle="1" w:styleId="46">
    <w:name w:val="TOC 标题1"/>
    <w:basedOn w:val="2"/>
    <w:next w:val="1"/>
    <w:unhideWhenUsed/>
    <w:qFormat/>
    <w:uiPriority w:val="39"/>
    <w:pPr>
      <w:widowControl/>
      <w:spacing w:before="480" w:line="276" w:lineRule="auto"/>
      <w:jc w:val="left"/>
      <w:outlineLvl w:val="9"/>
    </w:pPr>
    <w:rPr>
      <w:rFonts w:asciiTheme="majorHAnsi" w:hAnsiTheme="majorHAnsi" w:eastAsiaTheme="majorEastAsia" w:cstheme="majorBidi"/>
      <w:color w:val="2E75B6" w:themeColor="accent1" w:themeShade="BF"/>
      <w:kern w:val="0"/>
      <w:sz w:val="28"/>
      <w:szCs w:val="28"/>
    </w:rPr>
  </w:style>
  <w:style w:type="paragraph" w:customStyle="1" w:styleId="47">
    <w:name w:val="修订1"/>
    <w:hidden/>
    <w:semiHidden/>
    <w:qFormat/>
    <w:uiPriority w:val="99"/>
    <w:rPr>
      <w:rFonts w:asciiTheme="minorHAnsi" w:hAnsiTheme="minorHAnsi" w:eastAsiaTheme="minorEastAsia" w:cstheme="minorBidi"/>
      <w:kern w:val="2"/>
      <w:sz w:val="21"/>
      <w:szCs w:val="24"/>
      <w:lang w:val="en-US" w:eastAsia="zh-CN" w:bidi="ar-SA"/>
    </w:rPr>
  </w:style>
  <w:style w:type="character" w:customStyle="1" w:styleId="48">
    <w:name w:val="批注框文本 Char"/>
    <w:basedOn w:val="29"/>
    <w:link w:val="17"/>
    <w:semiHidden/>
    <w:qFormat/>
    <w:uiPriority w:val="0"/>
    <w:rPr>
      <w:rFonts w:asciiTheme="minorHAnsi" w:hAnsiTheme="minorHAnsi" w:eastAsiaTheme="minorEastAsia" w:cstheme="minorBidi"/>
      <w:kern w:val="2"/>
      <w:sz w:val="18"/>
      <w:szCs w:val="18"/>
    </w:rPr>
  </w:style>
  <w:style w:type="paragraph" w:styleId="49">
    <w:name w:val="List Paragraph"/>
    <w:basedOn w:val="1"/>
    <w:link w:val="76"/>
    <w:unhideWhenUsed/>
    <w:qFormat/>
    <w:uiPriority w:val="34"/>
  </w:style>
  <w:style w:type="character" w:customStyle="1" w:styleId="50">
    <w:name w:val="批注文字 Char"/>
    <w:basedOn w:val="29"/>
    <w:link w:val="12"/>
    <w:semiHidden/>
    <w:qFormat/>
    <w:uiPriority w:val="0"/>
    <w:rPr>
      <w:rFonts w:asciiTheme="minorHAnsi" w:hAnsiTheme="minorHAnsi" w:eastAsiaTheme="minorEastAsia" w:cstheme="minorBidi"/>
      <w:kern w:val="2"/>
      <w:sz w:val="21"/>
      <w:szCs w:val="24"/>
    </w:rPr>
  </w:style>
  <w:style w:type="character" w:customStyle="1" w:styleId="51">
    <w:name w:val="批注主题 Char"/>
    <w:basedOn w:val="50"/>
    <w:link w:val="26"/>
    <w:semiHidden/>
    <w:qFormat/>
    <w:uiPriority w:val="0"/>
    <w:rPr>
      <w:rFonts w:asciiTheme="minorHAnsi" w:hAnsiTheme="minorHAnsi" w:eastAsiaTheme="minorEastAsia" w:cstheme="minorBidi"/>
      <w:b/>
      <w:bCs/>
      <w:kern w:val="2"/>
      <w:sz w:val="21"/>
      <w:szCs w:val="24"/>
    </w:rPr>
  </w:style>
  <w:style w:type="paragraph" w:customStyle="1" w:styleId="52">
    <w:name w:val="修订2"/>
    <w:hidden/>
    <w:semiHidden/>
    <w:qFormat/>
    <w:uiPriority w:val="99"/>
    <w:rPr>
      <w:rFonts w:asciiTheme="minorHAnsi" w:hAnsiTheme="minorHAnsi" w:eastAsiaTheme="minorEastAsia" w:cstheme="minorBidi"/>
      <w:kern w:val="2"/>
      <w:sz w:val="21"/>
      <w:szCs w:val="24"/>
      <w:lang w:val="en-US" w:eastAsia="zh-CN" w:bidi="ar-SA"/>
    </w:rPr>
  </w:style>
  <w:style w:type="character" w:customStyle="1" w:styleId="53">
    <w:name w:val="font21"/>
    <w:basedOn w:val="29"/>
    <w:qFormat/>
    <w:uiPriority w:val="0"/>
    <w:rPr>
      <w:rFonts w:hint="eastAsia" w:ascii="等线" w:hAnsi="等线" w:eastAsia="等线" w:cs="等线"/>
      <w:color w:val="000000"/>
      <w:sz w:val="24"/>
      <w:szCs w:val="24"/>
      <w:u w:val="none"/>
    </w:rPr>
  </w:style>
  <w:style w:type="character" w:customStyle="1" w:styleId="54">
    <w:name w:val="font81"/>
    <w:basedOn w:val="29"/>
    <w:qFormat/>
    <w:uiPriority w:val="0"/>
    <w:rPr>
      <w:rFonts w:hint="eastAsia" w:ascii="等线" w:hAnsi="等线" w:eastAsia="等线" w:cs="等线"/>
      <w:color w:val="000000"/>
      <w:sz w:val="24"/>
      <w:szCs w:val="24"/>
      <w:u w:val="none"/>
    </w:rPr>
  </w:style>
  <w:style w:type="character" w:customStyle="1" w:styleId="55">
    <w:name w:val="font31"/>
    <w:basedOn w:val="29"/>
    <w:qFormat/>
    <w:uiPriority w:val="0"/>
    <w:rPr>
      <w:rFonts w:hint="eastAsia" w:ascii="宋体" w:hAnsi="宋体" w:eastAsia="宋体" w:cs="宋体"/>
      <w:color w:val="000000"/>
      <w:sz w:val="24"/>
      <w:szCs w:val="24"/>
      <w:u w:val="none"/>
    </w:rPr>
  </w:style>
  <w:style w:type="character" w:customStyle="1" w:styleId="56">
    <w:name w:val="font11"/>
    <w:basedOn w:val="29"/>
    <w:qFormat/>
    <w:uiPriority w:val="0"/>
    <w:rPr>
      <w:rFonts w:hint="eastAsia" w:ascii="等线" w:hAnsi="等线" w:eastAsia="等线" w:cs="等线"/>
      <w:color w:val="000000"/>
      <w:sz w:val="24"/>
      <w:szCs w:val="24"/>
      <w:u w:val="none"/>
    </w:rPr>
  </w:style>
  <w:style w:type="character" w:customStyle="1" w:styleId="57">
    <w:name w:val="font01"/>
    <w:basedOn w:val="29"/>
    <w:qFormat/>
    <w:uiPriority w:val="0"/>
    <w:rPr>
      <w:rFonts w:hint="eastAsia" w:ascii="等线" w:hAnsi="等线" w:eastAsia="等线" w:cs="等线"/>
      <w:color w:val="000000"/>
      <w:sz w:val="24"/>
      <w:szCs w:val="24"/>
      <w:u w:val="none"/>
    </w:rPr>
  </w:style>
  <w:style w:type="character" w:customStyle="1" w:styleId="58">
    <w:name w:val="font251"/>
    <w:basedOn w:val="29"/>
    <w:qFormat/>
    <w:uiPriority w:val="0"/>
    <w:rPr>
      <w:rFonts w:hint="default" w:ascii="AppleGothic" w:hAnsi="AppleGothic" w:eastAsia="AppleGothic" w:cs="AppleGothic"/>
      <w:color w:val="000000"/>
      <w:sz w:val="17"/>
      <w:szCs w:val="17"/>
      <w:u w:val="none"/>
    </w:rPr>
  </w:style>
  <w:style w:type="character" w:customStyle="1" w:styleId="59">
    <w:name w:val="font161"/>
    <w:basedOn w:val="29"/>
    <w:qFormat/>
    <w:uiPriority w:val="0"/>
    <w:rPr>
      <w:rFonts w:hint="default" w:ascii="AppleGothic" w:hAnsi="AppleGothic" w:eastAsia="AppleGothic" w:cs="AppleGothic"/>
      <w:color w:val="000000"/>
      <w:sz w:val="18"/>
      <w:szCs w:val="18"/>
      <w:u w:val="none"/>
    </w:rPr>
  </w:style>
  <w:style w:type="character" w:customStyle="1" w:styleId="60">
    <w:name w:val="font151"/>
    <w:basedOn w:val="29"/>
    <w:qFormat/>
    <w:uiPriority w:val="0"/>
    <w:rPr>
      <w:rFonts w:ascii="Cambria" w:hAnsi="Cambria" w:eastAsia="Cambria" w:cs="Cambria"/>
      <w:color w:val="000000"/>
      <w:sz w:val="18"/>
      <w:szCs w:val="18"/>
      <w:u w:val="none"/>
    </w:rPr>
  </w:style>
  <w:style w:type="character" w:customStyle="1" w:styleId="61">
    <w:name w:val="font91"/>
    <w:basedOn w:val="29"/>
    <w:qFormat/>
    <w:uiPriority w:val="0"/>
    <w:rPr>
      <w:rFonts w:hint="default" w:ascii="AppleMyungjo" w:hAnsi="AppleMyungjo" w:eastAsia="AppleMyungjo" w:cs="AppleMyungjo"/>
      <w:color w:val="000000"/>
      <w:sz w:val="18"/>
      <w:szCs w:val="18"/>
      <w:u w:val="none"/>
    </w:rPr>
  </w:style>
  <w:style w:type="character" w:customStyle="1" w:styleId="62">
    <w:name w:val="font201"/>
    <w:basedOn w:val="29"/>
    <w:qFormat/>
    <w:uiPriority w:val="0"/>
    <w:rPr>
      <w:rFonts w:hint="default" w:ascii="AppleGothic" w:hAnsi="AppleGothic" w:eastAsia="AppleGothic" w:cs="AppleGothic"/>
      <w:color w:val="FF0000"/>
      <w:sz w:val="17"/>
      <w:szCs w:val="17"/>
      <w:u w:val="none"/>
    </w:rPr>
  </w:style>
  <w:style w:type="character" w:customStyle="1" w:styleId="63">
    <w:name w:val="font101"/>
    <w:basedOn w:val="29"/>
    <w:qFormat/>
    <w:uiPriority w:val="0"/>
    <w:rPr>
      <w:rFonts w:hint="default" w:ascii="AppleMyungjo" w:hAnsi="AppleMyungjo" w:eastAsia="AppleMyungjo" w:cs="AppleMyungjo"/>
      <w:color w:val="FF0000"/>
      <w:sz w:val="18"/>
      <w:szCs w:val="18"/>
      <w:u w:val="none"/>
    </w:rPr>
  </w:style>
  <w:style w:type="character" w:customStyle="1" w:styleId="64">
    <w:name w:val="font22"/>
    <w:basedOn w:val="29"/>
    <w:qFormat/>
    <w:uiPriority w:val="0"/>
    <w:rPr>
      <w:rFonts w:hint="default" w:ascii="Cambria" w:hAnsi="Cambria" w:eastAsia="Cambria" w:cs="Cambria"/>
      <w:color w:val="FF0000"/>
      <w:sz w:val="18"/>
      <w:szCs w:val="18"/>
      <w:u w:val="none"/>
    </w:rPr>
  </w:style>
  <w:style w:type="character" w:customStyle="1" w:styleId="65">
    <w:name w:val="font51"/>
    <w:basedOn w:val="29"/>
    <w:qFormat/>
    <w:uiPriority w:val="0"/>
    <w:rPr>
      <w:rFonts w:hint="default" w:ascii="AppleGothic 일반체" w:hAnsi="AppleGothic 일반체" w:eastAsia="AppleGothic 일반체" w:cs="AppleGothic 일반체"/>
      <w:color w:val="000000"/>
      <w:sz w:val="16"/>
      <w:szCs w:val="16"/>
      <w:u w:val="none"/>
    </w:rPr>
  </w:style>
  <w:style w:type="character" w:customStyle="1" w:styleId="66">
    <w:name w:val="font141"/>
    <w:basedOn w:val="29"/>
    <w:qFormat/>
    <w:uiPriority w:val="0"/>
    <w:rPr>
      <w:rFonts w:hint="eastAsia" w:ascii="等线" w:hAnsi="等线" w:eastAsia="等线" w:cs="等线"/>
      <w:color w:val="000000"/>
      <w:sz w:val="16"/>
      <w:szCs w:val="16"/>
      <w:u w:val="none"/>
    </w:rPr>
  </w:style>
  <w:style w:type="character" w:customStyle="1" w:styleId="67">
    <w:name w:val="font171"/>
    <w:basedOn w:val="29"/>
    <w:qFormat/>
    <w:uiPriority w:val="0"/>
    <w:rPr>
      <w:rFonts w:hint="default" w:ascii="AppleGothic 일반체" w:hAnsi="AppleGothic 일반체" w:eastAsia="AppleGothic 일반체" w:cs="AppleGothic 일반체"/>
      <w:color w:val="000000"/>
      <w:sz w:val="16"/>
      <w:szCs w:val="16"/>
      <w:u w:val="none"/>
    </w:rPr>
  </w:style>
  <w:style w:type="character" w:customStyle="1" w:styleId="68">
    <w:name w:val="font132"/>
    <w:basedOn w:val="29"/>
    <w:qFormat/>
    <w:uiPriority w:val="0"/>
    <w:rPr>
      <w:rFonts w:hint="eastAsia" w:ascii="等线" w:hAnsi="等线" w:eastAsia="等线" w:cs="等线"/>
      <w:color w:val="000000"/>
      <w:sz w:val="16"/>
      <w:szCs w:val="16"/>
      <w:u w:val="none"/>
    </w:rPr>
  </w:style>
  <w:style w:type="character" w:customStyle="1" w:styleId="69">
    <w:name w:val="font41"/>
    <w:basedOn w:val="29"/>
    <w:qFormat/>
    <w:uiPriority w:val="0"/>
    <w:rPr>
      <w:rFonts w:hint="default" w:ascii="AppleGothic 일반체" w:hAnsi="AppleGothic 일반체" w:eastAsia="AppleGothic 일반체" w:cs="AppleGothic 일반체"/>
      <w:color w:val="000000"/>
      <w:sz w:val="16"/>
      <w:szCs w:val="16"/>
      <w:u w:val="none"/>
    </w:rPr>
  </w:style>
  <w:style w:type="character" w:customStyle="1" w:styleId="70">
    <w:name w:val="font13"/>
    <w:basedOn w:val="29"/>
    <w:qFormat/>
    <w:uiPriority w:val="0"/>
    <w:rPr>
      <w:rFonts w:hint="eastAsia" w:ascii="等线" w:hAnsi="等线" w:eastAsia="等线" w:cs="等线"/>
      <w:color w:val="FF0000"/>
      <w:sz w:val="16"/>
      <w:szCs w:val="16"/>
      <w:u w:val="none"/>
    </w:rPr>
  </w:style>
  <w:style w:type="character" w:customStyle="1" w:styleId="71">
    <w:name w:val="font121"/>
    <w:basedOn w:val="29"/>
    <w:qFormat/>
    <w:uiPriority w:val="0"/>
    <w:rPr>
      <w:rFonts w:ascii="等线 ( 正文 )" w:hAnsi="等线 ( 正文 )" w:eastAsia="等线 ( 正文 )" w:cs="等线 ( 正文 )"/>
      <w:b/>
      <w:color w:val="FF0000"/>
      <w:sz w:val="16"/>
      <w:szCs w:val="16"/>
      <w:u w:val="none"/>
    </w:rPr>
  </w:style>
  <w:style w:type="character" w:customStyle="1" w:styleId="72">
    <w:name w:val="font111"/>
    <w:basedOn w:val="29"/>
    <w:qFormat/>
    <w:uiPriority w:val="0"/>
    <w:rPr>
      <w:rFonts w:hint="eastAsia" w:ascii="宋体" w:hAnsi="宋体" w:eastAsia="宋体" w:cs="宋体"/>
      <w:color w:val="FF0000"/>
      <w:sz w:val="17"/>
      <w:szCs w:val="17"/>
      <w:u w:val="none"/>
    </w:rPr>
  </w:style>
  <w:style w:type="paragraph" w:customStyle="1" w:styleId="73">
    <w:name w:val="WPSOffice手动目录 1"/>
    <w:qFormat/>
    <w:uiPriority w:val="0"/>
    <w:rPr>
      <w:rFonts w:ascii="Times New Roman" w:hAnsi="Times New Roman" w:eastAsia="宋体" w:cs="Times New Roman"/>
      <w:lang w:val="en-US" w:eastAsia="zh-CN" w:bidi="ar-SA"/>
    </w:rPr>
  </w:style>
  <w:style w:type="paragraph" w:customStyle="1" w:styleId="74">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75">
    <w:name w:val="WPSOffice手动目录 3"/>
    <w:qFormat/>
    <w:uiPriority w:val="0"/>
    <w:pPr>
      <w:ind w:left="400" w:leftChars="400"/>
    </w:pPr>
    <w:rPr>
      <w:rFonts w:ascii="Times New Roman" w:hAnsi="Times New Roman" w:eastAsia="宋体" w:cs="Times New Roman"/>
      <w:lang w:val="en-US" w:eastAsia="zh-CN" w:bidi="ar-SA"/>
    </w:rPr>
  </w:style>
  <w:style w:type="character" w:customStyle="1" w:styleId="76">
    <w:name w:val="列出段落 Char"/>
    <w:link w:val="49"/>
    <w:qFormat/>
    <w:uiPriority w:val="34"/>
    <w:rPr>
      <w:rFonts w:asciiTheme="minorHAnsi" w:hAnsiTheme="minorHAnsi" w:eastAsiaTheme="minorEastAsia" w:cstheme="minorBidi"/>
      <w:kern w:val="2"/>
      <w:sz w:val="21"/>
      <w:szCs w:val="24"/>
    </w:rPr>
  </w:style>
  <w:style w:type="character" w:customStyle="1" w:styleId="77">
    <w:name w:val="页眉 字符"/>
    <w:qFormat/>
    <w:uiPriority w:val="0"/>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3" Type="http://schemas.openxmlformats.org/officeDocument/2006/relationships/fontTable" Target="fontTable.xml"/><Relationship Id="rId52" Type="http://schemas.openxmlformats.org/officeDocument/2006/relationships/customXml" Target="../customXml/item2.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header" Target="header3.xml"/><Relationship Id="rId49" Type="http://schemas.openxmlformats.org/officeDocument/2006/relationships/image" Target="media/image37.png"/><Relationship Id="rId48" Type="http://schemas.openxmlformats.org/officeDocument/2006/relationships/image" Target="media/image36.png"/><Relationship Id="rId47" Type="http://schemas.openxmlformats.org/officeDocument/2006/relationships/image" Target="media/image35.png"/><Relationship Id="rId46" Type="http://schemas.openxmlformats.org/officeDocument/2006/relationships/image" Target="media/image34.png"/><Relationship Id="rId45" Type="http://schemas.openxmlformats.org/officeDocument/2006/relationships/image" Target="media/image33.png"/><Relationship Id="rId44" Type="http://schemas.openxmlformats.org/officeDocument/2006/relationships/image" Target="media/image32.png"/><Relationship Id="rId43" Type="http://schemas.openxmlformats.org/officeDocument/2006/relationships/image" Target="media/image31.png"/><Relationship Id="rId42" Type="http://schemas.openxmlformats.org/officeDocument/2006/relationships/image" Target="media/image30.png"/><Relationship Id="rId41" Type="http://schemas.openxmlformats.org/officeDocument/2006/relationships/image" Target="media/image29.png"/><Relationship Id="rId40" Type="http://schemas.openxmlformats.org/officeDocument/2006/relationships/image" Target="media/image28.png"/><Relationship Id="rId4" Type="http://schemas.openxmlformats.org/officeDocument/2006/relationships/header" Target="header2.xml"/><Relationship Id="rId39" Type="http://schemas.openxmlformats.org/officeDocument/2006/relationships/image" Target="media/image27.png"/><Relationship Id="rId38" Type="http://schemas.openxmlformats.org/officeDocument/2006/relationships/image" Target="media/image26.emf"/><Relationship Id="rId37" Type="http://schemas.openxmlformats.org/officeDocument/2006/relationships/image" Target="media/image25.emf"/><Relationship Id="rId36" Type="http://schemas.openxmlformats.org/officeDocument/2006/relationships/image" Target="media/image24.png"/><Relationship Id="rId35" Type="http://schemas.openxmlformats.org/officeDocument/2006/relationships/image" Target="media/image23.png"/><Relationship Id="rId34" Type="http://schemas.openxmlformats.org/officeDocument/2006/relationships/image" Target="media/image22.png"/><Relationship Id="rId33" Type="http://schemas.openxmlformats.org/officeDocument/2006/relationships/image" Target="media/image21.png"/><Relationship Id="rId32" Type="http://schemas.openxmlformats.org/officeDocument/2006/relationships/image" Target="media/image20.emf"/><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header" Target="header1.xml"/><Relationship Id="rId29" Type="http://schemas.openxmlformats.org/officeDocument/2006/relationships/image" Target="media/image17.emf"/><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theme" Target="theme/theme1.xml"/><Relationship Id="rId11" Type="http://schemas.openxmlformats.org/officeDocument/2006/relationships/footer" Target="foot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textRotate="1"/>
    <customShpInfo spid="_x0000_s1027"/>
    <customShpInfo spid="_x0000_s1028"/>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1F5FE64-976F-4E4E-9928-790D03EEA18F}">
  <ds:schemaRefs/>
</ds:datastoreItem>
</file>

<file path=docProps/app.xml><?xml version="1.0" encoding="utf-8"?>
<Properties xmlns="http://schemas.openxmlformats.org/officeDocument/2006/extended-properties" xmlns:vt="http://schemas.openxmlformats.org/officeDocument/2006/docPropsVTypes">
  <Template>Normal.dotm</Template>
  <Company>MS</Company>
  <Pages>201</Pages>
  <Words>10753</Words>
  <Characters>61294</Characters>
  <Lines>510</Lines>
  <Paragraphs>143</Paragraphs>
  <TotalTime>3</TotalTime>
  <ScaleCrop>false</ScaleCrop>
  <LinksUpToDate>false</LinksUpToDate>
  <CharactersWithSpaces>71904</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2020-05-28T08:43:00Z</dcterms:created>
  <dc:creator>admin</dc:creator>
  <cp:lastModifiedBy>梦痕</cp:lastModifiedBy>
  <dcterms:modified xsi:type="dcterms:W3CDTF">2021-02-21T09:59:39Z</dcterms:modified>
  <cp:revision>492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