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1F4E79"/>
          <w:sz w:val="44"/>
        </w:rPr>
        <w:t>LazyCraft 面向高校教学场景的优势分析</w:t>
      </w:r>
    </w:p>
    <w:p>
      <w:pPr>
        <w:spacing w:after="360"/>
        <w:jc w:val="center"/>
      </w:pPr>
      <w:r>
        <w:rPr>
          <w:rFonts w:ascii="Times New Roman" w:hAnsi="Times New Roman" w:eastAsia="微软雅黑"/>
          <w:b w:val="0"/>
          <w:color w:val="666666"/>
          <w:sz w:val="28"/>
        </w:rPr>
        <w:t>—— 一体化大模型应用开发与教学平台竞标材料</w:t>
      </w:r>
    </w:p>
    <w:p>
      <w:pPr>
        <w:spacing w:before="280" w:after="160"/>
      </w:pPr>
      <w:r>
        <w:rPr>
          <w:rFonts w:ascii="Times New Roman" w:hAnsi="Times New Roman" w:eastAsia="微软雅黑"/>
          <w:b/>
          <w:color w:val="1F4E79"/>
          <w:sz w:val="30"/>
        </w:rPr>
        <w:t>一、核心卖点:一站式全链路,告别“工具拼盘”</w:t>
      </w:r>
    </w:p>
    <w:p>
      <w:pPr>
        <w:spacing w:lineRule="auto" w:line="336"/>
        <w:ind w:firstLine="480"/>
      </w:pPr>
      <w:r>
        <w:rPr>
          <w:rFonts w:ascii="Times New Roman" w:hAnsi="Times New Roman" w:eastAsia="宋体"/>
          <w:b w:val="0"/>
          <w:sz w:val="24"/>
        </w:rPr>
        <w:t>目前市面上,大模型教学所需的各个环节是</w:t>
      </w:r>
      <w:r>
        <w:rPr>
          <w:rFonts w:ascii="Times New Roman" w:hAnsi="Times New Roman" w:eastAsia="宋体"/>
          <w:b/>
          <w:sz w:val="24"/>
        </w:rPr>
        <w:t>割裂</w:t>
      </w:r>
      <w:r>
        <w:rPr>
          <w:rFonts w:ascii="Times New Roman" w:hAnsi="Times New Roman" w:eastAsia="宋体"/>
          <w:b w:val="0"/>
          <w:sz w:val="24"/>
        </w:rPr>
        <w:t>的: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2"/>
              </w:rPr>
              <w:t>教学环节</w:t>
            </w:r>
          </w:p>
        </w:tc>
        <w:tc>
          <w:tcPr>
            <w:tcW w:type="dxa" w:w="3022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2"/>
              </w:rPr>
              <w:t>市面常见方案</w:t>
            </w:r>
          </w:p>
        </w:tc>
        <w:tc>
          <w:tcPr>
            <w:tcW w:type="dxa" w:w="3022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2"/>
              </w:rPr>
              <w:t>问题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模型微调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LLaMA-Factory 等命令行工具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学生先要学 Linux/Python 环境,门槛高</w:t>
            </w:r>
          </w:p>
        </w:tc>
      </w:tr>
      <w:tr>
        <w:tc>
          <w:tcPr>
            <w:tcW w:type="dxa" w:w="3022"/>
            <w:shd w:val="clear" w:fill="EAF1F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模型部署推理</w:t>
            </w:r>
          </w:p>
        </w:tc>
        <w:tc>
          <w:tcPr>
            <w:tcW w:type="dxa" w:w="3022"/>
            <w:shd w:val="clear" w:fill="EAF1F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vLLM/Ollama 手工部署</w:t>
            </w:r>
          </w:p>
        </w:tc>
        <w:tc>
          <w:tcPr>
            <w:tcW w:type="dxa" w:w="3022"/>
            <w:shd w:val="clear" w:fill="EAF1F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只解决“跑起来”,无管理界面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知识库 RAG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Dify / FastGPT / Coze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多为黑盒,无法讲解和修改内部检索链路</w:t>
            </w:r>
          </w:p>
        </w:tc>
      </w:tr>
      <w:tr>
        <w:tc>
          <w:tcPr>
            <w:tcW w:type="dxa" w:w="3022"/>
            <w:shd w:val="clear" w:fill="EAF1F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工作流/Agent 编排</w:t>
            </w:r>
          </w:p>
        </w:tc>
        <w:tc>
          <w:tcPr>
            <w:tcW w:type="dxa" w:w="3022"/>
            <w:shd w:val="clear" w:fill="EAF1F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Coze(公有云 SaaS)</w:t>
            </w:r>
          </w:p>
        </w:tc>
        <w:tc>
          <w:tcPr>
            <w:tcW w:type="dxa" w:w="3022"/>
            <w:shd w:val="clear" w:fill="EAF1F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数据出校门、按量收费、不可私有化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模型评测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学术脚本自行编写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无可视化、无 AI+人工结合的评分流程</w:t>
            </w:r>
          </w:p>
        </w:tc>
      </w:tr>
    </w:tbl>
    <w:p>
      <w:pPr>
        <w:spacing w:after="0"/>
      </w:pPr>
    </w:p>
    <w:p>
      <w:pPr>
        <w:spacing w:lineRule="auto" w:line="336"/>
        <w:ind w:firstLine="480"/>
      </w:pPr>
      <w:r>
        <w:rPr>
          <w:rFonts w:ascii="Times New Roman" w:hAnsi="Times New Roman" w:eastAsia="宋体"/>
          <w:b w:val="0"/>
          <w:sz w:val="24"/>
        </w:rPr>
        <w:t>学校往往要采购/维护 3~4 套系统才能覆盖一门完整课程,学生要在多个账号、多套界面之间来回切换。</w:t>
      </w:r>
    </w:p>
    <w:p>
      <w:pPr>
        <w:spacing w:lineRule="auto" w:line="336"/>
        <w:ind w:firstLine="480"/>
      </w:pPr>
      <w:r>
        <w:rPr>
          <w:rFonts w:ascii="Times New Roman" w:hAnsi="Times New Roman" w:eastAsia="宋体"/>
          <w:b w:val="0"/>
          <w:sz w:val="24"/>
        </w:rPr>
        <w:t>LazyCraft 把上述全部能力</w:t>
      </w:r>
      <w:r>
        <w:rPr>
          <w:rFonts w:ascii="Times New Roman" w:hAnsi="Times New Roman" w:eastAsia="宋体"/>
          <w:b/>
          <w:sz w:val="24"/>
        </w:rPr>
        <w:t>集成在同一个平台</w:t>
      </w:r>
      <w:r>
        <w:rPr>
          <w:rFonts w:ascii="Times New Roman" w:hAnsi="Times New Roman" w:eastAsia="宋体"/>
          <w:b w:val="0"/>
          <w:sz w:val="24"/>
        </w:rPr>
        <w:t>:数据集管理 → 模型微调 → 推理服务部署 → 知识库 RAG → 工作流/Agent 编排 → 模型评测 → API 发布,一个账号、一个界面、一套 GPU 资源全部打通。</w:t>
      </w:r>
      <w:r>
        <w:rPr>
          <w:rFonts w:ascii="Times New Roman" w:hAnsi="Times New Roman" w:eastAsia="宋体"/>
          <w:b/>
          <w:sz w:val="24"/>
        </w:rPr>
        <w:t>微调完成的模型可以一键部署为推理服务,再直接挂到知识库和工作流中使用</w:t>
      </w:r>
      <w:r>
        <w:rPr>
          <w:rFonts w:ascii="Times New Roman" w:hAnsi="Times New Roman" w:eastAsia="宋体"/>
          <w:b w:val="0"/>
          <w:sz w:val="24"/>
        </w:rPr>
        <w:t>——这条闭环链路在单一开源平台里非常少见,也正是“大模型应用开发”这门课需要讲给学生看的完整产业流程。</w:t>
      </w:r>
    </w:p>
    <w:p>
      <w:pPr>
        <w:spacing w:before="280" w:after="160"/>
      </w:pPr>
      <w:r>
        <w:rPr>
          <w:rFonts w:ascii="Times New Roman" w:hAnsi="Times New Roman" w:eastAsia="微软雅黑"/>
          <w:b/>
          <w:color w:val="1F4E79"/>
          <w:sz w:val="30"/>
        </w:rPr>
        <w:t>二、从教学角度:内容与课程天然对齐</w:t>
      </w:r>
    </w:p>
    <w:p>
      <w:pPr>
        <w:spacing w:lineRule="auto" w:line="336"/>
        <w:ind w:firstLine="480"/>
      </w:pPr>
      <w:r>
        <w:rPr>
          <w:rFonts w:ascii="Times New Roman" w:hAnsi="Times New Roman" w:eastAsia="宋体"/>
          <w:b w:val="0"/>
          <w:sz w:val="24"/>
        </w:rPr>
        <w:t>一门完整的《大模型应用开发》课程通常包含:Prompt 工程、微调原理与实操、推理部署、RAG 检索增强、Agent 编排、效果评估。LazyCraft 的模块与课程章节</w:t>
      </w:r>
      <w:r>
        <w:rPr>
          <w:rFonts w:ascii="Times New Roman" w:hAnsi="Times New Roman" w:eastAsia="宋体"/>
          <w:b/>
          <w:sz w:val="24"/>
        </w:rPr>
        <w:t>一一对应</w:t>
      </w:r>
      <w:r>
        <w:rPr>
          <w:rFonts w:ascii="Times New Roman" w:hAnsi="Times New Roman" w:eastAsia="宋体"/>
          <w:b w:val="0"/>
          <w:sz w:val="24"/>
        </w:rPr>
        <w:t>: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Prompt 管理</w:t>
      </w:r>
      <w:r>
        <w:rPr>
          <w:rFonts w:ascii="Times New Roman" w:hAnsi="Times New Roman" w:eastAsia="宋体"/>
          <w:b w:val="0"/>
          <w:sz w:val="24"/>
        </w:rPr>
        <w:t>:内置模板 + AI 辅助编写,讲提示词工程时学生可即学即练;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模型微调</w:t>
      </w:r>
      <w:r>
        <w:rPr>
          <w:rFonts w:ascii="Times New Roman" w:hAnsi="Times New Roman" w:eastAsia="宋体"/>
          <w:b w:val="0"/>
          <w:sz w:val="24"/>
        </w:rPr>
        <w:t>:可视化配置 LoRA 秩(r)、学习占比、alpha 等参数,学生在界面上就能直观理解“参数量 vs 显存占用 vs 效果”的权衡,产物支持 LoRA / 合并(merge)/ 导出,可继续讲解“微调产物如何走向部署”;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模型部署</w:t>
      </w:r>
      <w:r>
        <w:rPr>
          <w:rFonts w:ascii="Times New Roman" w:hAnsi="Times New Roman" w:eastAsia="宋体"/>
          <w:b w:val="0"/>
          <w:sz w:val="24"/>
        </w:rPr>
        <w:t>:微调产物一键拉起 vLLM 推理服务,单卡 GPU 即可演示,讲解“推理服务化、并发、显存管理”时不用写任何命令行;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知识库</w:t>
      </w:r>
      <w:r>
        <w:rPr>
          <w:rFonts w:ascii="Times New Roman" w:hAnsi="Times New Roman" w:eastAsia="宋体"/>
          <w:b w:val="0"/>
          <w:sz w:val="24"/>
        </w:rPr>
        <w:t xml:space="preserve">:覆盖 </w:t>
      </w:r>
      <w:r>
        <w:rPr>
          <w:rFonts w:ascii="Times New Roman" w:hAnsi="Times New Roman" w:eastAsia="宋体"/>
          <w:b/>
          <w:sz w:val="24"/>
        </w:rPr>
        <w:t>Reader(文档解析)→ Rewrite(改写)→ Retriever(召回)→ Rerank(重排)</w:t>
      </w:r>
      <w:r>
        <w:rPr>
          <w:rFonts w:ascii="Times New Roman" w:hAnsi="Times New Roman" w:eastAsia="宋体"/>
          <w:b w:val="0"/>
          <w:sz w:val="24"/>
        </w:rPr>
        <w:t xml:space="preserve"> 完整 RAG 链路,每一环都可以在界面上单独配置、单独对比效果——</w:t>
      </w:r>
      <w:r>
        <w:rPr>
          <w:rFonts w:ascii="Times New Roman" w:hAnsi="Times New Roman" w:eastAsia="宋体"/>
          <w:b/>
          <w:sz w:val="24"/>
        </w:rPr>
        <w:t>这是讲透 RAG 原理的关键</w:t>
      </w:r>
      <w:r>
        <w:rPr>
          <w:rFonts w:ascii="Times New Roman" w:hAnsi="Times New Roman" w:eastAsia="宋体"/>
          <w:b w:val="0"/>
          <w:sz w:val="24"/>
        </w:rPr>
        <w:t>,市面多数平台只给一个“上传文件”按钮;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工作流</w:t>
      </w:r>
      <w:r>
        <w:rPr>
          <w:rFonts w:ascii="Times New Roman" w:hAnsi="Times New Roman" w:eastAsia="宋体"/>
          <w:b w:val="0"/>
          <w:sz w:val="24"/>
        </w:rPr>
        <w:t xml:space="preserve">:可视化画布编排 Agent,支持接入自定义工具与 </w:t>
      </w:r>
      <w:r>
        <w:rPr>
          <w:rFonts w:ascii="Times New Roman" w:hAnsi="Times New Roman" w:eastAsia="宋体"/>
          <w:b/>
          <w:sz w:val="24"/>
        </w:rPr>
        <w:t>MCP 协议</w:t>
      </w:r>
      <w:r>
        <w:rPr>
          <w:rFonts w:ascii="Times New Roman" w:hAnsi="Times New Roman" w:eastAsia="宋体"/>
          <w:b w:val="0"/>
          <w:sz w:val="24"/>
        </w:rPr>
        <w:t>(含 Streamable HTTP),与当前产业界 Agent 生态接轨;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模型评测</w:t>
      </w:r>
      <w:r>
        <w:rPr>
          <w:rFonts w:ascii="Times New Roman" w:hAnsi="Times New Roman" w:eastAsia="宋体"/>
          <w:b w:val="0"/>
          <w:sz w:val="24"/>
        </w:rPr>
        <w:t xml:space="preserve">:支持 </w:t>
      </w:r>
      <w:r>
        <w:rPr>
          <w:rFonts w:ascii="Times New Roman" w:hAnsi="Times New Roman" w:eastAsia="宋体"/>
          <w:b/>
          <w:sz w:val="24"/>
        </w:rPr>
        <w:t>AI 自动测评 + 人工测评</w:t>
      </w:r>
      <w:r>
        <w:rPr>
          <w:rFonts w:ascii="Times New Roman" w:hAnsi="Times New Roman" w:eastAsia="宋体"/>
          <w:b w:val="0"/>
          <w:sz w:val="24"/>
        </w:rPr>
        <w:t xml:space="preserve"> 双模式,自定义评分维度,可以专门设一章讲“如何科学地评估模型效果”——这是多数平台缺失、但教学中极有价值的一环。</w:t>
      </w:r>
    </w:p>
    <w:p>
      <w:pPr>
        <w:spacing w:before="280" w:after="160"/>
      </w:pPr>
      <w:r>
        <w:rPr>
          <w:rFonts w:ascii="Times New Roman" w:hAnsi="Times New Roman" w:eastAsia="微软雅黑"/>
          <w:b/>
          <w:color w:val="1F4E79"/>
          <w:sz w:val="30"/>
        </w:rPr>
        <w:t>三、从深度与分层教学角度:低门槛入门,高天花板进阶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面向本科生/非开发者</w:t>
      </w:r>
      <w:r>
        <w:rPr>
          <w:rFonts w:ascii="Times New Roman" w:hAnsi="Times New Roman" w:eastAsia="宋体"/>
          <w:b w:val="0"/>
          <w:sz w:val="24"/>
        </w:rPr>
        <w:t>:低代码画布 + 应用模板,不写代码即可搭建“数据洞察师、文献综述生成器”等应用,快速建立成就感;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面向研究生/科研</w:t>
      </w:r>
      <w:r>
        <w:rPr>
          <w:rFonts w:ascii="Times New Roman" w:hAnsi="Times New Roman" w:eastAsia="宋体"/>
          <w:b w:val="0"/>
          <w:sz w:val="24"/>
        </w:rPr>
        <w:t>:平台架构灵活可插拔——向量库、RAG 策略、离线解析与在线召回流程均可</w:t>
      </w:r>
      <w:r>
        <w:rPr>
          <w:rFonts w:ascii="Times New Roman" w:hAnsi="Times New Roman" w:eastAsia="宋体"/>
          <w:b/>
          <w:sz w:val="24"/>
        </w:rPr>
        <w:t>自定义替换甚至二次开发</w:t>
      </w:r>
      <w:r>
        <w:rPr>
          <w:rFonts w:ascii="Times New Roman" w:hAnsi="Times New Roman" w:eastAsia="宋体"/>
          <w:b w:val="0"/>
          <w:sz w:val="24"/>
        </w:rPr>
        <w:t>,基于开源框架 LazyLLM,学生可以下钻到源码层面做创新实验;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同一个平台同时支撑“科普体验课”和“源码级科研课”,</w:t>
      </w:r>
      <w:r>
        <w:rPr>
          <w:rFonts w:ascii="Times New Roman" w:hAnsi="Times New Roman" w:eastAsia="宋体"/>
          <w:b/>
          <w:sz w:val="24"/>
        </w:rPr>
        <w:t>采购一次,覆盖从入门到科研的完整梯度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before="280" w:after="160"/>
      </w:pPr>
      <w:r>
        <w:rPr>
          <w:rFonts w:ascii="Times New Roman" w:hAnsi="Times New Roman" w:eastAsia="微软雅黑"/>
          <w:b/>
          <w:color w:val="1F4E79"/>
          <w:sz w:val="30"/>
        </w:rPr>
        <w:t>四、从安全合规角度:私有化部署,数据不出校门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全平台私有化部署在校内服务器,</w:t>
      </w:r>
      <w:r>
        <w:rPr>
          <w:rFonts w:ascii="Times New Roman" w:hAnsi="Times New Roman" w:eastAsia="宋体"/>
          <w:b/>
          <w:sz w:val="24"/>
        </w:rPr>
        <w:t>课程作业、科研数据、私有文档全部留在校内</w:t>
      </w:r>
      <w:r>
        <w:rPr>
          <w:rFonts w:ascii="Times New Roman" w:hAnsi="Times New Roman" w:eastAsia="宋体"/>
          <w:b w:val="0"/>
          <w:sz w:val="24"/>
        </w:rPr>
        <w:t>;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相比把师生数据上传到公有云 SaaS(Coze 等),不存在数据出境/出校的合规风险;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内置</w:t>
      </w:r>
      <w:r>
        <w:rPr>
          <w:rFonts w:ascii="Times New Roman" w:hAnsi="Times New Roman" w:eastAsia="宋体"/>
          <w:b/>
          <w:sz w:val="24"/>
        </w:rPr>
        <w:t>多租户/多工作空间</w:t>
      </w:r>
      <w:r>
        <w:rPr>
          <w:rFonts w:ascii="Times New Roman" w:hAnsi="Times New Roman" w:eastAsia="宋体"/>
          <w:b w:val="0"/>
          <w:sz w:val="24"/>
        </w:rPr>
        <w:t>:一个班 = 一个工作空间,教师作为管理员可管理成员与权限;每位学生独立空间互不干扰,天然支持“一个老师 + N 个学生”的教学组织形态;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提供 </w:t>
      </w:r>
      <w:r>
        <w:rPr>
          <w:rFonts w:ascii="Times New Roman" w:hAnsi="Times New Roman" w:eastAsia="宋体"/>
          <w:b/>
          <w:sz w:val="24"/>
        </w:rPr>
        <w:t>API Key 管理、日志与审计</w:t>
      </w:r>
      <w:r>
        <w:rPr>
          <w:rFonts w:ascii="Times New Roman" w:hAnsi="Times New Roman" w:eastAsia="宋体"/>
          <w:b w:val="0"/>
          <w:sz w:val="24"/>
        </w:rPr>
        <w:t>,满足学校信息化部门的安全要求。</w:t>
      </w:r>
    </w:p>
    <w:p>
      <w:pPr>
        <w:spacing w:before="280" w:after="160"/>
      </w:pPr>
      <w:r>
        <w:rPr>
          <w:rFonts w:ascii="Times New Roman" w:hAnsi="Times New Roman" w:eastAsia="微软雅黑"/>
          <w:b/>
          <w:color w:val="1F4E79"/>
          <w:sz w:val="30"/>
        </w:rPr>
        <w:t>五、从产业接轨角度:学生学到的是生产级技能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平台覆盖 </w:t>
      </w:r>
      <w:r>
        <w:rPr>
          <w:rFonts w:ascii="Times New Roman" w:hAnsi="Times New Roman" w:eastAsia="宋体"/>
          <w:b/>
          <w:sz w:val="24"/>
        </w:rPr>
        <w:t>创建 → 调试 → 发布 → 监控 → Bad Case 分析</w:t>
      </w:r>
      <w:r>
        <w:rPr>
          <w:rFonts w:ascii="Times New Roman" w:hAnsi="Times New Roman" w:eastAsia="宋体"/>
          <w:b w:val="0"/>
          <w:sz w:val="24"/>
        </w:rPr>
        <w:t xml:space="preserve"> 的完整研发链路,应用可发布为</w:t>
      </w:r>
      <w:r>
        <w:rPr>
          <w:rFonts w:ascii="Times New Roman" w:hAnsi="Times New Roman" w:eastAsia="宋体"/>
          <w:b/>
          <w:sz w:val="24"/>
        </w:rPr>
        <w:t>标准化 API</w:t>
      </w:r>
      <w:r>
        <w:rPr>
          <w:rFonts w:ascii="Times New Roman" w:hAnsi="Times New Roman" w:eastAsia="宋体"/>
          <w:b w:val="0"/>
          <w:sz w:val="24"/>
        </w:rPr>
        <w:t xml:space="preserve"> 对接外部系统——学生毕业进入企业后面对的就是同一套工作模式;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支持 </w:t>
      </w:r>
      <w:r>
        <w:rPr>
          <w:rFonts w:ascii="Times New Roman" w:hAnsi="Times New Roman" w:eastAsia="宋体"/>
          <w:b/>
          <w:sz w:val="24"/>
        </w:rPr>
        <w:t>MCP 协议、自定义工具接入</w:t>
      </w:r>
      <w:r>
        <w:rPr>
          <w:rFonts w:ascii="Times New Roman" w:hAnsi="Times New Roman" w:eastAsia="宋体"/>
          <w:b w:val="0"/>
          <w:sz w:val="24"/>
        </w:rPr>
        <w:t>等当前 Agent 产业热点,教学内容不过时;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应用可发布到商店,支持课程作业的展示、评比与复用。</w:t>
      </w:r>
    </w:p>
    <w:p>
      <w:pPr>
        <w:spacing w:before="280" w:after="160"/>
      </w:pPr>
      <w:r>
        <w:rPr>
          <w:rFonts w:ascii="Times New Roman" w:hAnsi="Times New Roman" w:eastAsia="微软雅黑"/>
          <w:b/>
          <w:color w:val="1F4E79"/>
          <w:sz w:val="30"/>
        </w:rPr>
        <w:t>六、从落地服务角度:开箱即用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平台内置全模块操作文档与知识库实战教程</w:t>
      </w:r>
      <w:r>
        <w:rPr>
          <w:rFonts w:ascii="Times New Roman" w:hAnsi="Times New Roman" w:eastAsia="宋体"/>
          <w:b w:val="0"/>
          <w:sz w:val="24"/>
        </w:rPr>
        <w:t>,教师无需从零编写实验讲义,可直接作为实验指导材料;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内置应用模板与数据集模板(支持版本管理、数据清洗、增强、标注),开课即可上手;</w:t>
      </w:r>
    </w:p>
    <w:p>
      <w:pPr>
        <w:spacing w:lineRule="auto" w:line="336"/>
        <w:ind w:left="480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我们提供部署实施、课程内容定制与培训支持,保障快速开课。</w:t>
      </w:r>
    </w:p>
    <w:p>
      <w:pPr>
        <w:spacing w:before="280" w:after="160"/>
      </w:pPr>
      <w:r>
        <w:rPr>
          <w:rFonts w:ascii="Times New Roman" w:hAnsi="Times New Roman" w:eastAsia="微软雅黑"/>
          <w:b/>
          <w:color w:val="1F4E79"/>
          <w:sz w:val="30"/>
        </w:rPr>
        <w:t>总结(可用于标书概述)</w:t>
      </w:r>
    </w:p>
    <w:p>
      <w:pPr>
        <w:spacing w:lineRule="auto" w:line="360"/>
        <w:ind w:left="480" w:right="480"/>
      </w:pPr>
      <w:r>
        <w:rPr>
          <w:rFonts w:ascii="Times New Roman" w:hAnsi="Times New Roman" w:eastAsia="宋体"/>
          <w:b w:val="0"/>
          <w:sz w:val="24"/>
        </w:rPr>
        <w:t>LazyCraft 是基于开源框架 LazyLLM 构建的一体化大模型应用开发与教学平台,将当前市面相互割裂的模型微调、推理部署、知识库 RAG、工作流编排、模型评测等能力集于一身,形成“数据 → 微调 → 部署 → 应用 → 评测”的完整教学闭环。平台支持低代码画布供本科生快速上手,支持 RAG 全链路与源码级定制供研究生深入科研;Docker 一键私有化部署,数据不出校门,并内置多租户管理满足“教师—班级—学生”的教学组织需求。相较采购多套独立系统,LazyCraft 为高校提供覆盖大模型应用开发全课程体系的一站式解决方案。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