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Noto Sans CJK SC" w:hAnsi="Noto Sans CJK SC" w:eastAsia="Noto Sans CJK SC"/>
          <w:b/>
          <w:color w:val="1F4E79"/>
          <w:sz w:val="34"/>
        </w:rPr>
        <w:t>麒麟 OS Agent Memory Data v4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/>
          <w:color w:val="1F4E79"/>
          <w:sz w:val="46"/>
        </w:rPr>
        <w:t>三人五天 Half-Scale 数据修复与准备方案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A5A5A"/>
          <w:sz w:val="24"/>
        </w:rPr>
        <w:t>Data-A / Data-B / Data-R 独立数据团队｜预留 20%–30% 施工拖慢余量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4C7DC"/>
          <w:left w:val="single" w:sz="5" w:color="B4C7DC"/>
          <w:bottom w:val="single" w:sz="5" w:color="B4C7DC"/>
          <w:right w:val="single" w:sz="5" w:color="B4C7DC"/>
          <w:insideH w:val="single" w:sz="5" w:color="B4C7DC"/>
          <w:insideV w:val="single" w:sz="5" w:color="B4C7DC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55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87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冻结值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数据团队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Data-A、Data-B、Data-R（3人，非主仓开发者）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主仓团队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Main A–E（原 5 人开发团队），与数据团队完全独立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计划周期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 天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计划容量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每人每日仅预排 6h，保留 2h；5天 Gross=120h，计划=90h，缓冲=30h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30%拖慢验证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90h × 1.30 = 117h ≤ 120h，理论仍可按期完成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正式目标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785 Gold Cases + 400 Memory KB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核心质量要求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A/B 正式 Gold 双人独立标注；Reviewer 裁决；Runtime 不得伪造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当前数据仓 PR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 #31，HEAD 72d5687；用于 P1 校准闭环，不继续堆 Half-Scale 大批数据</w:t>
            </w:r>
          </w:p>
        </w:tc>
      </w:tr>
    </w:tbl>
    <w:p>
      <w:pPr>
        <w:spacing w:after="20"/>
      </w:pPr>
    </w:p>
    <w:p>
      <w:pPr>
        <w:spacing w:before="160" w:after="60" w:line="288" w:lineRule="auto"/>
      </w:pPr>
      <w:r>
        <w:rPr>
          <w:rFonts w:ascii="Noto Sans CJK SC" w:hAnsi="Noto Sans CJK SC" w:eastAsia="Noto Sans CJK SC"/>
          <w:b/>
          <w:color w:val="C0504D"/>
          <w:sz w:val="25"/>
        </w:rPr>
        <w:t>核心策略</w:t>
      </w:r>
    </w:p>
    <w:p>
      <w:pPr>
        <w:spacing w:before="0" w:after="200" w:line="288" w:lineRule="auto"/>
      </w:pPr>
      <w:r>
        <w:rPr>
          <w:rFonts w:ascii="Noto Sans CJK SC" w:hAnsi="Noto Sans CJK SC" w:eastAsia="Noto Sans CJK SC"/>
          <w:b/>
          <w:color w:val="501E1E"/>
          <w:sz w:val="22"/>
        </w:rPr>
        <w:t>把“5 天排满”改成“5 天只排 75% 容量”：每人每天只承诺 6 小时关键工作，剩余 2 小时作为真实缓冲。数据生产在 Day 4 冻结，Day 5 不承担常规扩量，只用于 20%–30% 延迟吸收、全量 QA、封存和主仓对接。</w:t>
      </w:r>
    </w:p>
    <w:p>
      <w:r>
        <w:br w:type="page"/>
      </w:r>
    </w:p>
    <w:p>
      <w:pPr>
        <w:pStyle w:val="Heading1"/>
      </w:pPr>
      <w:r>
        <w:t>0. 方案升级点：从“多角色堆任务”变成“三人双盲流水线”</w:t>
      </w:r>
    </w:p>
    <w:p>
      <w:pPr>
        <w:spacing w:before="0" w:after="100" w:line="288" w:lineRule="auto"/>
      </w:pPr>
      <w:r>
        <w:rPr>
          <w:rFonts w:ascii="Noto Sans CJK SC" w:hAnsi="Noto Sans CJK SC" w:eastAsia="Noto Sans CJK SC"/>
          <w:b w:val="0"/>
          <w:sz w:val="21"/>
        </w:rPr>
        <w:t>上一版的主要问题不是目标数量，而是角色模型仍容易与主仓五人开发混淆，而且 Reviewer、Runtime、主仓依赖容易形成等待链。新版将三名数据成员定义为一个完全独立的数据生产小组，主仓只作为“版本化输入提供者”和“批准数据消费者”。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4C7DC"/>
          <w:left w:val="single" w:sz="5" w:color="B4C7DC"/>
          <w:bottom w:val="single" w:sz="5" w:color="B4C7DC"/>
          <w:right w:val="single" w:sz="5" w:color="B4C7DC"/>
          <w:insideH w:val="single" w:sz="5" w:color="B4C7DC"/>
          <w:insideV w:val="single" w:sz="5" w:color="B4C7DC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旧风险</w:t>
            </w:r>
          </w:p>
        </w:tc>
        <w:tc>
          <w:tcPr>
            <w:tcW w:type="dxa" w:w="453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本版改法</w:t>
            </w:r>
          </w:p>
        </w:tc>
        <w:tc>
          <w:tcPr>
            <w:tcW w:type="dxa" w:w="283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效率收益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A/B/Reviewer 与主仓 A-E 名称冲突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统一使用 Data-A / Data-B / Data-R；主仓只写 Main A-E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责任边界可审计，避免跨仓误认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跨仓多点沟通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Data-R 是数据侧唯一出口；主仓指定唯一 Liaison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减少上下文切换与口头约定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每天排满 8h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每日仅排 6h，2h 不预占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可吸收约 30% 工时膨胀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候选不足才临时补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候选池按正式目标 1.3× 预生成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可承受约 20%–25% 淘汰而不追量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大批次返工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25 条微批；WIP≤2 批/人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错误只污染一小批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A/B 标注与生成混杂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先生成 label-free context，再独立双标；两份顺序随机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降低互相影响与答案泄漏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Reviewer 全天被动等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12:15 / 16:45 固定裁决窗口 + 自动分歧队列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Reviewer 不成为流水线瓶颈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Tool 与 E2E 分别施工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35 Runtime Session 同时产 125 Tool + 35 E2E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一次真实回放复用多类证据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 #31 继续堆数据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#31 只闭 P1 calibration；Half-Scale 进入 P2 数据 PR/Release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Review 面积可控</w:t>
            </w:r>
          </w:p>
        </w:tc>
      </w:tr>
    </w:tbl>
    <w:p>
      <w:pPr>
        <w:spacing w:after="20"/>
      </w:pPr>
    </w:p>
    <w:p>
      <w:pPr>
        <w:pStyle w:val="Heading1"/>
      </w:pPr>
      <w:r>
        <w:t>1. 依据、现状与不变约束</w:t>
      </w:r>
    </w:p>
    <w:p>
      <w:pPr>
        <w:spacing w:before="0" w:after="100" w:line="288" w:lineRule="auto"/>
      </w:pPr>
      <w:r>
        <w:rPr>
          <w:rFonts w:ascii="Noto Sans CJK SC" w:hAnsi="Noto Sans CJK SC" w:eastAsia="Noto Sans CJK SC"/>
          <w:b w:val="0"/>
          <w:sz w:val="21"/>
        </w:rPr>
        <w:t>本方案以现有指导手册、当前数据仓 PR #31 和原主仓 15 天五人计划为基础。以下约束保持不变：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原指导手册将首版数据分为公开基准层 20%～30%、自建 Gold 层 50%～60%、真实回放层约 20%。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推荐首版规模为：Preference 400～500；Retrieval 600～1000 知识 + 300～400 Query；Conflict 200～300；Forgetting 150～250；Tool Result 200～300；E2E 50～80。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Stage 8 要求先 30～50 条试标，再进入正式阶段；正式阶段 Annotator A/B 独立提交，Reviewer 对分歧裁决，规则改变后回溯受影响样本。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公开数据不能替代麒麟 OS 专项 Gold；普通任务对话不能机械当长期偏好；两条事件不能机械当冲突；E2E/Tool 的最终真实性依赖麒麟 Runtime。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当前 v1 模板母体存在约 88%～93% 规则归一化重复；v3 public-only 虽改善来源真实性，但任务专精度不足。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当前 PR #31 仍处于 open / changes requested 路线，P1-5 正式盲标前必须先关闭真实来源、scope、blind context 等门禁。</w:t>
      </w:r>
    </w:p>
    <w:p>
      <w:pPr>
        <w:pStyle w:val="Heading2"/>
      </w:pPr>
      <w:r>
        <w:t>1.1 Half-Scale 固定规模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4C7DC"/>
          <w:left w:val="single" w:sz="5" w:color="B4C7DC"/>
          <w:bottom w:val="single" w:sz="5" w:color="B4C7DC"/>
          <w:right w:val="single" w:sz="5" w:color="B4C7DC"/>
          <w:insideH w:val="single" w:sz="5" w:color="B4C7DC"/>
          <w:insideV w:val="single" w:sz="5" w:color="B4C7DC"/>
        </w:tblBorders>
      </w:tblPr>
      <w:tblGrid>
        <w:gridCol w:w="1681"/>
        <w:gridCol w:w="1681"/>
        <w:gridCol w:w="1681"/>
        <w:gridCol w:w="1681"/>
        <w:gridCol w:w="1681"/>
        <w:gridCol w:w="1681"/>
      </w:tblGrid>
      <w:tr>
        <w:trPr>
          <w:tblHeader w:val="true"/>
          <w:cantSplit/>
        </w:trPr>
        <w:tc>
          <w:tcPr>
            <w:tcW w:type="dxa" w:w="187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子集</w:t>
            </w:r>
          </w:p>
        </w:tc>
        <w:tc>
          <w:tcPr>
            <w:tcW w:type="dxa" w:w="1587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原计划中位值</w:t>
            </w:r>
          </w:p>
        </w:tc>
        <w:tc>
          <w:tcPr>
            <w:tcW w:type="dxa" w:w="181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本版 Half-Scale</w:t>
            </w:r>
          </w:p>
        </w:tc>
        <w:tc>
          <w:tcPr>
            <w:tcW w:type="dxa" w:w="136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Public</w:t>
            </w:r>
          </w:p>
        </w:tc>
        <w:tc>
          <w:tcPr>
            <w:tcW w:type="dxa" w:w="181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OS Controlled</w:t>
            </w:r>
          </w:p>
        </w:tc>
        <w:tc>
          <w:tcPr>
            <w:tcW w:type="dxa" w:w="136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Runtime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Preference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450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225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75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150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Retrieval Query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350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175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80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95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Conflict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250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125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95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Forgetting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200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25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75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Tool Result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250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125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125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E2E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65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35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35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Gold 合计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约1565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785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210 (26.8%)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415 (52.9%)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160 (20.4%)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Memory KB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800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400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约120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约280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</w:tr>
    </w:tbl>
    <w:p>
      <w:pPr>
        <w:spacing w:after="20"/>
      </w:pPr>
    </w:p>
    <w:p>
      <w:pPr>
        <w:spacing w:before="0" w:after="100" w:line="288" w:lineRule="auto"/>
      </w:pPr>
      <w:r>
        <w:rPr>
          <w:rFonts w:ascii="Noto Sans CJK SC" w:hAnsi="Noto Sans CJK SC" w:eastAsia="Noto Sans CJK SC"/>
          <w:b w:val="0"/>
          <w:sz w:val="21"/>
        </w:rPr>
        <w:t>这组比例不是随意分配：Gold 层的 26.8% / 52.9% / 20.4% 基本落在原手册的 20%～30% / 50%～60% / 约 20% 三层结构中。</w:t>
      </w:r>
    </w:p>
    <w:p>
      <w:pPr>
        <w:pStyle w:val="Heading1"/>
      </w:pPr>
      <w:r>
        <w:t>2. 三人角色与独立性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4C7DC"/>
          <w:left w:val="single" w:sz="5" w:color="B4C7DC"/>
          <w:bottom w:val="single" w:sz="5" w:color="B4C7DC"/>
          <w:right w:val="single" w:sz="5" w:color="B4C7DC"/>
          <w:insideH w:val="single" w:sz="5" w:color="B4C7DC"/>
          <w:insideV w:val="single" w:sz="5" w:color="B4C7DC"/>
        </w:tblBorders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  <w:cantSplit/>
        </w:trPr>
        <w:tc>
          <w:tcPr>
            <w:tcW w:type="dxa" w:w="136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06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生产职责</w:t>
            </w:r>
          </w:p>
        </w:tc>
        <w:tc>
          <w:tcPr>
            <w:tcW w:type="dxa" w:w="260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标注职责</w:t>
            </w:r>
          </w:p>
        </w:tc>
        <w:tc>
          <w:tcPr>
            <w:tcW w:type="dxa" w:w="232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Reviewer/封存权限</w:t>
            </w:r>
          </w:p>
        </w:tc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禁止事项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Data-A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来源语义、Preference/Conflict/Forget候选、OS scenario spec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Annotator A：对 785 Case 独立提交 A 标签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无最终裁决权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不得查看 B 标签；不得直接改主仓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Data-B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自动化流水线、Provenance、Mini KB、Retrieval、Runtime importer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Annotator B：对 785 Case 独立提交 B 标签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无最终裁决权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不得查看 A 标签；不得直接改主仓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Data-R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Gate、分歧队列、规则冻结、切分、sealed、release、跨仓接口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不参加 A/B 首轮 blind label；只做独立抽验/裁决</w:t>
            </w:r>
          </w:p>
        </w:tc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唯一 final_label 裁决与 sealed 答案持有人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不得提前向 A/B透露裁决或答案</w:t>
            </w:r>
          </w:p>
        </w:tc>
      </w:tr>
    </w:tbl>
    <w:p>
      <w:pPr>
        <w:spacing w:after="20"/>
      </w:pPr>
    </w:p>
    <w:p>
      <w:pPr>
        <w:spacing w:before="0" w:after="100" w:line="288" w:lineRule="auto"/>
      </w:pPr>
      <w:r>
        <w:rPr>
          <w:rFonts w:ascii="Noto Sans CJK SC" w:hAnsi="Noto Sans CJK SC" w:eastAsia="Noto Sans CJK SC"/>
          <w:b w:val="0"/>
          <w:sz w:val="21"/>
        </w:rPr>
        <w:t>独立性实现不是靠口头约束，而是靠文件隔离：A/B 分别获得随机顺序不同的 blind context 包，包内不含 gold、candidate label、另一个标注者结果和 Reviewer 结论；两份标签都提交后，Reviewer 才能打开 disagreement view。</w:t>
      </w:r>
    </w:p>
    <w:p>
      <w:pPr>
        <w:pStyle w:val="Heading1"/>
      </w:pPr>
      <w:r>
        <w:t>3. 与主仓 Main A-E 的“接口层”</w:t>
      </w:r>
    </w:p>
    <w:p>
      <w:pPr>
        <w:spacing w:before="0" w:after="100" w:line="288" w:lineRule="auto"/>
      </w:pPr>
      <w:r>
        <w:rPr>
          <w:rFonts w:ascii="Noto Sans CJK SC" w:hAnsi="Noto Sans CJK SC" w:eastAsia="Noto Sans CJK SC"/>
          <w:b w:val="0"/>
          <w:sz w:val="21"/>
        </w:rPr>
        <w:t>数据团队与主仓五名开发者是两套团队。数据团队不进入主仓 A/B/C/D/E 的日常开发分工，也不直接修改主仓代码。双方只通过一个版本化接口层交换冻结包。</w:t>
      </w:r>
    </w:p>
    <w:p>
      <w:pPr>
        <w:spacing w:before="60" w:after="100"/>
        <w:ind w:left="283" w:right="170"/>
        <w:shd w:fill="F2F5F8"/>
      </w:pPr>
      <w:r>
        <w:rPr>
          <w:rFonts w:ascii="DejaVu Sans Mono" w:hAnsi="DejaVu Sans Mono" w:eastAsia="DejaVu Sans Mono"/>
          <w:b w:val="0"/>
          <w:sz w:val="17"/>
        </w:rPr>
        <w:t>Main Repo (Main A-E)</w:t>
        <w:br/>
      </w:r>
      <w:r>
        <w:rPr>
          <w:rFonts w:ascii="DejaVu Sans Mono" w:hAnsi="DejaVu Sans Mono" w:eastAsia="DejaVu Sans Mono"/>
          <w:b w:val="0"/>
          <w:sz w:val="17"/>
        </w:rPr>
        <w:t xml:space="preserve">        |</w:t>
        <w:br/>
      </w:r>
      <w:r>
        <w:rPr>
          <w:rFonts w:ascii="DejaVu Sans Mono" w:hAnsi="DejaVu Sans Mono" w:eastAsia="DejaVu Sans Mono"/>
          <w:b w:val="0"/>
          <w:sz w:val="17"/>
        </w:rPr>
        <w:t xml:space="preserve">        |  Main Input Package</w:t>
        <w:br/>
      </w:r>
      <w:r>
        <w:rPr>
          <w:rFonts w:ascii="DejaVu Sans Mono" w:hAnsi="DejaVu Sans Mono" w:eastAsia="DejaVu Sans Mono"/>
          <w:b w:val="0"/>
          <w:sz w:val="17"/>
        </w:rPr>
        <w:t xml:space="preserve">        v</w:t>
        <w:br/>
      </w:r>
      <w:r>
        <w:rPr>
          <w:rFonts w:ascii="DejaVu Sans Mono" w:hAnsi="DejaVu Sans Mono" w:eastAsia="DejaVu Sans Mono"/>
          <w:b w:val="0"/>
          <w:sz w:val="17"/>
        </w:rPr>
        <w:t>[ Data-R / Interface Gate ]</w:t>
        <w:br/>
      </w:r>
      <w:r>
        <w:rPr>
          <w:rFonts w:ascii="DejaVu Sans Mono" w:hAnsi="DejaVu Sans Mono" w:eastAsia="DejaVu Sans Mono"/>
          <w:b w:val="0"/>
          <w:sz w:val="17"/>
        </w:rPr>
        <w:t xml:space="preserve">        |</w:t>
        <w:br/>
      </w:r>
      <w:r>
        <w:rPr>
          <w:rFonts w:ascii="DejaVu Sans Mono" w:hAnsi="DejaVu Sans Mono" w:eastAsia="DejaVu Sans Mono"/>
          <w:b w:val="0"/>
          <w:sz w:val="17"/>
        </w:rPr>
        <w:t xml:space="preserve">        v</w:t>
        <w:br/>
      </w:r>
      <w:r>
        <w:rPr>
          <w:rFonts w:ascii="DejaVu Sans Mono" w:hAnsi="DejaVu Sans Mono" w:eastAsia="DejaVu Sans Mono"/>
          <w:b w:val="0"/>
          <w:sz w:val="17"/>
        </w:rPr>
        <w:t>Data-A &lt;-&gt; Data-B  (blind production)</w:t>
        <w:br/>
      </w:r>
      <w:r>
        <w:rPr>
          <w:rFonts w:ascii="DejaVu Sans Mono" w:hAnsi="DejaVu Sans Mono" w:eastAsia="DejaVu Sans Mono"/>
          <w:b w:val="0"/>
          <w:sz w:val="17"/>
        </w:rPr>
        <w:t xml:space="preserve">        |</w:t>
        <w:br/>
      </w:r>
      <w:r>
        <w:rPr>
          <w:rFonts w:ascii="DejaVu Sans Mono" w:hAnsi="DejaVu Sans Mono" w:eastAsia="DejaVu Sans Mono"/>
          <w:b w:val="0"/>
          <w:sz w:val="17"/>
        </w:rPr>
        <w:t xml:space="preserve">        v</w:t>
        <w:br/>
      </w:r>
      <w:r>
        <w:rPr>
          <w:rFonts w:ascii="DejaVu Sans Mono" w:hAnsi="DejaVu Sans Mono" w:eastAsia="DejaVu Sans Mono"/>
          <w:b w:val="0"/>
          <w:sz w:val="17"/>
        </w:rPr>
        <w:t>Data-R review / seal</w:t>
        <w:br/>
      </w:r>
      <w:r>
        <w:rPr>
          <w:rFonts w:ascii="DejaVu Sans Mono" w:hAnsi="DejaVu Sans Mono" w:eastAsia="DejaVu Sans Mono"/>
          <w:b w:val="0"/>
          <w:sz w:val="17"/>
        </w:rPr>
        <w:t xml:space="preserve">        |</w:t>
        <w:br/>
      </w:r>
      <w:r>
        <w:rPr>
          <w:rFonts w:ascii="DejaVu Sans Mono" w:hAnsi="DejaVu Sans Mono" w:eastAsia="DejaVu Sans Mono"/>
          <w:b w:val="0"/>
          <w:sz w:val="17"/>
        </w:rPr>
        <w:t xml:space="preserve">        |  DATA_RELEASE_v4 (APPROVED only)</w:t>
        <w:br/>
      </w:r>
      <w:r>
        <w:rPr>
          <w:rFonts w:ascii="DejaVu Sans Mono" w:hAnsi="DejaVu Sans Mono" w:eastAsia="DejaVu Sans Mono"/>
          <w:b w:val="0"/>
          <w:sz w:val="17"/>
        </w:rPr>
        <w:t xml:space="preserve">        v</w:t>
        <w:br/>
      </w:r>
      <w:r>
        <w:rPr>
          <w:rFonts w:ascii="DejaVu Sans Mono" w:hAnsi="DejaVu Sans Mono" w:eastAsia="DejaVu Sans Mono"/>
          <w:b w:val="0"/>
          <w:sz w:val="17"/>
        </w:rPr>
        <w:t>Main Repo import / evaluation</w:t>
      </w:r>
    </w:p>
    <w:p>
      <w:pPr>
        <w:pStyle w:val="Heading2"/>
      </w:pPr>
      <w:r>
        <w:t>3.1 单入口原则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数据侧只有 Data-R 可以向主仓发正式接口请求；Data-A/Data-B 不通过私聊修改主仓字段、Build 或运行方式。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主仓侧指定一个 Liaison；Main A-E 的内部意见先在主仓汇总，再由 Liaison 形成版本化包。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任何跨仓口头决定必须回写到 interface_manifest；未回写即视为未冻结。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主仓只能消费 Data-R 标记 APPROVED 的 release；candidate/interim/A/B 单份标签均不得进入主仓正式评测。</w:t>
      </w:r>
    </w:p>
    <w:p>
      <w:pPr>
        <w:pStyle w:val="Heading2"/>
      </w:pPr>
      <w:r>
        <w:t>3.2 主仓 → 数据团队输入包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4C7DC"/>
          <w:left w:val="single" w:sz="5" w:color="B4C7DC"/>
          <w:bottom w:val="single" w:sz="5" w:color="B4C7DC"/>
          <w:right w:val="single" w:sz="5" w:color="B4C7DC"/>
          <w:insideH w:val="single" w:sz="5" w:color="B4C7DC"/>
          <w:insideV w:val="single" w:sz="5" w:color="B4C7DC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包</w:t>
            </w:r>
          </w:p>
        </w:tc>
        <w:tc>
          <w:tcPr>
            <w:tcW w:type="dxa" w:w="1247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截止</w:t>
            </w:r>
          </w:p>
        </w:tc>
        <w:tc>
          <w:tcPr>
            <w:tcW w:type="dxa" w:w="396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必须内容</w:t>
            </w:r>
          </w:p>
        </w:tc>
        <w:tc>
          <w:tcPr>
            <w:tcW w:type="dxa" w:w="283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延迟时的安全降级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SchemaSnapshot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D1 10:30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canonical schema、enum、scope 规则、schema_version、main commit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沿用最后批准版本；新字段推迟到下一数据版本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KB Import Contract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D1 15:00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knowledge/version/status/user/scope/ID 规则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 evaluation-only ID，显式 NOT_PRODUCTION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Runtime Runner Contract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D2 15:00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runner 命令、event schema、trace/evidence 目录、副作用证据规则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D3 仅 dry-run；禁止用静态数据冒充 Runtime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Frozen Build Manifest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D3 18:00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主仓 commit、Kylin snapshot、SDK/依赖/配置 hash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使用最后可复现冻结 build，并记录偏差</w:t>
            </w:r>
          </w:p>
        </w:tc>
      </w:tr>
    </w:tbl>
    <w:p>
      <w:pPr>
        <w:spacing w:after="20"/>
      </w:pPr>
    </w:p>
    <w:p>
      <w:pPr>
        <w:pStyle w:val="Heading2"/>
      </w:pPr>
      <w:r>
        <w:t>3.3 数据团队 → 主仓输出包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4C7DC"/>
          <w:left w:val="single" w:sz="5" w:color="B4C7DC"/>
          <w:bottom w:val="single" w:sz="5" w:color="B4C7DC"/>
          <w:right w:val="single" w:sz="5" w:color="B4C7DC"/>
          <w:insideH w:val="single" w:sz="5" w:color="B4C7DC"/>
          <w:insideV w:val="single" w:sz="5" w:color="B4C7DC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包</w:t>
            </w:r>
          </w:p>
        </w:tc>
        <w:tc>
          <w:tcPr>
            <w:tcW w:type="dxa" w:w="1417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623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 Contract v4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D2 12:30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 schema 假设、ID、split、runtime requirements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Runtime Request Pack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D3 10:30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35 个 session script + evidence checklist；不含 Gold 答案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DATA_RELEASE_v4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D5 16:45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785 Gold、400 KB manifest、split、hash、data card、compatibility report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Compatibility ACK request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D5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要求主仓返回 import smoke 与 commit 对齐结果</w:t>
            </w:r>
          </w:p>
        </w:tc>
      </w:tr>
    </w:tbl>
    <w:p>
      <w:pPr>
        <w:spacing w:after="20"/>
      </w:pPr>
    </w:p>
    <w:p>
      <w:pPr>
        <w:pStyle w:val="Heading1"/>
      </w:pPr>
      <w:r>
        <w:t>4. 效率核心：只排 75% 容量，剩余 25% 专门吃延期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4C7DC"/>
          <w:left w:val="single" w:sz="5" w:color="B4C7DC"/>
          <w:bottom w:val="single" w:sz="5" w:color="B4C7DC"/>
          <w:right w:val="single" w:sz="5" w:color="B4C7DC"/>
          <w:insideH w:val="single" w:sz="5" w:color="B4C7DC"/>
          <w:insideV w:val="single" w:sz="5" w:color="B4C7DC"/>
        </w:tblBorders>
      </w:tblPr>
      <w:tblGrid>
        <w:gridCol w:w="1681"/>
        <w:gridCol w:w="1681"/>
        <w:gridCol w:w="1681"/>
        <w:gridCol w:w="1681"/>
        <w:gridCol w:w="1681"/>
        <w:gridCol w:w="1681"/>
      </w:tblGrid>
      <w:tr>
        <w:trPr>
          <w:tblHeader w:val="true"/>
          <w:cantSplit/>
        </w:trPr>
        <w:tc>
          <w:tcPr>
            <w:tcW w:type="dxa" w:w="170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70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5天 Gross</w:t>
            </w:r>
          </w:p>
        </w:tc>
        <w:tc>
          <w:tcPr>
            <w:tcW w:type="dxa" w:w="170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预排工作</w:t>
            </w:r>
          </w:p>
        </w:tc>
        <w:tc>
          <w:tcPr>
            <w:tcW w:type="dxa" w:w="170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缓冲</w:t>
            </w:r>
          </w:p>
        </w:tc>
        <w:tc>
          <w:tcPr>
            <w:tcW w:type="dxa" w:w="170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30%拖慢后</w:t>
            </w:r>
          </w:p>
        </w:tc>
        <w:tc>
          <w:tcPr>
            <w:tcW w:type="dxa" w:w="170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Data-A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40h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30h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10h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39h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仍≤40h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Data-B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40h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30h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10h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39h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仍≤40h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Data-R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40h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30h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10h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39h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仍≤40h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合计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120h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90h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30h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117h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可吸收约30%工时膨胀</w:t>
            </w:r>
          </w:p>
        </w:tc>
      </w:tr>
    </w:tbl>
    <w:p>
      <w:pPr>
        <w:spacing w:after="20"/>
      </w:pPr>
    </w:p>
    <w:p>
      <w:pPr>
        <w:spacing w:before="0" w:after="100" w:line="288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>因此，20%～30% 的拖慢不是“最后再想办法”，而是从排程一开始就不把 2 小时/人/天占掉。任何 Stretch 工作只能使用当天确认未被消耗的缓冲，不允许提前挪用。</w:t>
      </w:r>
    </w:p>
    <w:p>
      <w:pPr>
        <w:pStyle w:val="Heading2"/>
      </w:pPr>
      <w:r>
        <w:t>4.1 每日固定节拍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4C7DC"/>
          <w:left w:val="single" w:sz="5" w:color="B4C7DC"/>
          <w:bottom w:val="single" w:sz="5" w:color="B4C7DC"/>
          <w:right w:val="single" w:sz="5" w:color="B4C7DC"/>
          <w:insideH w:val="single" w:sz="5" w:color="B4C7DC"/>
          <w:insideV w:val="single" w:sz="5" w:color="B4C7DC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70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83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510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09:00–10:30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Critical Path Block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只做当日 P0；禁止会议占用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10:45–12:15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Production Block 1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A/B 盲标或工厂；R 准备裁决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12:15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Reviewer Window 1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仅处理已经双提交的分歧；最长 30min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13:30–15:00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Production Block 2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继续微批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15:15–16:45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Production Block 3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收口当日承诺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16:45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Reviewer Window 2 / Daily Freeze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裁决、Gate、次日P0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16:45–18:45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未预占缓冲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仅延期/阻塞/返工；无阻塞则不强行新增任务</w:t>
            </w:r>
          </w:p>
        </w:tc>
      </w:tr>
    </w:tbl>
    <w:p>
      <w:pPr>
        <w:spacing w:after="20"/>
      </w:pPr>
    </w:p>
    <w:p>
      <w:pPr>
        <w:pStyle w:val="Heading1"/>
      </w:pPr>
      <w:r>
        <w:t>5. 自动化流水线：把人工只留给语义判断</w:t>
      </w:r>
    </w:p>
    <w:p>
      <w:pPr>
        <w:spacing w:before="0" w:after="100" w:line="288" w:lineRule="auto"/>
      </w:pPr>
      <w:r>
        <w:rPr>
          <w:rFonts w:ascii="Noto Sans CJK SC" w:hAnsi="Noto Sans CJK SC" w:eastAsia="Noto Sans CJK SC"/>
          <w:b w:val="0"/>
          <w:sz w:val="21"/>
        </w:rPr>
        <w:t>三人团队能够在 5 天完成 Half-Scale 的前提，是“人不做机器擅长的重复操作”。所有可确定的元数据、ID、结构校验、差异统计、切分和哈希必须自动化。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4C7DC"/>
          <w:left w:val="single" w:sz="5" w:color="B4C7DC"/>
          <w:bottom w:val="single" w:sz="5" w:color="B4C7DC"/>
          <w:right w:val="single" w:sz="5" w:color="B4C7DC"/>
          <w:insideH w:val="single" w:sz="5" w:color="B4C7DC"/>
          <w:insideV w:val="single" w:sz="5" w:color="B4C7DC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238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510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249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人工是否参与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run_v4_pipeline.py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统一 orchestrator：preflight → candidate → admission → blind → kappa → bulk → runtime → seal → handoff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只启动/确认 Gate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provenance_resolver.py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验证 raw_file + locator + evidence span，0 unresolved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异常才人工处理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candidate_factory_*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 frozen source/spec 生成 candidate_only；候选池 1.3×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A/B 只写规则/spec，不手抄样本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admission_gate_v4.py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G1 provenance / G2 semantic / G3 annotatable / G4 diversity / G5 leakage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semantic 由人工确认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near_dup_scan.py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normalized hash + n-gram/Jaccard + raw/template/session 分布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高相似项送 Reviewer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build_blind_packets.py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A/B 不同随机顺序；剥离 gold、AI label、对方标签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Data-R 执行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label_console.py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热键/枚举/required field/autosave/resume/flag uncertain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A/B 主工作台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disagreement_report.py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按任务/字段/风险自动聚类分歧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 只看差异，不手工对表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runtime_import.py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trace → Tool Result / E2E evidence 自动绑定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 操作；R 抽查证据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split_grouped.py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 user/session/scenario_family/source_group 整组切分 50/20/30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R审批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seal_dataset.py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SHA256、只读副本、manifest、seal record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R持有 sealed 答案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handoff_pack.py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 DATA_RELEASE_v4 与主仓 compatibility manifest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R发布</w:t>
            </w:r>
          </w:p>
        </w:tc>
      </w:tr>
    </w:tbl>
    <w:p>
      <w:pPr>
        <w:spacing w:after="20"/>
      </w:pPr>
    </w:p>
    <w:p>
      <w:pPr>
        <w:pStyle w:val="Heading2"/>
      </w:pPr>
      <w:r>
        <w:t>5.1 AI 的使用边界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允许：候选表达生成、OS 场景语言变体、困难负样本候选、规则覆盖检查、分歧聚类、报告草稿。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禁止：给 A/B 的 blind packet 提供 candidate label / 最终 Gold；不得替 Reviewer 自动决策。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AI 生成的任何 OS 候选都必须记录 generation_id、prompt/template 版本、seed/source、model/version，并保持 candidate_only 直到 A/B 双标 + R 裁决。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对不确定字段，AI/转换器只能输出 NEEDS_REVIEW / null，不得用 template/active/v1 等默认业务真值凑 Schema。</w:t>
      </w:r>
    </w:p>
    <w:p>
      <w:pPr>
        <w:pStyle w:val="Heading1"/>
      </w:pPr>
      <w:r>
        <w:t>6. 候选池策略：1.3× 过量生成，不降低 Gate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4C7DC"/>
          <w:left w:val="single" w:sz="5" w:color="B4C7DC"/>
          <w:bottom w:val="single" w:sz="5" w:color="B4C7DC"/>
          <w:right w:val="single" w:sz="5" w:color="B4C7DC"/>
          <w:insideH w:val="single" w:sz="5" w:color="B4C7DC"/>
          <w:insideV w:val="single" w:sz="5" w:color="B4C7DC"/>
        </w:tblBorders>
      </w:tblPr>
      <w:tblGrid>
        <w:gridCol w:w="2017"/>
        <w:gridCol w:w="2017"/>
        <w:gridCol w:w="2017"/>
        <w:gridCol w:w="2017"/>
        <w:gridCol w:w="2017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70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正式目标</w:t>
            </w:r>
          </w:p>
        </w:tc>
        <w:tc>
          <w:tcPr>
            <w:tcW w:type="dxa" w:w="181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Candidate池</w:t>
            </w:r>
          </w:p>
        </w:tc>
        <w:tc>
          <w:tcPr>
            <w:tcW w:type="dxa" w:w="1417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冗余</w:t>
            </w:r>
          </w:p>
        </w:tc>
        <w:tc>
          <w:tcPr>
            <w:tcW w:type="dxa" w:w="396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Preference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225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300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+33%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允许淘汰普通请求/临时约束误分类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Retrieval Query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175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230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+31%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允许剔除无 qrels / 无 Memory context 样本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Conflict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125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165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+32%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允许剔除伪冲突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Forgetting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130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+30%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允许剔除无 must_keep / 不可验证样本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Tool Result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125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150 events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+20%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Runtime 异常/证据缺失有替代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E2E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35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45 scenarios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+29%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Runtime 失败时换场景，不降证据门槛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Memory KB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400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520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+30%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可承受 provenance/重复/语义淘汰</w:t>
            </w:r>
          </w:p>
        </w:tc>
      </w:tr>
    </w:tbl>
    <w:p>
      <w:pPr>
        <w:spacing w:after="20"/>
      </w:pPr>
    </w:p>
    <w:p>
      <w:pPr>
        <w:spacing w:before="0" w:after="100" w:line="288" w:lineRule="auto"/>
      </w:pPr>
      <w:r>
        <w:rPr>
          <w:rFonts w:ascii="Noto Sans CJK SC" w:hAnsi="Noto Sans CJK SC" w:eastAsia="Noto Sans CJK SC"/>
          <w:b w:val="0"/>
          <w:sz w:val="21"/>
        </w:rPr>
        <w:t>注意：1.3× 是 candidate 库，不是 1.3× 人工双标。Admission Gate 先把候选压缩到正式目标，A/B 只对批准进入 Gold 的 785 Case 做双标。</w:t>
      </w:r>
    </w:p>
    <w:p>
      <w:pPr>
        <w:pStyle w:val="Heading1"/>
      </w:pPr>
      <w:r>
        <w:t>7. 正式双盲标注流程</w:t>
      </w:r>
    </w:p>
    <w:p>
      <w:pPr>
        <w:spacing w:before="60" w:after="100"/>
        <w:ind w:left="283" w:right="170"/>
        <w:shd w:fill="F2F5F8"/>
      </w:pPr>
      <w:r>
        <w:rPr>
          <w:rFonts w:ascii="DejaVu Sans Mono" w:hAnsi="DejaVu Sans Mono" w:eastAsia="DejaVu Sans Mono"/>
          <w:b w:val="0"/>
          <w:sz w:val="17"/>
        </w:rPr>
        <w:t>candidate_only</w:t>
        <w:br/>
      </w:r>
      <w:r>
        <w:rPr>
          <w:rFonts w:ascii="DejaVu Sans Mono" w:hAnsi="DejaVu Sans Mono" w:eastAsia="DejaVu Sans Mono"/>
          <w:b w:val="0"/>
          <w:sz w:val="17"/>
        </w:rPr>
        <w:t xml:space="preserve">  -&gt; Admission PASS</w:t>
        <w:br/>
      </w:r>
      <w:r>
        <w:rPr>
          <w:rFonts w:ascii="DejaVu Sans Mono" w:hAnsi="DejaVu Sans Mono" w:eastAsia="DejaVu Sans Mono"/>
          <w:b w:val="0"/>
          <w:sz w:val="17"/>
        </w:rPr>
        <w:t xml:space="preserve">  -&gt; build context_A / context_B (不同随机顺序)</w:t>
        <w:br/>
      </w:r>
      <w:r>
        <w:rPr>
          <w:rFonts w:ascii="DejaVu Sans Mono" w:hAnsi="DejaVu Sans Mono" w:eastAsia="DejaVu Sans Mono"/>
          <w:b w:val="0"/>
          <w:sz w:val="17"/>
        </w:rPr>
        <w:t xml:space="preserve">  -&gt; A label / B label（互不可见）</w:t>
        <w:br/>
      </w:r>
      <w:r>
        <w:rPr>
          <w:rFonts w:ascii="DejaVu Sans Mono" w:hAnsi="DejaVu Sans Mono" w:eastAsia="DejaVu Sans Mono"/>
          <w:b w:val="0"/>
          <w:sz w:val="17"/>
        </w:rPr>
        <w:t xml:space="preserve">  -&gt; label schema check</w:t>
        <w:br/>
      </w:r>
      <w:r>
        <w:rPr>
          <w:rFonts w:ascii="DejaVu Sans Mono" w:hAnsi="DejaVu Sans Mono" w:eastAsia="DejaVu Sans Mono"/>
          <w:b w:val="0"/>
          <w:sz w:val="17"/>
        </w:rPr>
        <w:t xml:space="preserve">  -&gt; disagreement_report</w:t>
        <w:br/>
      </w:r>
      <w:r>
        <w:rPr>
          <w:rFonts w:ascii="DejaVu Sans Mono" w:hAnsi="DejaVu Sans Mono" w:eastAsia="DejaVu Sans Mono"/>
          <w:b w:val="0"/>
          <w:sz w:val="17"/>
        </w:rPr>
        <w:t xml:space="preserve">  -&gt; Data-R adjudication</w:t>
        <w:br/>
      </w:r>
      <w:r>
        <w:rPr>
          <w:rFonts w:ascii="DejaVu Sans Mono" w:hAnsi="DejaVu Sans Mono" w:eastAsia="DejaVu Sans Mono"/>
          <w:b w:val="0"/>
          <w:sz w:val="17"/>
        </w:rPr>
        <w:t xml:space="preserve">  -&gt; final_label + decision_reason</w:t>
        <w:br/>
      </w:r>
      <w:r>
        <w:rPr>
          <w:rFonts w:ascii="DejaVu Sans Mono" w:hAnsi="DejaVu Sans Mono" w:eastAsia="DejaVu Sans Mono"/>
          <w:b w:val="0"/>
          <w:sz w:val="17"/>
        </w:rPr>
        <w:t xml:space="preserve">  -&gt; affected-rule backtrack</w:t>
        <w:br/>
      </w:r>
      <w:r>
        <w:rPr>
          <w:rFonts w:ascii="DejaVu Sans Mono" w:hAnsi="DejaVu Sans Mono" w:eastAsia="DejaVu Sans Mono"/>
          <w:b w:val="0"/>
          <w:sz w:val="17"/>
        </w:rPr>
        <w:t xml:space="preserve">  -&gt; Gold candidate APPROVED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4C7DC"/>
          <w:left w:val="single" w:sz="5" w:color="B4C7DC"/>
          <w:bottom w:val="single" w:sz="5" w:color="B4C7DC"/>
          <w:right w:val="single" w:sz="5" w:color="B4C7DC"/>
          <w:insideH w:val="single" w:sz="5" w:color="B4C7DC"/>
          <w:insideV w:val="single" w:sz="5" w:color="B4C7DC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198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55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</w:t>
            </w:r>
          </w:p>
        </w:tc>
        <w:tc>
          <w:tcPr>
            <w:tcW w:type="dxa" w:w="255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B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R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40条 Calibration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独立标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独立标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Kappa + 分歧裁决 + 手册冻结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745条 Bulk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独立标全部745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独立标全部745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100% disagreement 裁决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Agreement抽验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不参与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不参与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随机复标约10% agreement，检查共享偏差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规则变更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重标受影响样本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重标受影响样本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 rule_version 与 backtrack 范围</w:t>
            </w:r>
          </w:p>
        </w:tc>
      </w:tr>
    </w:tbl>
    <w:p>
      <w:pPr>
        <w:spacing w:after="20"/>
      </w:pPr>
    </w:p>
    <w:p>
      <w:pPr>
        <w:spacing w:before="0" w:after="100" w:line="288" w:lineRule="auto"/>
      </w:pPr>
      <w:r>
        <w:rPr>
          <w:rFonts w:ascii="Noto Sans CJK SC" w:hAnsi="Noto Sans CJK SC" w:eastAsia="Noto Sans CJK SC"/>
          <w:b w:val="0"/>
          <w:sz w:val="21"/>
        </w:rPr>
        <w:t>这种做法严格保留了原指导手册“正式阶段 A/B 独立提交、Reviewer 裁决”的要求，同时通过 Label Console、预填非 Gold 元数据和自动分歧聚类降低人工时间。</w:t>
      </w:r>
    </w:p>
    <w:p>
      <w:pPr>
        <w:pStyle w:val="Heading1"/>
      </w:pPr>
      <w:r>
        <w:t>8. 五天详细施工计划</w:t>
      </w:r>
    </w:p>
    <w:p>
      <w:pPr>
        <w:pStyle w:val="Heading2"/>
      </w:pPr>
      <w:r>
        <w:t>Day 1 — Freeze &amp; Factory：先把工厂修好，再生产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4C7DC"/>
          <w:left w:val="single" w:sz="5" w:color="B4C7DC"/>
          <w:bottom w:val="single" w:sz="5" w:color="B4C7DC"/>
          <w:right w:val="single" w:sz="5" w:color="B4C7DC"/>
          <w:insideH w:val="single" w:sz="5" w:color="B4C7DC"/>
          <w:insideV w:val="single" w:sz="5" w:color="B4C7DC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87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64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6h 承诺</w:t>
            </w:r>
          </w:p>
        </w:tc>
        <w:tc>
          <w:tcPr>
            <w:tcW w:type="dxa" w:w="385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Day 1 DoD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Data-A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来源/语义规则 3h；Preference/Conflict/Forget/OS 场景候选工厂 3h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语义规则冻结；候选池达到约1.3×；无 Gold label 泄漏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Data-B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流水线/Fail-closed 3h；520 KB + 230 Retrieval + runtime importer 3h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Provenance/Admission/Dedup/Blind 工具可跑；KB/Retrieval 候选就绪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Data-R</w:t>
            </w:r>
          </w:p>
        </w:tc>
        <w:tc>
          <w:tcPr>
            <w:tcW w:type="dxa" w:w="464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合同/主仓接口 3h；40条 Calibration 放行 3h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 Contract v4；主仓接口 SLA；trial_v4_40 + A/B blind 包</w:t>
            </w:r>
          </w:p>
        </w:tc>
      </w:tr>
    </w:tbl>
    <w:p>
      <w:pPr>
        <w:spacing w:after="20"/>
      </w:pPr>
    </w:p>
    <w:p>
      <w:pPr>
        <w:spacing w:before="0" w:after="100" w:line="288" w:lineRule="auto"/>
      </w:pPr>
      <w:r>
        <w:rPr>
          <w:rFonts w:ascii="Noto Sans CJK SC" w:hAnsi="Noto Sans CJK SC" w:eastAsia="Noto Sans CJK SC"/>
          <w:b w:val="0"/>
          <w:sz w:val="21"/>
        </w:rPr>
        <w:t>Day 1 不做正式大规模 Gold。当天最大收益是确保后面 4 天不会再次把错误批量放大。</w:t>
      </w:r>
    </w:p>
    <w:p>
      <w:pPr>
        <w:pStyle w:val="Heading2"/>
      </w:pPr>
      <w:r>
        <w:t>Day 2 — Calibrate &amp; Wave 1：中午前冻结口径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4C7DC"/>
          <w:left w:val="single" w:sz="5" w:color="B4C7DC"/>
          <w:bottom w:val="single" w:sz="5" w:color="B4C7DC"/>
          <w:right w:val="single" w:sz="5" w:color="B4C7DC"/>
          <w:insideH w:val="single" w:sz="5" w:color="B4C7DC"/>
          <w:insideV w:val="single" w:sz="5" w:color="B4C7DC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181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94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上午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下午</w:t>
            </w:r>
          </w:p>
        </w:tc>
        <w:tc>
          <w:tcPr>
            <w:tcW w:type="dxa" w:w="249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累计目标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Data-A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40 条独立校准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Bulk-A 200：Preference125 + Retrieval75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200 bulk A-label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Data-B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40 条独立校准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Bulk-B 同 200；并完成 KB QA 主体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200 bulk B-label；KB 进入稳定态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Data-R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Kappa / 分歧 / annotation v3 freeze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25条微批裁决；10% agreement 抽查；准备 PR31 复审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前200条 final</w:t>
            </w:r>
          </w:p>
        </w:tc>
      </w:tr>
    </w:tbl>
    <w:p>
      <w:pPr>
        <w:spacing w:after="20"/>
      </w:pPr>
    </w:p>
    <w:p>
      <w:pPr>
        <w:spacing w:before="0" w:after="100" w:line="288" w:lineRule="auto"/>
      </w:pPr>
      <w:r>
        <w:rPr>
          <w:rFonts w:ascii="Noto Sans CJK SC" w:hAnsi="Noto Sans CJK SC" w:eastAsia="Noto Sans CJK SC"/>
          <w:b/>
          <w:color w:val="C0504D"/>
          <w:sz w:val="21"/>
        </w:rPr>
        <w:t>若 Calibration Kappa &lt; 0.70 或出现系统性 scope/preference/conflict 分歧，下午 Bulk 自动取消，直接使用缓冲修手册并重标；不得边标边改规则。</w:t>
      </w:r>
    </w:p>
    <w:p>
      <w:pPr>
        <w:pStyle w:val="Heading2"/>
      </w:pPr>
      <w:r>
        <w:t>Day 3 — High Throughput：完成非 Runtime 主体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4C7DC"/>
          <w:left w:val="single" w:sz="5" w:color="B4C7DC"/>
          <w:bottom w:val="single" w:sz="5" w:color="B4C7DC"/>
          <w:right w:val="single" w:sz="5" w:color="B4C7DC"/>
          <w:insideH w:val="single" w:sz="5" w:color="B4C7DC"/>
          <w:insideV w:val="single" w:sz="5" w:color="B4C7DC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87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510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6h承诺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到日终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Data-A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Preference100 + Retrieval100 + Conflict75 + Forget35 的 A-label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A累计510 bulk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Data-B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同310条 B-label；Runtime runner smoke / 35 session dry-run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B累计510；Runtime Smoke PASS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Data-R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12:15/16:45 两次分歧裁决；PR31闭环；P2数据PR规划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510 final；400 KB完成；D4 Build/Runner已确认</w:t>
            </w:r>
          </w:p>
        </w:tc>
      </w:tr>
    </w:tbl>
    <w:p>
      <w:pPr>
        <w:spacing w:after="20"/>
      </w:pPr>
    </w:p>
    <w:p>
      <w:pPr>
        <w:pStyle w:val="Heading2"/>
      </w:pPr>
      <w:r>
        <w:t>Day 4 — Runtime &amp; Production Freeze：同一次真实回放产两类 Gold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4C7DC"/>
          <w:left w:val="single" w:sz="5" w:color="B4C7DC"/>
          <w:bottom w:val="single" w:sz="5" w:color="B4C7DC"/>
          <w:right w:val="single" w:sz="5" w:color="B4C7DC"/>
          <w:insideH w:val="single" w:sz="5" w:color="B4C7DC"/>
          <w:insideV w:val="single" w:sz="5" w:color="B4C7DC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87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510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6h承诺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到16:45必须冻结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Data-A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Conflict50 + Forget65 + Tool125 + E2E35 的 A-label；Runtime 语义核验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 全785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Data-B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运行/导入35 Runtime Session；抽取125 Tool；完成同275 B-label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 全785；125 Tool + 35 E2E Evidence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Data-R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优先裁决安全/遗忘/冲突/版本/Tool失败；冻结全量生产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785 final + 400 KB；不再新增普通样本</w:t>
            </w:r>
          </w:p>
        </w:tc>
      </w:tr>
    </w:tbl>
    <w:p>
      <w:pPr>
        <w:spacing w:after="20"/>
      </w:pPr>
    </w:p>
    <w:p>
      <w:pPr>
        <w:spacing w:before="0" w:after="100" w:line="288" w:lineRule="auto"/>
      </w:pPr>
      <w:r>
        <w:rPr>
          <w:rFonts w:ascii="Noto Sans CJK SC" w:hAnsi="Noto Sans CJK SC" w:eastAsia="Noto Sans CJK SC"/>
          <w:b/>
          <w:color w:val="C0504D"/>
          <w:sz w:val="21"/>
        </w:rPr>
        <w:t>Day 4 16:45 是生产硬冻结。未冻结说明缓冲已开始被消耗；此后只能补 P0 缺口，不能为数量新增普通样本。</w:t>
      </w:r>
    </w:p>
    <w:p>
      <w:pPr>
        <w:pStyle w:val="Heading2"/>
      </w:pPr>
      <w:r>
        <w:t>Day 5 — Buffer / QA / Seal / Handoff：不安排常规扩量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4C7DC"/>
          <w:left w:val="single" w:sz="5" w:color="B4C7DC"/>
          <w:bottom w:val="single" w:sz="5" w:color="B4C7DC"/>
          <w:right w:val="single" w:sz="5" w:color="B4C7DC"/>
          <w:insideH w:val="single" w:sz="5" w:color="B4C7DC"/>
          <w:insideV w:val="single" w:sz="5" w:color="B4C7DC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87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53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上午</w:t>
            </w:r>
          </w:p>
        </w:tc>
        <w:tc>
          <w:tcPr>
            <w:tcW w:type="dxa" w:w="396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下午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Data-A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语义 QA、错误簇返工、受规则影响回溯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 card、known issues、label FAQ、候选工厂说明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Data-B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全量 provenance/dedup/leak/schema/ID/runtime evidence；关键批次从 raw 重建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release 构建、主仓 import contract compatibility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Data-R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50/20/30 group split；agreement 抽验；sealed 答案隔离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最终审批、SHA256、DATA_RELEASE_v4、主仓 ACK 请求</w:t>
            </w:r>
          </w:p>
        </w:tc>
      </w:tr>
    </w:tbl>
    <w:p>
      <w:pPr>
        <w:spacing w:after="20"/>
      </w:pPr>
    </w:p>
    <w:p>
      <w:pPr>
        <w:pStyle w:val="Heading1"/>
      </w:pPr>
      <w:r>
        <w:t>9. Runtime 生产线：35 Session → 125 Tool Result + 35 E2E</w:t>
      </w:r>
    </w:p>
    <w:p>
      <w:pPr>
        <w:spacing w:before="0" w:after="100" w:line="288" w:lineRule="auto"/>
      </w:pPr>
      <w:r>
        <w:rPr>
          <w:rFonts w:ascii="Noto Sans CJK SC" w:hAnsi="Noto Sans CJK SC" w:eastAsia="Noto Sans CJK SC"/>
          <w:b w:val="0"/>
          <w:sz w:val="21"/>
        </w:rPr>
        <w:t>Runtime 是三人计划里最昂贵的外部依赖，因此用“一次会话、多事件复用”的方式把效率最大化。35 个 session 设计为 20 个 4-tool 事件 + 15 个 3-tool 事件，共 125 Tool Result。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4C7DC"/>
          <w:left w:val="single" w:sz="5" w:color="B4C7DC"/>
          <w:bottom w:val="single" w:sz="5" w:color="B4C7DC"/>
          <w:right w:val="single" w:sz="5" w:color="B4C7DC"/>
          <w:insideH w:val="single" w:sz="5" w:color="B4C7DC"/>
          <w:insideV w:val="single" w:sz="5" w:color="B4C7DC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311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Tool 状态</w:t>
            </w:r>
          </w:p>
        </w:tc>
        <w:tc>
          <w:tcPr>
            <w:tcW w:type="dxa" w:w="170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453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占比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success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75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60%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failed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16%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cancelled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8%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timeout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8%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partial_success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8%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非 success 合计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40%（满足手册失败/取消/超时/部分成功合计≥40%）</w:t>
            </w:r>
          </w:p>
        </w:tc>
      </w:tr>
    </w:tbl>
    <w:p>
      <w:pPr>
        <w:spacing w:after="20"/>
      </w:pPr>
    </w:p>
    <w:p>
      <w:pPr>
        <w:spacing w:before="0" w:after="100" w:line="288" w:lineRule="auto"/>
      </w:pPr>
      <w:r>
        <w:rPr>
          <w:rFonts w:ascii="Noto Sans CJK SC" w:hAnsi="Noto Sans CJK SC" w:eastAsia="Noto Sans CJK SC"/>
          <w:b w:val="0"/>
          <w:sz w:val="21"/>
        </w:rPr>
        <w:t>35 个 E2E 中至少 14 个为 hard；至少 18 个包含跨会话/多事件链。优先覆盖文件/目录、应用设置、备份恢复、终端、安装更新、权限确认、知识版本、偏好作用域、冲突、精准遗忘、重启/索引恢复等 12 个场景族。</w:t>
      </w:r>
    </w:p>
    <w:p>
      <w:pPr>
        <w:pStyle w:val="Heading1"/>
      </w:pPr>
      <w:r>
        <w:t>10. Git / PR / Release 策略</w:t>
      </w:r>
    </w:p>
    <w:p>
      <w:pPr>
        <w:spacing w:before="0" w:after="100" w:line="288" w:lineRule="auto"/>
      </w:pPr>
      <w:r>
        <w:rPr>
          <w:rFonts w:ascii="Noto Sans CJK SC" w:hAnsi="Noto Sans CJK SC" w:eastAsia="Noto Sans CJK SC"/>
          <w:b w:val="0"/>
          <w:sz w:val="21"/>
        </w:rPr>
        <w:t>当前 PR #31 已经承担 P1-2→P1-5，且现状为 4 commits / 57 changed files。继续把 785+400 大批数据堆进同一个 PR 会放大 Reviewer 成本，因此新版明确拆层：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4C7DC"/>
          <w:left w:val="single" w:sz="5" w:color="B4C7DC"/>
          <w:bottom w:val="single" w:sz="5" w:color="B4C7DC"/>
          <w:right w:val="single" w:sz="5" w:color="B4C7DC"/>
          <w:insideH w:val="single" w:sz="5" w:color="B4C7DC"/>
          <w:insideV w:val="single" w:sz="5" w:color="B4C7DC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载体</w:t>
            </w:r>
          </w:p>
        </w:tc>
        <w:tc>
          <w:tcPr>
            <w:tcW w:type="dxa" w:w="510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311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合并条件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 #31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只完成 P1：40条 Calibration、真实来源/Scope/Context/Kappa/Reviewer闭环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满足现有 Reviewer changes requested；不混入 Half-Scale 大量 Gold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P2-A Data Factory PR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脚本、Data Contract、KB schema、candidate/admission/label工具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单测/幂等/Fail-closed/无Gold泄漏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P2-B Half-Scale Data PR 或 Release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785 final manifest、400 KB、split manifest、reports；大型数据按仓库策略处理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Data-R APPROVED + 全 Gate PASS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Runtime Evidence Artifact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35 session logs/traces/screenshots/hash/build manifest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与 frozen main build 一一对应</w:t>
            </w:r>
          </w:p>
        </w:tc>
      </w:tr>
    </w:tbl>
    <w:p>
      <w:pPr>
        <w:spacing w:after="20"/>
      </w:pPr>
    </w:p>
    <w:p>
      <w:pPr>
        <w:pStyle w:val="Heading1"/>
      </w:pPr>
      <w:r>
        <w:t>11. 关键 Gate 与 Stop-the-Line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4C7DC"/>
          <w:left w:val="single" w:sz="5" w:color="B4C7DC"/>
          <w:bottom w:val="single" w:sz="5" w:color="B4C7DC"/>
          <w:right w:val="single" w:sz="5" w:color="B4C7DC"/>
          <w:insideH w:val="single" w:sz="5" w:color="B4C7DC"/>
          <w:insideV w:val="single" w:sz="5" w:color="B4C7DC"/>
        </w:tblBorders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510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通过标准</w:t>
            </w:r>
          </w:p>
        </w:tc>
        <w:tc>
          <w:tcPr>
            <w:tcW w:type="dxa" w:w="311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失败后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Provenance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 unresolved raw locator；derived 有 transform/generation 记录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整批 BLOCKED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Task Semantic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Preference/Conflict/Forget 等符合任务定义；负例有明确角色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重分类/淘汰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KMA Mapping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未知业务真值不静默默认；scope 完成人工语义复核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停止转换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Dedup/Diversity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exact dup=0；near-dup 已复核；同 raw/template/session 不过度集中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重抽该微批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Leakage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旧泄漏 input/evidence fingerprint 不复用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永久废弃对应样本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Calibration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A/B blind；Kappa≥0.70；关键任务无系统性分歧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修手册并回溯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Bulk Double Label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785 Case A/B 两份 label 齐全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缺失批次不得 final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Reviewer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100% disagreement 有 final_label + decision_reason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不允许自动覆盖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Runtime Evidence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35 session trace/build/side-effect 可核验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对应 Tool/E2E 不计 Gold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Split/Seal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 group 50/20/30；sealed 答案仅 R；hash 完整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禁止正式指标</w:t>
            </w:r>
          </w:p>
        </w:tc>
      </w:tr>
    </w:tbl>
    <w:p>
      <w:pPr>
        <w:spacing w:after="20"/>
      </w:pPr>
    </w:p>
    <w:p>
      <w:pPr>
        <w:pStyle w:val="Heading1"/>
      </w:pPr>
      <w:r>
        <w:t>12. 20%–30% 延迟情景与降级策略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4C7DC"/>
          <w:left w:val="single" w:sz="5" w:color="B4C7DC"/>
          <w:bottom w:val="single" w:sz="5" w:color="B4C7DC"/>
          <w:right w:val="single" w:sz="5" w:color="B4C7DC"/>
          <w:insideH w:val="single" w:sz="5" w:color="B4C7DC"/>
          <w:insideV w:val="single" w:sz="5" w:color="B4C7DC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232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情景</w:t>
            </w:r>
          </w:p>
        </w:tc>
        <w:tc>
          <w:tcPr>
            <w:tcW w:type="dxa" w:w="260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预计影响</w:t>
            </w:r>
          </w:p>
        </w:tc>
        <w:tc>
          <w:tcPr>
            <w:tcW w:type="dxa" w:w="351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本方案如何吸收</w:t>
            </w:r>
          </w:p>
        </w:tc>
        <w:tc>
          <w:tcPr>
            <w:tcW w:type="dxa" w:w="283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禁止做法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+20%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90h→108h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仍低于120h Gross；使用部分每日2h缓冲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不降低双标/Reviewer/Runtime证据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+25%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90h→112.5h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推荐设计点；Day5仍有约7.5h团队余量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不拿sealed答案给A/B提速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+30%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90h→117h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仍≤120h；取消全部Stretch，只做P0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不得模板复制凑数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主仓Runtime额外延迟&gt;8h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外部硬依赖，不等同普通施工拖慢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160 Runtime Case 标 BLOCKED；625非Runtime Gold+400KB可独立封存，35 scripts/evidence checklist ready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绝不把StableToolBench静态样本写成Runtime PASS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分歧率&gt;20%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Reviewer负载急升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立即停该任务族；修规则；回溯已标样本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不得继续生产让错误扩大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候选淘汰率&gt;25%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有效池不足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利用1.3×候选余量；换seed/source/template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不得降低Admission门槛</w:t>
            </w:r>
          </w:p>
        </w:tc>
      </w:tr>
    </w:tbl>
    <w:p>
      <w:pPr>
        <w:spacing w:after="20"/>
      </w:pPr>
    </w:p>
    <w:p>
      <w:pPr>
        <w:spacing w:before="0" w:after="100" w:line="288" w:lineRule="auto"/>
      </w:pPr>
      <w:r>
        <w:rPr>
          <w:rFonts w:ascii="Noto Sans CJK SC" w:hAnsi="Noto Sans CJK SC" w:eastAsia="Noto Sans CJK SC"/>
          <w:b/>
          <w:color w:val="1F4E79"/>
          <w:sz w:val="21"/>
        </w:rPr>
        <w:t>最后一行外部 Runtime fallback 是“真实性保护阀”，不是正常目标。只要主仓依赖在计划 SLA 内或拖慢≤30%，正式目标仍然是 785 Gold + 400 KB。</w:t>
      </w:r>
    </w:p>
    <w:p>
      <w:pPr>
        <w:pStyle w:val="Heading1"/>
      </w:pPr>
      <w:r>
        <w:t>13. 每日管理指标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4C7DC"/>
          <w:left w:val="single" w:sz="5" w:color="B4C7DC"/>
          <w:bottom w:val="single" w:sz="5" w:color="B4C7DC"/>
          <w:right w:val="single" w:sz="5" w:color="B4C7DC"/>
          <w:insideH w:val="single" w:sz="5" w:color="B4C7DC"/>
          <w:insideV w:val="single" w:sz="5" w:color="B4C7DC"/>
        </w:tblBorders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260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38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绿线</w:t>
            </w:r>
          </w:p>
        </w:tc>
        <w:tc>
          <w:tcPr>
            <w:tcW w:type="dxa" w:w="238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黄线</w:t>
            </w:r>
          </w:p>
        </w:tc>
        <w:tc>
          <w:tcPr>
            <w:tcW w:type="dxa" w:w="272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红线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Admission通过率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&gt;=80%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75%–80%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&lt;75% 连续2批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25条批次A/B标注耗时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&lt;=60min/人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60–90min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&gt;90min 连续2批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分歧率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&lt;=12%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12%–20%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&gt;20%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Reviewer待裁队列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&lt;=25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26–50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&gt;50 或 &gt;4h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Near-dup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 unreviewed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少量待审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出现批量模板复制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Provenance unresolved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—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&gt;0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Runtime session PASS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D4完成35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D4午后&lt;25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D4结束&lt;35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D4 16:45 final Gold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785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&gt;=706 (90%)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&lt;706</w:t>
            </w:r>
          </w:p>
        </w:tc>
      </w:tr>
    </w:tbl>
    <w:p>
      <w:pPr>
        <w:spacing w:after="20"/>
      </w:pPr>
    </w:p>
    <w:p>
      <w:pPr>
        <w:pStyle w:val="Heading1"/>
      </w:pPr>
      <w:r>
        <w:t>14. 最终交付目录建议</w:t>
      </w:r>
    </w:p>
    <w:p>
      <w:pPr>
        <w:spacing w:before="60" w:after="100"/>
        <w:ind w:left="283" w:right="170"/>
        <w:shd w:fill="F2F5F8"/>
      </w:pPr>
      <w:r>
        <w:rPr>
          <w:rFonts w:ascii="DejaVu Sans Mono" w:hAnsi="DejaVu Sans Mono" w:eastAsia="DejaVu Sans Mono"/>
          <w:b w:val="0"/>
          <w:sz w:val="17"/>
        </w:rPr>
        <w:t>data/</w:t>
        <w:br/>
      </w:r>
      <w:r>
        <w:rPr>
          <w:rFonts w:ascii="DejaVu Sans Mono" w:hAnsi="DejaVu Sans Mono" w:eastAsia="DejaVu Sans Mono"/>
          <w:b w:val="0"/>
          <w:sz w:val="17"/>
        </w:rPr>
        <w:t xml:space="preserve">  interim/</w:t>
        <w:br/>
      </w:r>
      <w:r>
        <w:rPr>
          <w:rFonts w:ascii="DejaVu Sans Mono" w:hAnsi="DejaVu Sans Mono" w:eastAsia="DejaVu Sans Mono"/>
          <w:b w:val="0"/>
          <w:sz w:val="17"/>
        </w:rPr>
        <w:t xml:space="preserve">    candidates_v4/</w:t>
        <w:br/>
      </w:r>
      <w:r>
        <w:rPr>
          <w:rFonts w:ascii="DejaVu Sans Mono" w:hAnsi="DejaVu Sans Mono" w:eastAsia="DejaVu Sans Mono"/>
          <w:b w:val="0"/>
          <w:sz w:val="17"/>
        </w:rPr>
        <w:t xml:space="preserve">    blind_context_A/</w:t>
        <w:br/>
      </w:r>
      <w:r>
        <w:rPr>
          <w:rFonts w:ascii="DejaVu Sans Mono" w:hAnsi="DejaVu Sans Mono" w:eastAsia="DejaVu Sans Mono"/>
          <w:b w:val="0"/>
          <w:sz w:val="17"/>
        </w:rPr>
        <w:t xml:space="preserve">    blind_context_B/</w:t>
        <w:br/>
      </w:r>
      <w:r>
        <w:rPr>
          <w:rFonts w:ascii="DejaVu Sans Mono" w:hAnsi="DejaVu Sans Mono" w:eastAsia="DejaVu Sans Mono"/>
          <w:b w:val="0"/>
          <w:sz w:val="17"/>
        </w:rPr>
        <w:t xml:space="preserve">  gold/</w:t>
        <w:br/>
      </w:r>
      <w:r>
        <w:rPr>
          <w:rFonts w:ascii="DejaVu Sans Mono" w:hAnsi="DejaVu Sans Mono" w:eastAsia="DejaVu Sans Mono"/>
          <w:b w:val="0"/>
          <w:sz w:val="17"/>
        </w:rPr>
        <w:t xml:space="preserve">    dev/</w:t>
        <w:br/>
      </w:r>
      <w:r>
        <w:rPr>
          <w:rFonts w:ascii="DejaVu Sans Mono" w:hAnsi="DejaVu Sans Mono" w:eastAsia="DejaVu Sans Mono"/>
          <w:b w:val="0"/>
          <w:sz w:val="17"/>
        </w:rPr>
        <w:t xml:space="preserve">    regression/</w:t>
        <w:br/>
      </w:r>
      <w:r>
        <w:rPr>
          <w:rFonts w:ascii="DejaVu Sans Mono" w:hAnsi="DejaVu Sans Mono" w:eastAsia="DejaVu Sans Mono"/>
          <w:b w:val="0"/>
          <w:sz w:val="17"/>
        </w:rPr>
        <w:t xml:space="preserve">    sealed_test/</w:t>
        <w:br/>
      </w:r>
      <w:r>
        <w:rPr>
          <w:rFonts w:ascii="DejaVu Sans Mono" w:hAnsi="DejaVu Sans Mono" w:eastAsia="DejaVu Sans Mono"/>
          <w:b w:val="0"/>
          <w:sz w:val="17"/>
        </w:rPr>
        <w:t xml:space="preserve">  kb/</w:t>
        <w:br/>
      </w:r>
      <w:r>
        <w:rPr>
          <w:rFonts w:ascii="DejaVu Sans Mono" w:hAnsi="DejaVu Sans Mono" w:eastAsia="DejaVu Sans Mono"/>
          <w:b w:val="0"/>
          <w:sz w:val="17"/>
        </w:rPr>
        <w:t xml:space="preserve">    memory_kb_v4.jsonl</w:t>
        <w:br/>
      </w:r>
      <w:r>
        <w:rPr>
          <w:rFonts w:ascii="DejaVu Sans Mono" w:hAnsi="DejaVu Sans Mono" w:eastAsia="DejaVu Sans Mono"/>
          <w:b w:val="0"/>
          <w:sz w:val="17"/>
        </w:rPr>
        <w:t xml:space="preserve">  runtime_replay/</w:t>
        <w:br/>
      </w:r>
      <w:r>
        <w:rPr>
          <w:rFonts w:ascii="DejaVu Sans Mono" w:hAnsi="DejaVu Sans Mono" w:eastAsia="DejaVu Sans Mono"/>
          <w:b w:val="0"/>
          <w:sz w:val="17"/>
        </w:rPr>
        <w:t xml:space="preserve">    sessions/</w:t>
        <w:br/>
      </w:r>
      <w:r>
        <w:rPr>
          <w:rFonts w:ascii="DejaVu Sans Mono" w:hAnsi="DejaVu Sans Mono" w:eastAsia="DejaVu Sans Mono"/>
          <w:b w:val="0"/>
          <w:sz w:val="17"/>
        </w:rPr>
        <w:t>registry/</w:t>
        <w:br/>
      </w:r>
      <w:r>
        <w:rPr>
          <w:rFonts w:ascii="DejaVu Sans Mono" w:hAnsi="DejaVu Sans Mono" w:eastAsia="DejaVu Sans Mono"/>
          <w:b w:val="0"/>
          <w:sz w:val="17"/>
        </w:rPr>
        <w:t xml:space="preserve">  source_registry.csv</w:t>
        <w:br/>
      </w:r>
      <w:r>
        <w:rPr>
          <w:rFonts w:ascii="DejaVu Sans Mono" w:hAnsi="DejaVu Sans Mono" w:eastAsia="DejaVu Sans Mono"/>
          <w:b w:val="0"/>
          <w:sz w:val="17"/>
        </w:rPr>
        <w:t xml:space="preserve">  provenance_registry_v4.jsonl</w:t>
        <w:br/>
      </w:r>
      <w:r>
        <w:rPr>
          <w:rFonts w:ascii="DejaVu Sans Mono" w:hAnsi="DejaVu Sans Mono" w:eastAsia="DejaVu Sans Mono"/>
          <w:b w:val="0"/>
          <w:sz w:val="17"/>
        </w:rPr>
        <w:t xml:space="preserve">  split_manifest.csv</w:t>
        <w:br/>
      </w:r>
      <w:r>
        <w:rPr>
          <w:rFonts w:ascii="DejaVu Sans Mono" w:hAnsi="DejaVu Sans Mono" w:eastAsia="DejaVu Sans Mono"/>
          <w:b w:val="0"/>
          <w:sz w:val="17"/>
        </w:rPr>
        <w:t xml:space="preserve">  leaked_content_registry.json</w:t>
        <w:br/>
      </w:r>
      <w:r>
        <w:rPr>
          <w:rFonts w:ascii="DejaVu Sans Mono" w:hAnsi="DejaVu Sans Mono" w:eastAsia="DejaVu Sans Mono"/>
          <w:b w:val="0"/>
          <w:sz w:val="17"/>
        </w:rPr>
        <w:t>evidence/</w:t>
        <w:br/>
      </w:r>
      <w:r>
        <w:rPr>
          <w:rFonts w:ascii="DejaVu Sans Mono" w:hAnsi="DejaVu Sans Mono" w:eastAsia="DejaVu Sans Mono"/>
          <w:b w:val="0"/>
          <w:sz w:val="17"/>
        </w:rPr>
        <w:t xml:space="preserve">  audit/</w:t>
        <w:br/>
      </w:r>
      <w:r>
        <w:rPr>
          <w:rFonts w:ascii="DejaVu Sans Mono" w:hAnsi="DejaVu Sans Mono" w:eastAsia="DejaVu Sans Mono"/>
          <w:b w:val="0"/>
          <w:sz w:val="17"/>
        </w:rPr>
        <w:t xml:space="preserve">  runtime/</w:t>
        <w:br/>
      </w:r>
      <w:r>
        <w:rPr>
          <w:rFonts w:ascii="DejaVu Sans Mono" w:hAnsi="DejaVu Sans Mono" w:eastAsia="DejaVu Sans Mono"/>
          <w:b w:val="0"/>
          <w:sz w:val="17"/>
        </w:rPr>
        <w:t xml:space="preserve">  hashes/</w:t>
        <w:br/>
      </w:r>
      <w:r>
        <w:rPr>
          <w:rFonts w:ascii="DejaVu Sans Mono" w:hAnsi="DejaVu Sans Mono" w:eastAsia="DejaVu Sans Mono"/>
          <w:b w:val="0"/>
          <w:sz w:val="17"/>
        </w:rPr>
        <w:t>reports/</w:t>
        <w:br/>
      </w:r>
      <w:r>
        <w:rPr>
          <w:rFonts w:ascii="DejaVu Sans Mono" w:hAnsi="DejaVu Sans Mono" w:eastAsia="DejaVu Sans Mono"/>
          <w:b w:val="0"/>
          <w:sz w:val="17"/>
        </w:rPr>
        <w:t xml:space="preserve">  data_card_v4.md</w:t>
        <w:br/>
      </w:r>
      <w:r>
        <w:rPr>
          <w:rFonts w:ascii="DejaVu Sans Mono" w:hAnsi="DejaVu Sans Mono" w:eastAsia="DejaVu Sans Mono"/>
          <w:b w:val="0"/>
          <w:sz w:val="17"/>
        </w:rPr>
        <w:t xml:space="preserve">  annotation_guideline_v3.md</w:t>
        <w:br/>
      </w:r>
      <w:r>
        <w:rPr>
          <w:rFonts w:ascii="DejaVu Sans Mono" w:hAnsi="DejaVu Sans Mono" w:eastAsia="DejaVu Sans Mono"/>
          <w:b w:val="0"/>
          <w:sz w:val="17"/>
        </w:rPr>
        <w:t xml:space="preserve">  disagreement_report_v4.csv</w:t>
        <w:br/>
      </w:r>
      <w:r>
        <w:rPr>
          <w:rFonts w:ascii="DejaVu Sans Mono" w:hAnsi="DejaVu Sans Mono" w:eastAsia="DejaVu Sans Mono"/>
          <w:b w:val="0"/>
          <w:sz w:val="17"/>
        </w:rPr>
        <w:t xml:space="preserve">  runtime_report_v4.md</w:t>
        <w:br/>
      </w:r>
      <w:r>
        <w:rPr>
          <w:rFonts w:ascii="DejaVu Sans Mono" w:hAnsi="DejaVu Sans Mono" w:eastAsia="DejaVu Sans Mono"/>
          <w:b w:val="0"/>
          <w:sz w:val="17"/>
        </w:rPr>
        <w:t xml:space="preserve">  compatibility_report_v4.md</w:t>
        <w:br/>
      </w:r>
      <w:r>
        <w:rPr>
          <w:rFonts w:ascii="DejaVu Sans Mono" w:hAnsi="DejaVu Sans Mono" w:eastAsia="DejaVu Sans Mono"/>
          <w:b w:val="0"/>
          <w:sz w:val="17"/>
        </w:rPr>
        <w:t xml:space="preserve">  handoff_v4.md</w:t>
        <w:br/>
      </w:r>
      <w:r>
        <w:rPr>
          <w:rFonts w:ascii="DejaVu Sans Mono" w:hAnsi="DejaVu Sans Mono" w:eastAsia="DejaVu Sans Mono"/>
          <w:b w:val="0"/>
          <w:sz w:val="17"/>
        </w:rPr>
        <w:t>release/</w:t>
        <w:br/>
      </w:r>
      <w:r>
        <w:rPr>
          <w:rFonts w:ascii="DejaVu Sans Mono" w:hAnsi="DejaVu Sans Mono" w:eastAsia="DejaVu Sans Mono"/>
          <w:b w:val="0"/>
          <w:sz w:val="17"/>
        </w:rPr>
        <w:t xml:space="preserve">  DATA_RELEASE_v4_manifest.json</w:t>
        <w:br/>
      </w:r>
      <w:r>
        <w:rPr>
          <w:rFonts w:ascii="DejaVu Sans Mono" w:hAnsi="DejaVu Sans Mono" w:eastAsia="DejaVu Sans Mono"/>
          <w:b w:val="0"/>
          <w:sz w:val="17"/>
        </w:rPr>
        <w:t xml:space="preserve">  SHA256SUMS</w:t>
      </w:r>
    </w:p>
    <w:p>
      <w:pPr>
        <w:pStyle w:val="Heading1"/>
      </w:pPr>
      <w:r>
        <w:t>15. 最终判断</w:t>
      </w:r>
    </w:p>
    <w:p>
      <w:pPr>
        <w:spacing w:before="0" w:after="100" w:line="288" w:lineRule="auto"/>
      </w:pPr>
      <w:r>
        <w:rPr>
          <w:rFonts w:ascii="Noto Sans CJK SC" w:hAnsi="Noto Sans CJK SC" w:eastAsia="Noto Sans CJK SC"/>
          <w:b w:val="0"/>
          <w:sz w:val="21"/>
        </w:rPr>
        <w:t>在只有 Data-A、Data-B、Data-R 三个人、并且与主仓五人团队完全分离的前提下，785 Gold + 400 KB 仍可作为 5 天正式目标，但必须满足三个工程条件：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按 6h/人/天排计划而不是按 8h 排满，硬留 25% 容量；这使 30% 工时膨胀仍落在 120h Gross 以内。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所有正式 Case 仍执行 A/B 独立双标，效率来自候选工厂、Label Console、自动分歧聚类、微批和 Runtime 复用，而不是降低人工审核标准。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主仓只通过冻结接口包提供 Schema/Build/Runtime，Data-R 是唯一数据侧对接人；任何外部硬依赖失败都显式 BLOCKED，绝不通过伪造数据“完成”。</w:t>
      </w:r>
    </w:p>
    <w:p>
      <w:pPr>
        <w:spacing w:before="120" w:after="100" w:line="288" w:lineRule="auto"/>
      </w:pPr>
      <w:r>
        <w:rPr>
          <w:rFonts w:ascii="Noto Sans CJK SC" w:hAnsi="Noto Sans CJK SC" w:eastAsia="Noto Sans CJK SC"/>
          <w:b/>
          <w:color w:val="1F4E79"/>
          <w:sz w:val="22"/>
        </w:rPr>
        <w:t>推荐执行口径：D1 修工厂，D2 中午冻结标注规则，D2–D4 完成全部生产，D5 作为延迟缓冲 + QA + Seal + Handoff。这个结构比“5 天每天都在生产”更能真正吸收 20%–30% 的现场拖慢。</w:t>
      </w:r>
    </w:p>
    <w:p>
      <w:r>
        <w:br w:type="page"/>
      </w:r>
    </w:p>
    <w:p>
      <w:pPr>
        <w:pStyle w:val="Heading1"/>
      </w:pPr>
      <w:r>
        <w:t>附录 A｜来源依据与当前基线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B4C7DC"/>
          <w:left w:val="single" w:sz="5" w:color="B4C7DC"/>
          <w:bottom w:val="single" w:sz="5" w:color="B4C7DC"/>
          <w:right w:val="single" w:sz="5" w:color="B4C7DC"/>
          <w:insideH w:val="single" w:sz="5" w:color="B4C7DC"/>
          <w:insideV w:val="single" w:sz="5" w:color="B4C7DC"/>
        </w:tblBorders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396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依据</w:t>
            </w:r>
          </w:p>
        </w:tc>
        <w:tc>
          <w:tcPr>
            <w:tcW w:type="dxa" w:w="652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本方案使用点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《02_麒麟OS_Agent_记忆模块数据查找选型与质量审计指导手册 v1.0》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三层数据占比、首版规模、双人标注、Reviewer裁决、50/20/30切分、Runtime真实性、AI边界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当前数据仓 PR #31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P1 单PR、High-2/High-4、blind context、Kappa、当前HEAD与Review状态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stage8_candidate_rebuild_report / plan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v1重复缺陷、v2重建方向、public与OS自建的角色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stage8_datasource_manual_review_20260904.md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LongMemEval、LME-v2、T2Ranking、StableToolBench、MultiWOZ的可用边界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主仓 15天75项施工台账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Main A-E 的业务/检索/Runtime/评测职责；本方案明确不把Data-A/B/R混入主仓五人分工</w:t>
            </w:r>
          </w:p>
        </w:tc>
      </w:tr>
    </w:tbl>
    <w:p>
      <w:pPr>
        <w:spacing w:after="20"/>
      </w:pPr>
    </w:p>
    <w:p>
      <w:pPr>
        <w:pStyle w:val="Heading1"/>
      </w:pPr>
      <w:r>
        <w:t>附录 B｜配套施工台账</w:t>
      </w:r>
    </w:p>
    <w:p>
      <w:pPr>
        <w:spacing w:before="0" w:after="100" w:line="288" w:lineRule="auto"/>
      </w:pPr>
      <w:r>
        <w:rPr>
          <w:rFonts w:ascii="Noto Sans CJK SC" w:hAnsi="Noto Sans CJK SC" w:eastAsia="Noto Sans CJK SC"/>
          <w:b w:val="0"/>
          <w:sz w:val="21"/>
        </w:rPr>
        <w:t>本方案配套 Excel：《麒麟OS_Agent_Memory_Data_v4_三人五天_30pct缓冲_施工台账_v3.xlsx》。建议以 Excel 作为每日状态真源，以本 DOCX 作为设计基线和 Reviewer 裁定依据。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737373"/>
        <w:sz w:val="16"/>
      </w:rPr>
      <w:t>数据团队 Data-A / Data-B / Data-R · 与主仓 Main A-E 完全分离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E6E6E"/>
        <w:sz w:val="16"/>
      </w:rPr>
      <w:t>Kylin OS Agent Memory | Data v4 | 3-Person 5-Day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385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A5A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