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left"/>
      </w:pPr>
      <w:r>
        <w:rPr>
          <w:rFonts w:ascii="Noto Sans CJK SC" w:hAnsi="Noto Sans CJK SC" w:eastAsia="Noto Sans CJK SC"/>
          <w:b/>
          <w:color w:val="D71920"/>
          <w:sz w:val="21"/>
        </w:rPr>
        <w:t>麒麟软件有限公司命题｜XA-202612</w:t>
      </w:r>
    </w:p>
    <w:p>
      <w:pPr>
        <w:spacing w:before="1080" w:after="320"/>
        <w:jc w:val="center"/>
      </w:pPr>
      <w:r>
        <w:rPr>
          <w:rFonts w:ascii="Noto Sans CJK SC" w:hAnsi="Noto Sans CJK SC" w:eastAsia="Noto Sans CJK SC"/>
          <w:b/>
          <w:color w:val="111111"/>
          <w:sz w:val="50"/>
        </w:rPr>
        <w:t>OS Agent 记忆模块数据查找、选型与质量审计指导手册</w:t>
      </w:r>
    </w:p>
    <w:p>
      <w:pPr>
        <w:spacing w:after="200"/>
        <w:jc w:val="center"/>
      </w:pPr>
      <w:r>
        <w:rPr>
          <w:rFonts w:ascii="Noto Sans CJK SC" w:hAnsi="Noto Sans CJK SC" w:eastAsia="Noto Sans CJK SC"/>
          <w:b w:val="0"/>
          <w:color w:val="666666"/>
          <w:sz w:val="28"/>
        </w:rPr>
        <w:t>供团队成员配合 AI 工具直接执行的数据工作 SOP</w:t>
      </w:r>
    </w:p>
    <w:p>
      <w:pPr>
        <w:spacing w:before="280"/>
        <w:jc w:val="center"/>
      </w:pPr>
      <w:r>
        <w:rPr>
          <w:rFonts w:ascii="Noto Sans CJK SC" w:hAnsi="Noto Sans CJK SC" w:eastAsia="Noto Sans CJK SC"/>
          <w:b w:val="0"/>
          <w:color w:val="111111"/>
          <w:sz w:val="22"/>
        </w:rPr>
        <w:t>适用项目：挑战杯“OS Agent 记忆优化及高效应用研究”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2268"/>
            <w:shd w:fill="EEEE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9"/>
              </w:rPr>
              <w:t>文档版本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v1.0</w:t>
            </w:r>
          </w:p>
        </w:tc>
      </w:tr>
      <w:tr>
        <w:tc>
          <w:tcPr>
            <w:tcW w:type="dxa" w:w="2268"/>
            <w:shd w:fill="EEEE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9"/>
              </w:rPr>
              <w:t>发布日期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2026年7月29日</w:t>
            </w:r>
          </w:p>
        </w:tc>
      </w:tr>
      <w:tr>
        <w:tc>
          <w:tcPr>
            <w:tcW w:type="dxa" w:w="2268"/>
            <w:shd w:fill="EEEE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9"/>
              </w:rPr>
              <w:t>适用环境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WSL 日常处理 + 麒麟 Runtime 虚拟机最终验证</w:t>
            </w:r>
          </w:p>
        </w:tc>
      </w:tr>
      <w:tr>
        <w:tc>
          <w:tcPr>
            <w:tcW w:type="dxa" w:w="2268"/>
            <w:shd w:fill="EEEE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9"/>
              </w:rPr>
              <w:t>执行方式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人工主导、AI 辅助、Reviewer 审批</w:t>
            </w:r>
          </w:p>
        </w:tc>
      </w:tr>
      <w:tr>
        <w:tc>
          <w:tcPr>
            <w:tcW w:type="dxa" w:w="2268"/>
            <w:shd w:fill="EEEE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9"/>
              </w:rPr>
              <w:t>主要交付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公开数据登记、质量评分、自建 Gold 数据、封存与证据包</w:t>
            </w:r>
          </w:p>
        </w:tc>
      </w:tr>
      <w:tr>
        <w:tc>
          <w:tcPr>
            <w:tcW w:type="dxa" w:w="2268"/>
            <w:shd w:fill="EEEE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9"/>
              </w:rPr>
              <w:t>状态字段</w:t>
            </w:r>
          </w:p>
        </w:tc>
        <w:tc>
          <w:tcPr>
            <w:tcW w:type="dxa" w:w="510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待处理 / 进行中 / 待审查 / 已批准 / 已封存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4"/>
            <w:shd w:fill="FFF1F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71920"/>
              <w:left w:val="single" w:sz="8" w:color="D71920"/>
              <w:bottom w:val="single" w:sz="8" w:color="D71920"/>
              <w:right w:val="single" w:sz="8" w:color="D71920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D71920"/>
                <w:sz w:val="24"/>
              </w:rPr>
              <w:t>!</w:t>
            </w:r>
          </w:p>
        </w:tc>
        <w:tc>
          <w:tcPr>
            <w:tcW w:type="dxa" w:w="8901"/>
            <w:shd w:fill="FFF1F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71920"/>
              <w:left w:val="single" w:sz="8" w:color="D71920"/>
              <w:bottom w:val="single" w:sz="8" w:color="D71920"/>
              <w:right w:val="single" w:sz="8" w:color="D71920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使用提示：</w:t>
            </w:r>
            <w:r>
              <w:rPr>
                <w:rFonts w:ascii="Noto Serif CJK SC" w:hAnsi="Noto Serif CJK SC" w:eastAsia="Noto Serif CJK SC"/>
                <w:b w:val="0"/>
                <w:color w:val="111111"/>
                <w:sz w:val="20"/>
              </w:rPr>
              <w:t>本手册不是“让 AI 自动完成数据集”的说明。所有来源确认、License 判断、Gold Label、封存审批和真实环境验证，必须由团队成员人工完成并留存证据。</w:t>
            </w:r>
          </w:p>
        </w:tc>
      </w:tr>
    </w:tbl>
    <w:p>
      <w:pPr>
        <w:spacing w:after="0"/>
      </w:pPr>
    </w:p>
    <w:p>
      <w:r>
        <w:br w:type="page"/>
      </w:r>
    </w:p>
    <w:p>
      <w:bookmarkStart w:id="1" w:name="sec_doc_control"/>
      <w:pPr>
        <w:pStyle w:val="Heading1"/>
      </w:pPr>
      <w:r>
        <w:t>文档控制与执行口径</w:t>
      </w:r>
      <w:bookmarkEnd w:id="1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1814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项目</w:t>
            </w:r>
          </w:p>
        </w:tc>
        <w:tc>
          <w:tcPr>
            <w:tcW w:type="dxa" w:w="7483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执行要求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文档目标</w:t>
            </w:r>
          </w:p>
        </w:tc>
        <w:tc>
          <w:tcPr>
            <w:tcW w:type="dxa" w:w="74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让同事在不依赖口头交接的情况下，按照固定步骤完成数据查找、选型、抽样审计、自建标注、封存和报告。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工作边界</w:t>
            </w:r>
          </w:p>
        </w:tc>
        <w:tc>
          <w:tcPr>
            <w:tcW w:type="dxa" w:w="74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本手册覆盖评测与演示数据，不负责训练基础模型；公开数据不得替代麒麟 OS 真实场景数据。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决策原则</w:t>
            </w:r>
          </w:p>
        </w:tc>
        <w:tc>
          <w:tcPr>
            <w:tcW w:type="dxa" w:w="74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来源可追溯 &gt; License 清晰 &gt; 与赛题匹配 &gt; 标签可信 &gt; 规模大。规模不是首要标准。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AI 使用原则</w:t>
            </w:r>
          </w:p>
        </w:tc>
        <w:tc>
          <w:tcPr>
            <w:tcW w:type="dxa" w:w="74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AI 可搜集候选、提取元数据、生成改写候选、辅助查重和生成报告；不得单独作出合规结论或最终标注。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质量门禁</w:t>
            </w:r>
          </w:p>
        </w:tc>
        <w:tc>
          <w:tcPr>
            <w:tcW w:type="dxa" w:w="74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任何数据集必须依次通过来源、合规、抽样质量、任务匹配、泄漏检查、封存六个 Gate。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最终责任</w:t>
            </w:r>
          </w:p>
        </w:tc>
        <w:tc>
          <w:tcPr>
            <w:tcW w:type="dxa" w:w="74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数据负责人对真实性负责，Reviewer 对合规与封存负责，开发人员不得查看封存测试集答案。</w:t>
            </w:r>
          </w:p>
        </w:tc>
      </w:tr>
    </w:tbl>
    <w:p>
      <w:pPr>
        <w:spacing w:after="0"/>
      </w:pPr>
    </w:p>
    <w:p>
      <w:pPr>
        <w:pStyle w:val="Heading2"/>
      </w:pPr>
      <w:r>
        <w:t>全链路进度提示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587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阶段</w:t>
            </w:r>
          </w:p>
        </w:tc>
        <w:tc>
          <w:tcPr>
            <w:tcW w:type="dxa" w:w="3798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当前项目状态</w:t>
            </w:r>
          </w:p>
        </w:tc>
        <w:tc>
          <w:tcPr>
            <w:tcW w:type="dxa" w:w="3912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本手册要求的下一步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比赛要求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已明确多源整合、偏好、知识、冲突、遗忘、量化评测和端侧性能指标。</w:t>
            </w:r>
          </w:p>
        </w:tc>
        <w:tc>
          <w:tcPr>
            <w:tcW w:type="dxa" w:w="3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把每项要求映射为独立数据子集和可计算指标。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公开数据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已有 MultiWOZ、ToolBench、PersonaChat、检索类数据等候选。</w:t>
            </w:r>
          </w:p>
        </w:tc>
        <w:tc>
          <w:tcPr>
            <w:tcW w:type="dxa" w:w="3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重新核对正式名称、版本、License 和适用边界。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项目数据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尚需形成统一的“麒麟 OS Memory Gold”数据规范。</w:t>
            </w:r>
          </w:p>
        </w:tc>
        <w:tc>
          <w:tcPr>
            <w:tcW w:type="dxa" w:w="3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先做小批量试标，再扩展到正式规模。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真实环境</w:t>
            </w:r>
          </w:p>
        </w:tc>
        <w:tc>
          <w:tcPr>
            <w:tcW w:type="dxa" w:w="379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最终成品以 VirtualBox 麒麟 Runtime 虚拟机验证。</w:t>
            </w:r>
          </w:p>
        </w:tc>
        <w:tc>
          <w:tcPr>
            <w:tcW w:type="dxa" w:w="391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将批准的固定子集传入虚拟机，生成真实 Tool 与端到端回放证据。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320"/>
        <w:jc w:val="center"/>
      </w:pPr>
      <w:r>
        <w:rPr>
          <w:rFonts w:ascii="Noto Sans CJK SC" w:hAnsi="Noto Sans CJK SC" w:eastAsia="Noto Sans CJK SC"/>
          <w:b/>
          <w:color w:val="111111"/>
          <w:sz w:val="40"/>
        </w:rPr>
        <w:t>目  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794"/>
            <w:shd w:fill="E7E7E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9"/>
              </w:rPr>
              <w:t>编号</w:t>
            </w:r>
          </w:p>
        </w:tc>
        <w:tc>
          <w:tcPr>
            <w:tcW w:type="dxa" w:w="7710"/>
            <w:shd w:fill="E7E7E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9"/>
              </w:rPr>
              <w:t>章节</w:t>
            </w:r>
          </w:p>
        </w:tc>
        <w:tc>
          <w:tcPr>
            <w:tcW w:type="dxa" w:w="794"/>
            <w:shd w:fill="E7E7E7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9"/>
              </w:rPr>
              <w:t>页码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0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hyperlink w:anchor="sec_0" w:history="1">
              <w:r>
                <w:rPr>
                  <w:color w:val="111111"/>
                  <w:rFonts w:ascii="Noto Sans CJK SC" w:hAnsi="Noto Sans CJK SC" w:eastAsia="Noto Sans CJK SC"/>
                </w:rPr>
                <w:t>如何使用本手册</w:t>
              </w:r>
            </w:hyperlink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1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hyperlink w:anchor="sec_1" w:history="1">
              <w:r>
                <w:rPr>
                  <w:color w:val="111111"/>
                  <w:rFonts w:ascii="Noto Sans CJK SC" w:hAnsi="Noto Sans CJK SC" w:eastAsia="Noto Sans CJK SC"/>
                </w:rPr>
                <w:t>比赛要求与数据任务边界</w:t>
              </w:r>
            </w:hyperlink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2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hyperlink w:anchor="sec_2" w:history="1">
              <w:r>
                <w:rPr>
                  <w:color w:val="111111"/>
                  <w:rFonts w:ascii="Noto Sans CJK SC" w:hAnsi="Noto Sans CJK SC" w:eastAsia="Noto Sans CJK SC"/>
                </w:rPr>
                <w:t>数据体系设计与推荐规模</w:t>
              </w:r>
            </w:hyperlink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3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hyperlink w:anchor="sec_3" w:history="1">
              <w:r>
                <w:rPr>
                  <w:color w:val="111111"/>
                  <w:rFonts w:ascii="Noto Sans CJK SC" w:hAnsi="Noto Sans CJK SC" w:eastAsia="Noto Sans CJK SC"/>
                </w:rPr>
                <w:t>数据来源查找策略</w:t>
              </w:r>
            </w:hyperlink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7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4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hyperlink w:anchor="sec_4" w:history="1">
              <w:r>
                <w:rPr>
                  <w:color w:val="111111"/>
                  <w:rFonts w:ascii="Noto Sans CJK SC" w:hAnsi="Noto Sans CJK SC" w:eastAsia="Noto Sans CJK SC"/>
                </w:rPr>
                <w:t>候选数据集选择与评分</w:t>
              </w:r>
            </w:hyperlink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9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5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hyperlink w:anchor="sec_5" w:history="1">
              <w:r>
                <w:rPr>
                  <w:color w:val="111111"/>
                  <w:rFonts w:ascii="Noto Sans CJK SC" w:hAnsi="Noto Sans CJK SC" w:eastAsia="Noto Sans CJK SC"/>
                </w:rPr>
                <w:t>端到端执行 SOP</w:t>
              </w:r>
            </w:hyperlink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6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hyperlink w:anchor="sec_6" w:history="1">
              <w:r>
                <w:rPr>
                  <w:color w:val="111111"/>
                  <w:rFonts w:ascii="Noto Sans CJK SC" w:hAnsi="Noto Sans CJK SC" w:eastAsia="Noto Sans CJK SC"/>
                </w:rPr>
                <w:t>数据质量审计方法</w:t>
              </w:r>
            </w:hyperlink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15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7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hyperlink w:anchor="sec_7" w:history="1">
              <w:r>
                <w:rPr>
                  <w:color w:val="111111"/>
                  <w:rFonts w:ascii="Noto Sans CJK SC" w:hAnsi="Noto Sans CJK SC" w:eastAsia="Noto Sans CJK SC"/>
                </w:rPr>
                <w:t>自建“麒麟 OS Memory Gold”规范</w:t>
              </w:r>
            </w:hyperlink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8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hyperlink w:anchor="sec_8" w:history="1">
              <w:r>
                <w:rPr>
                  <w:color w:val="111111"/>
                  <w:rFonts w:ascii="Noto Sans CJK SC" w:hAnsi="Noto Sans CJK SC" w:eastAsia="Noto Sans CJK SC"/>
                </w:rPr>
                <w:t>AI 工具协作规范与标准 Prompt</w:t>
              </w:r>
            </w:hyperlink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19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9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hyperlink w:anchor="sec_9" w:history="1">
              <w:r>
                <w:rPr>
                  <w:color w:val="111111"/>
                  <w:rFonts w:ascii="Noto Sans CJK SC" w:hAnsi="Noto Sans CJK SC" w:eastAsia="Noto Sans CJK SC"/>
                </w:rPr>
                <w:t>目录结构、命名与版本管理</w:t>
              </w:r>
            </w:hyperlink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21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10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hyperlink w:anchor="sec_10" w:history="1">
              <w:r>
                <w:rPr>
                  <w:color w:val="111111"/>
                  <w:rFonts w:ascii="Noto Sans CJK SC" w:hAnsi="Noto Sans CJK SC" w:eastAsia="Noto Sans CJK SC"/>
                </w:rPr>
                <w:t>角色分工、进度跟踪与失败路由</w:t>
              </w:r>
            </w:hyperlink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22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11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hyperlink w:anchor="sec_11" w:history="1">
              <w:r>
                <w:rPr>
                  <w:color w:val="111111"/>
                  <w:rFonts w:ascii="Noto Sans CJK SC" w:hAnsi="Noto Sans CJK SC" w:eastAsia="Noto Sans CJK SC"/>
                </w:rPr>
                <w:t>最终验收与交付清单</w:t>
              </w:r>
            </w:hyperlink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附录A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hyperlink w:anchor="app_a" w:history="1">
              <w:r>
                <w:rPr>
                  <w:color w:val="111111"/>
                  <w:rFonts w:ascii="Noto Sans CJK SC" w:hAnsi="Noto Sans CJK SC" w:eastAsia="Noto Sans CJK SC"/>
                </w:rPr>
                <w:t>候选数据集登记卡模板</w:t>
              </w:r>
            </w:hyperlink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25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附录B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hyperlink w:anchor="app_b" w:history="1">
              <w:r>
                <w:rPr>
                  <w:color w:val="111111"/>
                  <w:rFonts w:ascii="Noto Sans CJK SC" w:hAnsi="Noto Sans CJK SC" w:eastAsia="Noto Sans CJK SC"/>
                </w:rPr>
                <w:t>100 分质量评分表</w:t>
              </w:r>
            </w:hyperlink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25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附录C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hyperlink w:anchor="app_c" w:history="1">
              <w:r>
                <w:rPr>
                  <w:color w:val="111111"/>
                  <w:rFonts w:ascii="Noto Sans CJK SC" w:hAnsi="Noto Sans CJK SC" w:eastAsia="Noto Sans CJK SC"/>
                </w:rPr>
                <w:t>可直接复制的 AI Prompt</w:t>
              </w:r>
            </w:hyperlink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26</w:t>
            </w:r>
          </w:p>
        </w:tc>
      </w:tr>
      <w:tr>
        <w:trPr>
          <w:cantSplit/>
        </w:trPr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附录D</w:t>
            </w:r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left"/>
            </w:pPr>
            <w:hyperlink w:anchor="app_d" w:history="1">
              <w:r>
                <w:rPr>
                  <w:color w:val="111111"/>
                  <w:rFonts w:ascii="Noto Sans CJK SC" w:hAnsi="Noto Sans CJK SC" w:eastAsia="Noto Sans CJK SC"/>
                </w:rPr>
                <w:t>推荐公开数据源与参考资料</w:t>
              </w:r>
            </w:hyperlink>
          </w:p>
        </w:tc>
        <w:tc>
          <w:tcPr>
            <w:tcW w:type="dxa" w:w="31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9"/>
              </w:rPr>
              <w:t>28</w:t>
            </w:r>
          </w:p>
        </w:tc>
      </w:tr>
    </w:tbl>
    <w:p>
      <w:r>
        <w:br w:type="page"/>
      </w:r>
    </w:p>
    <w:p>
      <w:bookmarkStart w:id="10" w:name="sec_0"/>
      <w:pPr>
        <w:pStyle w:val="Heading1"/>
      </w:pPr>
      <w:r>
        <w:t>0  如何使用本手册</w:t>
      </w:r>
      <w:bookmarkEnd w:id="10"/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同事接手后，不需要先设计自己的流程。先建立本手册规定的目录与登记表，然后按照“候选查找 → 来源核验 → 小样本审计 → 评分批准 → 原始数据冻结 → 统一转换 → 自建 Gold → 切分封存 → 麒麟虚拟机回放 → 报告归档”的顺序执行。任何阶段未通过 Gate，不得跳到下一阶段。</w:t>
      </w:r>
    </w:p>
    <w:p>
      <w:pPr>
        <w:pStyle w:val="Heading2"/>
      </w:pPr>
      <w:r>
        <w:t>0.1 最小启动动作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阅读第1章，确认比赛指标和数据边界。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在 WSL 项目目录建立第9章规定的 data/ 目录结构。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复制附录A的“候选数据集登记卡”，每个数据集单独一张。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复制附录C Prompt 01，让 AI 先做需求—数据映射，不要立即下载大文件。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候选集只下载说明文件和 50～100 条样本；通过 Reviewer 批准后再下载完整或固定子集。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所有命令、网页截图、License、Commit、SHA256 和审查意见必须保存到 evidence/。</w:t>
      </w:r>
    </w:p>
    <w:p>
      <w:pPr>
        <w:pStyle w:val="Heading2"/>
      </w:pPr>
      <w:r>
        <w:t>0.2 每次工作结束必须留下什么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必留产物</w:t>
            </w:r>
          </w:p>
        </w:tc>
        <w:tc>
          <w:tcPr>
            <w:tcW w:type="dxa" w:w="3175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文件建议</w:t>
            </w:r>
          </w:p>
        </w:tc>
        <w:tc>
          <w:tcPr>
            <w:tcW w:type="dxa" w:w="4365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最低内容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进度记录</w:t>
            </w:r>
          </w:p>
        </w:tc>
        <w:tc>
          <w:tcPr>
            <w:tcW w:type="dxa" w:w="317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worklog/YYYYMMDD_data_worklog.md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今天完成、未完成、阻塞、下一步、需要 Reviewer 决策的问题。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AI 输出</w:t>
            </w:r>
          </w:p>
        </w:tc>
        <w:tc>
          <w:tcPr>
            <w:tcW w:type="dxa" w:w="317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evidence/ai_outputs/&lt;task_id&gt;.md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原 Prompt、AI 完整输出、采用与未采用结论。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人工证据</w:t>
            </w:r>
          </w:p>
        </w:tc>
        <w:tc>
          <w:tcPr>
            <w:tcW w:type="dxa" w:w="317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evidence/source/ 或 evidence/audit/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官方页面、License、样本审计、命令日志、截图和哈希。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状态更新</w:t>
            </w:r>
          </w:p>
        </w:tc>
        <w:tc>
          <w:tcPr>
            <w:tcW w:type="dxa" w:w="317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registry/dataset_registry.csv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候选状态、负责人、Reviewer、最后更新时间。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4"/>
            <w:shd w:fill="FFF1F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71920"/>
              <w:left w:val="single" w:sz="8" w:color="D71920"/>
              <w:bottom w:val="single" w:sz="8" w:color="D71920"/>
              <w:right w:val="single" w:sz="8" w:color="D71920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D71920"/>
                <w:sz w:val="24"/>
              </w:rPr>
              <w:t>!</w:t>
            </w:r>
          </w:p>
        </w:tc>
        <w:tc>
          <w:tcPr>
            <w:tcW w:type="dxa" w:w="8901"/>
            <w:shd w:fill="FFF1F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71920"/>
              <w:left w:val="single" w:sz="8" w:color="D71920"/>
              <w:bottom w:val="single" w:sz="8" w:color="D71920"/>
              <w:right w:val="single" w:sz="8" w:color="D71920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完成定义：</w:t>
            </w:r>
            <w:r>
              <w:rPr>
                <w:rFonts w:ascii="Noto Serif CJK SC" w:hAnsi="Noto Serif CJK SC" w:eastAsia="Noto Serif CJK SC"/>
                <w:b w:val="0"/>
                <w:color w:val="111111"/>
                <w:sz w:val="20"/>
              </w:rPr>
              <w:t>“AI 已经查到”“下载完成”或“脚本能运行”都不等于完成。只有 Reviewer 已批准、产物齐全、可重复执行且哈希固定，才能标记为“已封存”。</w:t>
            </w:r>
          </w:p>
        </w:tc>
      </w:tr>
    </w:tbl>
    <w:p>
      <w:pPr>
        <w:spacing w:after="0"/>
      </w:pPr>
    </w:p>
    <w:p>
      <w:bookmarkStart w:id="11" w:name="sec_1"/>
      <w:pPr>
        <w:pStyle w:val="Heading1"/>
      </w:pPr>
      <w:r>
        <w:t>1  比赛要求与数据任务边界</w:t>
      </w:r>
      <w:bookmarkEnd w:id="11"/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比赛方案要求系统统一接入工具执行结果、用户行为和手动配置，完成数据清洗、格式标准化与质量校验；同时验证偏好动态捕捉、知识结构化整合、冲突处理、关联检索、敏感信息过滤、精准遗忘以及短中长期记忆流转。数据工作必须直接支撑这些功能，而不是只收集通用聊天语料。</w:t>
      </w:r>
    </w:p>
    <w:p>
      <w:pPr>
        <w:pStyle w:val="Heading2"/>
      </w:pPr>
      <w:r>
        <w:t>1.1 评分指标与对应数据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0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比赛指标</w:t>
            </w:r>
          </w:p>
        </w:tc>
        <w:tc>
          <w:tcPr>
            <w:tcW w:type="dxa" w:w="1247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基础要求</w:t>
            </w:r>
          </w:p>
        </w:tc>
        <w:tc>
          <w:tcPr>
            <w:tcW w:type="dxa" w:w="3572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必须准备的数据</w:t>
            </w:r>
          </w:p>
        </w:tc>
        <w:tc>
          <w:tcPr>
            <w:tcW w:type="dxa" w:w="2835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主要计算方式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偏好提取准确率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≥85%</w:t>
            </w:r>
          </w:p>
        </w:tc>
        <w:tc>
          <w:tcPr>
            <w:tcW w:type="dxa" w:w="35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显式/隐式偏好、非偏好负例、作用域、版本更新、冲突样本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Precision、Recall、F1；按偏好类型和场景分组报告。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知识检索召回率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≥85%</w:t>
            </w:r>
          </w:p>
        </w:tc>
        <w:tc>
          <w:tcPr>
            <w:tcW w:type="dxa" w:w="35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工作流程、历史案例、模板、事实知识及查询—相关文档标注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Recall@K 为主，辅以 MRR、nDCG、失败查询分析。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知识检索响应时间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≤500ms</w:t>
            </w:r>
          </w:p>
        </w:tc>
        <w:tc>
          <w:tcPr>
            <w:tcW w:type="dxa" w:w="35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固定语料规模、固定查询集、冷启动/热启动记录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P50、P95、P99；记录硬件、索引状态和缓存条件。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知识冲突处理正确率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≥88%</w:t>
            </w:r>
          </w:p>
        </w:tc>
        <w:tc>
          <w:tcPr>
            <w:tcW w:type="dxa" w:w="35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新旧版本、来源冲突、作用域冲突、时间冲突、保留/覆盖预期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按 Gold 决策计算准确率，并输出错误类型。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精准遗忘与安全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功能要求</w:t>
            </w:r>
          </w:p>
        </w:tc>
        <w:tc>
          <w:tcPr>
            <w:tcW w:type="dxa" w:w="35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删除目标、应保留对象、敏感字段、索引重建后的残留检查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删除正确率、误删率、实时/重建后残留数。</w:t>
            </w:r>
          </w:p>
        </w:tc>
      </w:tr>
    </w:tbl>
    <w:p>
      <w:pPr>
        <w:spacing w:after="0"/>
      </w:pPr>
    </w:p>
    <w:p>
      <w:pPr>
        <w:pStyle w:val="Heading2"/>
      </w:pPr>
      <w:r>
        <w:t>1.2 不在本次数据任务范围内的内容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不为了追求规模训练或微调基础大模型；比赛重点是记忆模块工程与量化验证。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不把公开数据集的原始指标直接当作本项目成绩；必须经过统一 Schema 和本系统完整管线。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不将外部在线 API 的实时成功率作为正式评测依据；正式集应可离线、可复现。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不使用真实个人账号、联系方式、密钥、私人文件或未经授权的企业数据。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不允许 AI 直接生成最终 Gold Label 后未经人工复核进入封存测试集。</w:t>
      </w:r>
    </w:p>
    <w:p>
      <w:pPr>
        <w:pStyle w:val="Heading2"/>
      </w:pPr>
      <w:r>
        <w:t>1.3 环境分工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环境</w:t>
            </w:r>
          </w:p>
        </w:tc>
        <w:tc>
          <w:tcPr>
            <w:tcW w:type="dxa" w:w="2324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用途</w:t>
            </w:r>
          </w:p>
        </w:tc>
        <w:tc>
          <w:tcPr>
            <w:tcW w:type="dxa" w:w="2948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允许操作</w:t>
            </w:r>
          </w:p>
        </w:tc>
        <w:tc>
          <w:tcPr>
            <w:tcW w:type="dxa" w:w="2268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禁止替代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WSL（Ubuntu 22.04）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日常搜索、下载、抽样、清洗、转换、统计和 Git 管理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运行 Python 脚本、保存原始数据、生成报告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不能替代麒麟 Runtime 的最终性能和 Tool Hook 证据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VirtualBox 麒麟 Runtime 虚拟机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最终集成、SDK、索引、性能、遗忘和真实 Tool 回放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运行批准后的固定子集与端到端案例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不能在虚拟机中临时改测试答案或手工补成功结果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SSH / WinSCP</w:t>
            </w:r>
          </w:p>
        </w:tc>
        <w:tc>
          <w:tcPr>
            <w:tcW w:type="dxa" w:w="232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WSL/Windows 与虚拟机之间传输</w:t>
            </w:r>
          </w:p>
        </w:tc>
        <w:tc>
          <w:tcPr>
            <w:tcW w:type="dxa" w:w="294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传代码、数据子集、日志、报告和哈希清单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不能只传最终截图而不传原始日志和复现命令</w:t>
            </w:r>
          </w:p>
        </w:tc>
      </w:tr>
    </w:tbl>
    <w:p>
      <w:pPr>
        <w:spacing w:after="0"/>
      </w:pPr>
    </w:p>
    <w:p>
      <w:bookmarkStart w:id="12" w:name="sec_2"/>
      <w:pPr>
        <w:pStyle w:val="Heading1"/>
      </w:pPr>
      <w:r>
        <w:t>2  数据体系设计与推荐规模</w:t>
      </w:r>
      <w:bookmarkEnd w:id="12"/>
    </w:p>
    <w:p>
      <w:pPr>
        <w:pStyle w:val="Heading2"/>
      </w:pPr>
      <w:r>
        <w:t>2.1 六类核心数据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36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类别</w:t>
            </w:r>
          </w:p>
        </w:tc>
        <w:tc>
          <w:tcPr>
            <w:tcW w:type="dxa" w:w="238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主要场景</w:t>
            </w:r>
          </w:p>
        </w:tc>
        <w:tc>
          <w:tcPr>
            <w:tcW w:type="dxa" w:w="3402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关键标签</w:t>
            </w:r>
          </w:p>
        </w:tc>
        <w:tc>
          <w:tcPr>
            <w:tcW w:type="dxa" w:w="221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公开数据可否直接满足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偏好记忆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输出风格、工具选择、确认习惯、应用偏好、作用域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type、value、scope、confidence、evidence、should_store</w:t>
            </w:r>
          </w:p>
        </w:tc>
        <w:tc>
          <w:tcPr>
            <w:tcW w:type="dxa" w:w="221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不足，必须自建为主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知识记忆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事实、流程、历史案例、可复用模板、失败经验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knowledge_type、content、source、version、valid_time、relations</w:t>
            </w:r>
          </w:p>
        </w:tc>
        <w:tc>
          <w:tcPr>
            <w:tcW w:type="dxa" w:w="221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可辅助，必须加入中文 OS 场景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Tool Result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成功、失败、取消、超时、部分成功、副作用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status、tool、args、result、side_effect、persist_policy</w:t>
            </w:r>
          </w:p>
        </w:tc>
        <w:tc>
          <w:tcPr>
            <w:tcW w:type="dxa" w:w="221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必须真实回放与自建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冲突处理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新旧版本、来源、时间、作用域、用户覆盖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conflict_type、candidates、winner、resolution_reason</w:t>
            </w:r>
          </w:p>
        </w:tc>
        <w:tc>
          <w:tcPr>
            <w:tcW w:type="dxa" w:w="221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基本必须自建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精准遗忘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按对象、类型、时间、作用域删除和重建残留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target_ids、scope、expected_deleted、must_keep</w:t>
            </w:r>
          </w:p>
        </w:tc>
        <w:tc>
          <w:tcPr>
            <w:tcW w:type="dxa" w:w="221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必须自建</w:t>
            </w:r>
          </w:p>
        </w:tc>
      </w:tr>
      <w:tr>
        <w:trPr>
          <w:cantSplit/>
        </w:trPr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端到端会话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跨会话复用、冲突、工具、遗忘、重启恢复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turns、events、expected_memory、expected_response</w:t>
            </w:r>
          </w:p>
        </w:tc>
        <w:tc>
          <w:tcPr>
            <w:tcW w:type="dxa" w:w="221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必须在麒麟环境生成</w:t>
            </w:r>
          </w:p>
        </w:tc>
      </w:tr>
    </w:tbl>
    <w:p>
      <w:pPr>
        <w:spacing w:after="0"/>
      </w:pPr>
    </w:p>
    <w:p>
      <w:pPr>
        <w:pStyle w:val="Heading2"/>
      </w:pPr>
      <w:r>
        <w:t>2.2 三层数据组合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0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层级</w:t>
            </w:r>
          </w:p>
        </w:tc>
        <w:tc>
          <w:tcPr>
            <w:tcW w:type="dxa" w:w="1304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建议占比</w:t>
            </w:r>
          </w:p>
        </w:tc>
        <w:tc>
          <w:tcPr>
            <w:tcW w:type="dxa" w:w="255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作用</w:t>
            </w:r>
          </w:p>
        </w:tc>
        <w:tc>
          <w:tcPr>
            <w:tcW w:type="dxa" w:w="3969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推荐组成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A. 公开基准层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20%～30%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提供外部可比性和通用难度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LongMemEval cleaned、LoCoMo、StableToolBench 静态子集、T2Ranking 或 DuReader Retrieval、少量 MultiWOZ 2.2 / DailyDialog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B. 自建 Gold 层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50%～60%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直接覆盖比赛四项核心指标和遗忘/安全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“麒麟 OS Memory Gold”：偏好、检索、冲突、遗忘、Tool Result、端到端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C. 真实回放层</w:t>
            </w:r>
          </w:p>
        </w:tc>
        <w:tc>
          <w:tcPr>
            <w:tcW w:type="dxa" w:w="130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约20%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证明系统在麒麟 Runtime 中真实联通</w:t>
            </w:r>
          </w:p>
        </w:tc>
        <w:tc>
          <w:tcPr>
            <w:tcW w:type="dxa" w:w="396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真实 Tool Hook、SDK、持久化、重启、索引降级、性能和 UI 演示</w:t>
            </w:r>
          </w:p>
        </w:tc>
      </w:tr>
    </w:tbl>
    <w:p>
      <w:pPr>
        <w:spacing w:after="0"/>
      </w:pPr>
    </w:p>
    <w:p>
      <w:pPr>
        <w:pStyle w:val="Heading2"/>
      </w:pPr>
      <w:r>
        <w:t>2.3 推荐规模（首版封存目标）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0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子数据集</w:t>
            </w:r>
          </w:p>
        </w:tc>
        <w:tc>
          <w:tcPr>
            <w:tcW w:type="dxa" w:w="1814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建议规模</w:t>
            </w:r>
          </w:p>
        </w:tc>
        <w:tc>
          <w:tcPr>
            <w:tcW w:type="dxa" w:w="1814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最少困难样本</w:t>
            </w:r>
          </w:p>
        </w:tc>
        <w:tc>
          <w:tcPr>
            <w:tcW w:type="dxa" w:w="4195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偏好提取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400～500 条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≥25%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至少覆盖显式/隐式、临时/长期、局部/全局、更新/撤销。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知识检索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600～1000 条知识；300～400 查询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≥30%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每个查询含 relevant_ids 和困难负样本。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冲突处理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200～300 组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≥35%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按冲突类型均衡，不可只做“新覆盖旧”。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精准遗忘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150～250 条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≥30%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必须同时标记应删和必须保留。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Tool Result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200～300 条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≥30%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失败、取消、超时、部分成功合计不得低于40%。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端到端会话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50～80 个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≥40%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至少一半包含跨会话或多事件链。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4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67D8"/>
                <w:sz w:val="24"/>
              </w:rPr>
              <w:t>i</w:t>
            </w:r>
          </w:p>
        </w:tc>
        <w:tc>
          <w:tcPr>
            <w:tcW w:type="dxa" w:w="8901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规模调整原则：</w:t>
            </w:r>
            <w:r>
              <w:rPr>
                <w:rFonts w:ascii="Noto Serif CJK SC" w:hAnsi="Noto Serif CJK SC" w:eastAsia="Noto Serif CJK SC"/>
                <w:b w:val="0"/>
                <w:color w:val="111111"/>
                <w:sz w:val="20"/>
              </w:rPr>
              <w:t>当时间或人力不足时，优先降低数量，不降低标注质量、场景覆盖和封存独立性。宁可交付 300 条可靠 Gold 数据，也不要交付 3000 条未经核验的合成数据。</w:t>
            </w:r>
          </w:p>
        </w:tc>
      </w:tr>
    </w:tbl>
    <w:p>
      <w:pPr>
        <w:spacing w:after="0"/>
      </w:pPr>
    </w:p>
    <w:p>
      <w:bookmarkStart w:id="13" w:name="sec_3"/>
      <w:pPr>
        <w:pStyle w:val="Heading1"/>
      </w:pPr>
      <w:r>
        <w:t>3  数据来源查找策略</w:t>
      </w:r>
      <w:bookmarkEnd w:id="13"/>
    </w:p>
    <w:p>
      <w:pPr>
        <w:pStyle w:val="Heading2"/>
      </w:pPr>
      <w:r>
        <w:t>3.1 来源优先级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134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优先级</w:t>
            </w:r>
          </w:p>
        </w:tc>
        <w:tc>
          <w:tcPr>
            <w:tcW w:type="dxa" w:w="3402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来源</w:t>
            </w:r>
          </w:p>
        </w:tc>
        <w:tc>
          <w:tcPr>
            <w:tcW w:type="dxa" w:w="4876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使用规则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P0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比赛方提供资源、项目真实环境、团队受控模拟数据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最贴近赛题；必须脱敏并记录生成条件。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P1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论文作者、大学/企业官方 GitHub、官方项目页、机构数据门户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首选；保存版本、Commit、Release、License 和原始说明。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P2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作者在 Hugging Face / OpenDataLab 等平台的官方镜像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核对发布者、文件数量、哈希和 License 是否与原仓库一致。</w:t>
            </w:r>
          </w:p>
        </w:tc>
      </w:tr>
      <w:tr>
        <w:trPr>
          <w:cantSplit/>
        </w:trPr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P3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Kaggle、网盘、转载仓库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只能作为下载镜像；若无法追溯到 P1/P2，禁止进入正式评测。</w:t>
            </w:r>
          </w:p>
        </w:tc>
      </w:tr>
    </w:tbl>
    <w:p>
      <w:pPr>
        <w:spacing w:after="0"/>
      </w:pPr>
    </w:p>
    <w:p>
      <w:pPr>
        <w:pStyle w:val="Heading2"/>
      </w:pPr>
      <w:r>
        <w:t>3.2 查找渠道与搜索方式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587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渠道</w:t>
            </w:r>
          </w:p>
        </w:tc>
        <w:tc>
          <w:tcPr>
            <w:tcW w:type="dxa" w:w="3458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优先搜索内容</w:t>
            </w:r>
          </w:p>
        </w:tc>
        <w:tc>
          <w:tcPr>
            <w:tcW w:type="dxa" w:w="4365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示例检索式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GitHub</w:t>
            </w:r>
          </w:p>
        </w:tc>
        <w:tc>
          <w:tcPr>
            <w:tcW w:type="dxa" w:w="345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官方仓库、Release、issues、License、数据脚本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"dataset name" official GitHub；site:github.com organization dataset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论文检索</w:t>
            </w:r>
          </w:p>
        </w:tc>
        <w:tc>
          <w:tcPr>
            <w:tcW w:type="dxa" w:w="345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论文、任务定义、标注流程、数据缺陷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dataset name paper benchmark annotation error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Hugging Face</w:t>
            </w:r>
          </w:p>
        </w:tc>
        <w:tc>
          <w:tcPr>
            <w:tcW w:type="dxa" w:w="345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数据卡、字段、版本、下载大小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publisher/dataset；核对 uploader 是否为作者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NIST / Microsoft / Baidu / OMG 等机构页</w:t>
            </w:r>
          </w:p>
        </w:tc>
        <w:tc>
          <w:tcPr>
            <w:tcW w:type="dxa" w:w="345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官方数据、条款、标准和评测脚本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site:nist.gov TREC track qrels；site:microsoft.github.io msmarco</w:t>
            </w:r>
          </w:p>
        </w:tc>
      </w:tr>
      <w:tr>
        <w:trPr>
          <w:cantSplit/>
        </w:trPr>
        <w:tc>
          <w:tcPr>
            <w:tcW w:type="dxa" w:w="158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比赛/项目真实环境</w:t>
            </w:r>
          </w:p>
        </w:tc>
        <w:tc>
          <w:tcPr>
            <w:tcW w:type="dxa" w:w="345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Tool 事件、OS 操作、流程、错误与恢复</w:t>
            </w:r>
          </w:p>
        </w:tc>
        <w:tc>
          <w:tcPr>
            <w:tcW w:type="dxa" w:w="43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按场景脚本生成，禁止采集未授权个人数据</w:t>
            </w:r>
          </w:p>
        </w:tc>
      </w:tr>
    </w:tbl>
    <w:p>
      <w:pPr>
        <w:spacing w:after="0"/>
      </w:pPr>
    </w:p>
    <w:p>
      <w:pPr>
        <w:pStyle w:val="Heading2"/>
      </w:pPr>
      <w:r>
        <w:t>3.3 搜索时必须同时找的五类证据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任务证据：数据集究竟评测什么，和本项目哪个模块对应。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来源证据：原作者、官方组织、论文和项目页能否相互印证。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版本证据：版本号、Commit、Release 日期、修订说明和数据文件列表。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合规证据：License、Terms、是否允许修改、研究使用、展示和再分发。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质量证据：标注方式、人工复核、已知错误、Issues、数据泄漏或评测争议。</w:t>
      </w:r>
    </w:p>
    <w:p>
      <w:pPr>
        <w:pStyle w:val="Heading2"/>
      </w:pPr>
      <w:r>
        <w:t>3.4 候选搜索停止条件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对每个数据任务至少找到 2 个候选；当某一候选同时满足“官方来源可追溯、合规可解释、任务匹配度高、抽样质量通过、规模可控”时即可停止无边界搜索，进入抽样审计。不要因为 AI 还能继续列出更多数据集而无限扩展候选列表。</w:t>
      </w:r>
    </w:p>
    <w:p>
      <w:bookmarkStart w:id="14" w:name="sec_4"/>
      <w:pPr>
        <w:pStyle w:val="Heading1"/>
      </w:pPr>
      <w:r>
        <w:t>4  候选数据集选择与评分</w:t>
      </w:r>
      <w:bookmarkEnd w:id="14"/>
    </w:p>
    <w:p>
      <w:pPr>
        <w:pStyle w:val="Heading2"/>
      </w:pPr>
      <w:r>
        <w:t>4.1 一票否决项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F4D7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否决项</w:t>
            </w:r>
          </w:p>
        </w:tc>
        <w:tc>
          <w:tcPr>
            <w:tcW w:type="dxa" w:w="4535"/>
            <w:shd w:fill="F4D7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判定条件</w:t>
            </w:r>
          </w:p>
        </w:tc>
        <w:tc>
          <w:tcPr>
            <w:tcW w:type="dxa" w:w="3175"/>
            <w:shd w:fill="F4D7D9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来源不可追溯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只找到转载、网盘或二次打包，无法定位原作者/官方说明</w:t>
            </w:r>
          </w:p>
        </w:tc>
        <w:tc>
          <w:tcPr>
            <w:tcW w:type="dxa" w:w="317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淘汰，不进入评分。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License 不明确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无 License，或条款与项目展示/修改/再分发冲突</w:t>
            </w:r>
          </w:p>
        </w:tc>
        <w:tc>
          <w:tcPr>
            <w:tcW w:type="dxa" w:w="317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暂停；Reviewer 核验前不得下载完整数据。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含真实敏感信息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存在可识别个人、密钥、账户、私人文件等且无法可靠脱敏</w:t>
            </w:r>
          </w:p>
        </w:tc>
        <w:tc>
          <w:tcPr>
            <w:tcW w:type="dxa" w:w="317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淘汰或只保留安全合成替代。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无法离线复现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正式评测必须依赖不稳定在线 API 或动态网页状态</w:t>
            </w:r>
          </w:p>
        </w:tc>
        <w:tc>
          <w:tcPr>
            <w:tcW w:type="dxa" w:w="317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仅可用于探索，不得进入封存集。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标签不可解释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答案没有证据、任务定义模糊、抽样分歧极高</w:t>
            </w:r>
          </w:p>
        </w:tc>
        <w:tc>
          <w:tcPr>
            <w:tcW w:type="dxa" w:w="317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淘汰或重新人工标注后作为自建数据。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存在明显泄漏</w:t>
            </w:r>
          </w:p>
        </w:tc>
        <w:tc>
          <w:tcPr>
            <w:tcW w:type="dxa" w:w="45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测试答案、同模板改写或同一会话出现在开发侧</w:t>
            </w:r>
          </w:p>
        </w:tc>
        <w:tc>
          <w:tcPr>
            <w:tcW w:type="dxa" w:w="317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修复切分；无法修复则淘汰。</w:t>
            </w:r>
          </w:p>
        </w:tc>
      </w:tr>
    </w:tbl>
    <w:p>
      <w:pPr>
        <w:spacing w:after="0"/>
      </w:pPr>
    </w:p>
    <w:p>
      <w:pPr>
        <w:pStyle w:val="Heading2"/>
      </w:pPr>
      <w:r>
        <w:t>4.2 100 分质量评分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835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维度</w:t>
            </w:r>
          </w:p>
        </w:tc>
        <w:tc>
          <w:tcPr>
            <w:tcW w:type="dxa" w:w="1134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分值</w:t>
            </w:r>
          </w:p>
        </w:tc>
        <w:tc>
          <w:tcPr>
            <w:tcW w:type="dxa" w:w="5443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高分标准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赛题能力匹配度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20</w:t>
            </w:r>
          </w:p>
        </w:tc>
        <w:tc>
          <w:tcPr>
            <w:tcW w:type="dxa" w:w="54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直接覆盖偏好、检索、冲突、遗忘或 Tool Result，而非仅“与对话有关”。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标签质量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15</w:t>
            </w:r>
          </w:p>
        </w:tc>
        <w:tc>
          <w:tcPr>
            <w:tcW w:type="dxa" w:w="54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Gold Label 清楚、证据可追溯、有人审、分歧可记录。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中文/OS 场景匹配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12</w:t>
            </w:r>
          </w:p>
        </w:tc>
        <w:tc>
          <w:tcPr>
            <w:tcW w:type="dxa" w:w="54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语言、系统、办公、工具和流程场景与产品一致。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来源可信度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10</w:t>
            </w:r>
          </w:p>
        </w:tc>
        <w:tc>
          <w:tcPr>
            <w:tcW w:type="dxa" w:w="54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原作者、官方组织、论文仓库或权威机构。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License 与合规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10</w:t>
            </w:r>
          </w:p>
        </w:tc>
        <w:tc>
          <w:tcPr>
            <w:tcW w:type="dxa" w:w="54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允许本项目所需的研究、修改、展示和内部复现。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可复现性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10</w:t>
            </w:r>
          </w:p>
        </w:tc>
        <w:tc>
          <w:tcPr>
            <w:tcW w:type="dxa" w:w="54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固定版本、脚本、拆分、哈希、无需动态外部服务。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覆盖度与难度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8</w:t>
            </w:r>
          </w:p>
        </w:tc>
        <w:tc>
          <w:tcPr>
            <w:tcW w:type="dxa" w:w="54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正/负/边界/困难样本齐全，错误类型有代表性。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数据干净程度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5</w:t>
            </w:r>
          </w:p>
        </w:tc>
        <w:tc>
          <w:tcPr>
            <w:tcW w:type="dxa" w:w="54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缺失、乱码、重复和标签错误较少。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泄漏风险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5</w:t>
            </w:r>
          </w:p>
        </w:tc>
        <w:tc>
          <w:tcPr>
            <w:tcW w:type="dxa" w:w="54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可按用户/会话/模板族切分并证明无泄漏。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端侧成本</w:t>
            </w:r>
          </w:p>
        </w:tc>
        <w:tc>
          <w:tcPr>
            <w:tcW w:type="dxa" w:w="113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5</w:t>
            </w:r>
          </w:p>
        </w:tc>
        <w:tc>
          <w:tcPr>
            <w:tcW w:type="dxa" w:w="544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可在 WSL 和麒麟虚拟机的存储/时间预算内运行。</w:t>
            </w:r>
          </w:p>
        </w:tc>
      </w:tr>
    </w:tbl>
    <w:p>
      <w:pPr>
        <w:spacing w:after="0"/>
      </w:pPr>
    </w:p>
    <w:p>
      <w:pPr>
        <w:pStyle w:val="Heading2"/>
      </w:pPr>
      <w:r>
        <w:t>4.3 决策阈值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总分</w:t>
            </w:r>
          </w:p>
        </w:tc>
        <w:tc>
          <w:tcPr>
            <w:tcW w:type="dxa" w:w="1928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结论</w:t>
            </w:r>
          </w:p>
        </w:tc>
        <w:tc>
          <w:tcPr>
            <w:tcW w:type="dxa" w:w="5783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允许用途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80～100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核心候选</w:t>
            </w:r>
          </w:p>
        </w:tc>
        <w:tc>
          <w:tcPr>
            <w:tcW w:type="dxa" w:w="57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可进入正式评测，但仍需完成完整 Gate 和封存。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65～79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补充候选</w:t>
            </w:r>
          </w:p>
        </w:tc>
        <w:tc>
          <w:tcPr>
            <w:tcW w:type="dxa" w:w="57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只用于开发、语言多样性、负样本或对照实验。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0～64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不采用</w:t>
            </w:r>
          </w:p>
        </w:tc>
        <w:tc>
          <w:tcPr>
            <w:tcW w:type="dxa" w:w="57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不得进入正式测试；可记录淘汰原因。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任一否决项命中</w:t>
            </w:r>
          </w:p>
        </w:tc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直接暂停/淘汰</w:t>
            </w:r>
          </w:p>
        </w:tc>
        <w:tc>
          <w:tcPr>
            <w:tcW w:type="dxa" w:w="5783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不计算总分，先解决来源或合规问题。</w:t>
            </w:r>
          </w:p>
        </w:tc>
      </w:tr>
    </w:tbl>
    <w:p>
      <w:pPr>
        <w:spacing w:after="0"/>
      </w:pPr>
    </w:p>
    <w:p>
      <w:pPr>
        <w:pStyle w:val="Heading2"/>
      </w:pPr>
      <w:r>
        <w:t>4.4 本项目推荐候选及定位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814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6"/>
              </w:rPr>
              <w:t>数据集/资源</w:t>
            </w:r>
          </w:p>
        </w:tc>
        <w:tc>
          <w:tcPr>
            <w:tcW w:type="dxa" w:w="255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6"/>
              </w:rPr>
              <w:t>本项目定位</w:t>
            </w:r>
          </w:p>
        </w:tc>
        <w:tc>
          <w:tcPr>
            <w:tcW w:type="dxa" w:w="238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6"/>
              </w:rPr>
              <w:t>建议</w:t>
            </w:r>
          </w:p>
        </w:tc>
        <w:tc>
          <w:tcPr>
            <w:tcW w:type="dxa" w:w="2665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6"/>
              </w:rPr>
              <w:t>主要风险或限制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LongMemEval cleaned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长期偏好、信息提取、多会话、时间、知识更新与拒答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核心公开基准；抽取与赛题相关的固定子集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必须固定 cleaned 版本与评测脚本；公开榜单结果不可直接当本项目成绩。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LoCoMo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超长多会话、时间和证据链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小规模高难质检/演示集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会话数量有限；需人工复核抽取样本的答案与证据。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StableToolBench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工具调用任务和稳定回放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使用静态/缓存子集，不依赖实时 API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仍需改造成项目 Tool Result 状态与持久化标签。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T2Ranking 或 DuReader Retrieval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中文语义检索和困难负样本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二选一为主，不下载全量进虚拟机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Web 检索域与 OS 记忆域存在差距。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MultiWOZ 2.2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任务型对话、状态和一次性目标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仅作辅助/负样本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不是长期记忆集，不能直接评偏好版本和遗忘。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DailyDialog / PersonaChat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自然表达、闲聊负样本、显式 persona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少量使用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静态 persona 或日常对话不等于动态偏好。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TREC / MS MARCO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通用检索基线和评测方法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按具体 Track/子集使用；非必选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必须明确具体 Track/版本；MS MARCO 条款和再分发需单独核验。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BPMN 2.0 标准与自建流程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工作流程知识的结构和模板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以 OMG 标准为结构参考，自建中文流程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BPMN 是标准，不是一个可直接写入 PPT 的单一数据集名称。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LoCoMo-Plus（可选）</w:t>
            </w:r>
          </w:p>
        </w:tc>
        <w:tc>
          <w:tcPr>
            <w:tcW w:type="dxa" w:w="255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隐式约束与认知记忆</w:t>
            </w:r>
          </w:p>
        </w:tc>
        <w:tc>
          <w:tcPr>
            <w:tcW w:type="dxa" w:w="238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新兴补充候选，先做可复现和质量审计</w:t>
            </w:r>
          </w:p>
        </w:tc>
        <w:tc>
          <w:tcPr>
            <w:tcW w:type="dxa" w:w="266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6"/>
              </w:rPr>
              <w:t>发布时间较新，不应未经验证直接替换核心集。</w:t>
            </w:r>
          </w:p>
        </w:tc>
      </w:tr>
    </w:tbl>
    <w:p>
      <w:pPr>
        <w:spacing w:after="0"/>
      </w:pPr>
    </w:p>
    <w:p>
      <w:bookmarkStart w:id="15" w:name="sec_5"/>
      <w:pPr>
        <w:pStyle w:val="Heading1"/>
      </w:pPr>
      <w:r>
        <w:t>5  端到端执行 SOP</w:t>
      </w:r>
      <w:bookmarkEnd w:id="15"/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下面每个阶段都有输入、人工操作、AI 辅助、输出和 Gate。执行人应按编号完成，不得只保存 AI 总结而缺少原始来源。</w:t>
      </w:r>
    </w:p>
    <w:p>
      <w:pPr>
        <w:pStyle w:val="Heading2"/>
      </w:pPr>
      <w:r>
        <w:t>阶段0：建立工作区和登记表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输入：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项目仓库、比赛方案、本手册。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人工：创建 data/raw、data/interim、data/processed、data/gold、registry、evidence、reports 等目录；指定数据负责人和 Reviewer。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AI：根据第9章目录检查是否缺项，生成初始 README，但不创建虚假完成记录。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输出：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目录、dataset_registry.csv、worklog 模板、负责人清单。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4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67D8"/>
                <w:sz w:val="24"/>
              </w:rPr>
              <w:t>i</w:t>
            </w:r>
          </w:p>
        </w:tc>
        <w:tc>
          <w:tcPr>
            <w:tcW w:type="dxa" w:w="8901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Gate 0：</w:t>
            </w:r>
            <w:r>
              <w:rPr>
                <w:rFonts w:ascii="Noto Serif CJK SC" w:hAnsi="Noto Serif CJK SC" w:eastAsia="Noto Serif CJK SC"/>
                <w:b w:val="0"/>
                <w:color w:val="111111"/>
                <w:sz w:val="20"/>
              </w:rPr>
              <w:t>目录可用，负责人明确，原始数据目录设为只读/不直接修改。</w:t>
            </w:r>
          </w:p>
        </w:tc>
      </w:tr>
    </w:tbl>
    <w:p>
      <w:pPr>
        <w:spacing w:after="0"/>
      </w:pPr>
    </w:p>
    <w:p>
      <w:pPr>
        <w:pStyle w:val="Heading2"/>
      </w:pPr>
      <w:r>
        <w:t>阶段1：需求—数据映射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输入：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比赛指标、系统模块、演示场景。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人工：确认六类数据和每类指标；列出必须覆盖的场景。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AI：使用 Prompt 01 生成“要求—数据—指标—证据”矩阵；人工逐项修订。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输出：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reports/requirement_data_mapping_v1.md。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4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67D8"/>
                <w:sz w:val="24"/>
              </w:rPr>
              <w:t>i</w:t>
            </w:r>
          </w:p>
        </w:tc>
        <w:tc>
          <w:tcPr>
            <w:tcW w:type="dxa" w:w="8901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Gate 1：</w:t>
            </w:r>
            <w:r>
              <w:rPr>
                <w:rFonts w:ascii="Noto Serif CJK SC" w:hAnsi="Noto Serif CJK SC" w:eastAsia="Noto Serif CJK SC"/>
                <w:b w:val="0"/>
                <w:color w:val="111111"/>
                <w:sz w:val="20"/>
              </w:rPr>
              <w:t>每个比赛要求至少对应一个数据子集和一个可计算指标。</w:t>
            </w:r>
          </w:p>
        </w:tc>
      </w:tr>
    </w:tbl>
    <w:p>
      <w:pPr>
        <w:spacing w:after="0"/>
      </w:pPr>
    </w:p>
    <w:p>
      <w:pPr>
        <w:pStyle w:val="Heading2"/>
      </w:pPr>
      <w:r>
        <w:t>阶段2：候选数据查找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输入：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需求映射矩阵。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人工：为每个任务确定关键词和优先渠道；先找官方来源。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AI：使用 Prompt 02 搜索候选，只输出官方页/论文/仓库及证据，不接受无来源列表。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输出：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每个候选一张登记卡；候选清单不超过 2～4 个/任务。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4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67D8"/>
                <w:sz w:val="24"/>
              </w:rPr>
              <w:t>i</w:t>
            </w:r>
          </w:p>
        </w:tc>
        <w:tc>
          <w:tcPr>
            <w:tcW w:type="dxa" w:w="8901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Gate 2：</w:t>
            </w:r>
            <w:r>
              <w:rPr>
                <w:rFonts w:ascii="Noto Serif CJK SC" w:hAnsi="Noto Serif CJK SC" w:eastAsia="Noto Serif CJK SC"/>
                <w:b w:val="0"/>
                <w:color w:val="111111"/>
                <w:sz w:val="20"/>
              </w:rPr>
              <w:t>所有候选有正式名称、版本线索、官方来源和任务说明。</w:t>
            </w:r>
          </w:p>
        </w:tc>
      </w:tr>
    </w:tbl>
    <w:p>
      <w:pPr>
        <w:spacing w:after="0"/>
      </w:pPr>
    </w:p>
    <w:p>
      <w:pPr>
        <w:pStyle w:val="Heading2"/>
      </w:pPr>
      <w:r>
        <w:t>阶段3：来源、版本与 License 核验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输入：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候选登记卡。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人工：打开官方仓库和 License；保存网页/PDF/README；记录 Commit 或 Release。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AI：使用 Prompt 03/04 提取条款和风险点；AI 输出只作为审查材料。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输出：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evidence/source/&lt;dataset_id&gt;/source_review.md 和原始证据。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4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67D8"/>
                <w:sz w:val="24"/>
              </w:rPr>
              <w:t>i</w:t>
            </w:r>
          </w:p>
        </w:tc>
        <w:tc>
          <w:tcPr>
            <w:tcW w:type="dxa" w:w="8901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Gate 3：</w:t>
            </w:r>
            <w:r>
              <w:rPr>
                <w:rFonts w:ascii="Noto Serif CJK SC" w:hAnsi="Noto Serif CJK SC" w:eastAsia="Noto Serif CJK SC"/>
                <w:b w:val="0"/>
                <w:color w:val="111111"/>
                <w:sz w:val="20"/>
              </w:rPr>
              <w:t>Reviewer 明确标记“允许试用 / 需确认 / 淘汰”。</w:t>
            </w:r>
          </w:p>
        </w:tc>
      </w:tr>
    </w:tbl>
    <w:p>
      <w:pPr>
        <w:spacing w:after="0"/>
      </w:pPr>
    </w:p>
    <w:p>
      <w:pPr>
        <w:pStyle w:val="Heading2"/>
      </w:pPr>
      <w:r>
        <w:t>阶段4：小样本下载与质量审计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输入：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允许试用的候选。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人工：只下载 README、schema 和 50～100 条样本；检查解析、缺失、重复、标签和证据。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AI：使用 Prompt 05 辅助生成审计清单、异常聚类和待人工复核项。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输出：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sample_audit_report.md、异常样本 CSV、抽样哈希。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4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67D8"/>
                <w:sz w:val="24"/>
              </w:rPr>
              <w:t>i</w:t>
            </w:r>
          </w:p>
        </w:tc>
        <w:tc>
          <w:tcPr>
            <w:tcW w:type="dxa" w:w="8901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Gate 4：</w:t>
            </w:r>
            <w:r>
              <w:rPr>
                <w:rFonts w:ascii="Noto Serif CJK SC" w:hAnsi="Noto Serif CJK SC" w:eastAsia="Noto Serif CJK SC"/>
                <w:b w:val="0"/>
                <w:color w:val="111111"/>
                <w:sz w:val="20"/>
              </w:rPr>
              <w:t>样本可解析，标签定义可理解，人工抽检通过，未命中否决项。</w:t>
            </w:r>
          </w:p>
        </w:tc>
      </w:tr>
    </w:tbl>
    <w:p>
      <w:pPr>
        <w:spacing w:after="0"/>
      </w:pPr>
    </w:p>
    <w:p>
      <w:pPr>
        <w:pStyle w:val="Heading2"/>
      </w:pPr>
      <w:r>
        <w:t>阶段5：评分与选型会议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输入：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来源核验和样本审计。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人工：数据负责人和 Reviewer 独立评分，讨论差异并记录理由。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AI：仅整理对比表，不能决定最终采用哪个数据集。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输出：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dataset_selection_decision_v1.md、100 分评分表。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4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67D8"/>
                <w:sz w:val="24"/>
              </w:rPr>
              <w:t>i</w:t>
            </w:r>
          </w:p>
        </w:tc>
        <w:tc>
          <w:tcPr>
            <w:tcW w:type="dxa" w:w="8901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Gate 5：</w:t>
            </w:r>
            <w:r>
              <w:rPr>
                <w:rFonts w:ascii="Noto Serif CJK SC" w:hAnsi="Noto Serif CJK SC" w:eastAsia="Noto Serif CJK SC"/>
                <w:b w:val="0"/>
                <w:color w:val="111111"/>
                <w:sz w:val="20"/>
              </w:rPr>
              <w:t>核心候选≥80分；补充候选≥65分；批准人签字/记录。</w:t>
            </w:r>
          </w:p>
        </w:tc>
      </w:tr>
    </w:tbl>
    <w:p>
      <w:pPr>
        <w:spacing w:after="0"/>
      </w:pPr>
    </w:p>
    <w:p>
      <w:pPr>
        <w:pStyle w:val="Heading2"/>
      </w:pPr>
      <w:r>
        <w:t>阶段6：正式下载、原始冻结和哈希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输入：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批准的候选与下载范围。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人工：下载完整数据或批准的固定子集；保留原文件名；生成 SHA256；原始目录禁止手工编辑。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AI：可生成下载脚本和校验命令，执行必须由人在真实环境完成并保存日志。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输出：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data/raw/&lt;dataset_id&gt;/、manifest.json、sha256sum.txt、download.log。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4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67D8"/>
                <w:sz w:val="24"/>
              </w:rPr>
              <w:t>i</w:t>
            </w:r>
          </w:p>
        </w:tc>
        <w:tc>
          <w:tcPr>
            <w:tcW w:type="dxa" w:w="8901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Gate 6：</w:t>
            </w:r>
            <w:r>
              <w:rPr>
                <w:rFonts w:ascii="Noto Serif CJK SC" w:hAnsi="Noto Serif CJK SC" w:eastAsia="Noto Serif CJK SC"/>
                <w:b w:val="0"/>
                <w:color w:val="111111"/>
                <w:sz w:val="20"/>
              </w:rPr>
              <w:t>再次下载可得到同一版本；文件数量和哈希完整。</w:t>
            </w:r>
          </w:p>
        </w:tc>
      </w:tr>
    </w:tbl>
    <w:p>
      <w:pPr>
        <w:spacing w:after="0"/>
      </w:pPr>
    </w:p>
    <w:p>
      <w:pPr>
        <w:pStyle w:val="Heading2"/>
      </w:pPr>
      <w:r>
        <w:t>阶段7：统一 Schema 转换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输入：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冻结原始数据。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人工：定义字段映射、丢弃规则、匿名化和样本 ID 生成方式。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AI：使用 Prompt 06 生成转换方案或代码草案；Reviewer 审查后运行。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输出：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data/processed/、schema.json、conversion_report.md、转换测试。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4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67D8"/>
                <w:sz w:val="24"/>
              </w:rPr>
              <w:t>i</w:t>
            </w:r>
          </w:p>
        </w:tc>
        <w:tc>
          <w:tcPr>
            <w:tcW w:type="dxa" w:w="8901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Gate 7：</w:t>
            </w:r>
            <w:r>
              <w:rPr>
                <w:rFonts w:ascii="Noto Serif CJK SC" w:hAnsi="Noto Serif CJK SC" w:eastAsia="Noto Serif CJK SC"/>
                <w:b w:val="0"/>
                <w:color w:val="111111"/>
                <w:sz w:val="20"/>
              </w:rPr>
              <w:t>每条 processed 样本可追溯到 raw_id；转换过程无静默丢失。</w:t>
            </w:r>
          </w:p>
        </w:tc>
      </w:tr>
    </w:tbl>
    <w:p>
      <w:pPr>
        <w:spacing w:after="0"/>
      </w:pPr>
    </w:p>
    <w:p>
      <w:pPr>
        <w:pStyle w:val="Heading2"/>
      </w:pPr>
      <w:r>
        <w:t>阶段8：自建 Gold 与双人标注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输入：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OS 场景模板、公开集启发、统一 Schema。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人工：先做 30～50 条试标，修订标注手册；再双人独立标注和第三人裁决。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AI：可生成表达改写、困难负样本和候选标签；最终标签必须人工确认。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输出：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annotation_guideline.md、gold_draft.jsonl、disagreement_log.csv。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4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67D8"/>
                <w:sz w:val="24"/>
              </w:rPr>
              <w:t>i</w:t>
            </w:r>
          </w:p>
        </w:tc>
        <w:tc>
          <w:tcPr>
            <w:tcW w:type="dxa" w:w="8901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Gate 8：</w:t>
            </w:r>
            <w:r>
              <w:rPr>
                <w:rFonts w:ascii="Noto Serif CJK SC" w:hAnsi="Noto Serif CJK SC" w:eastAsia="Noto Serif CJK SC"/>
                <w:b w:val="0"/>
                <w:color w:val="111111"/>
                <w:sz w:val="20"/>
              </w:rPr>
              <w:t>一致性达到团队设定阈值，分歧有裁决，所有标签有 evidence。</w:t>
            </w:r>
          </w:p>
        </w:tc>
      </w:tr>
    </w:tbl>
    <w:p>
      <w:pPr>
        <w:spacing w:after="0"/>
      </w:pPr>
    </w:p>
    <w:p>
      <w:pPr>
        <w:pStyle w:val="Heading2"/>
      </w:pPr>
      <w:r>
        <w:t>阶段9：切分、防泄漏与封存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输入：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批准的公开子集和 Gold 数据。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人工：按用户/会话/模板族切分；开发者不得查看封存答案；生成哈希和只读副本。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AI：使用 Prompt 08/09 辅助近重复、模板族和敏感信息扫描。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输出：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dev、regression、sealed_test、split_manifest、seal_record。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4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67D8"/>
                <w:sz w:val="24"/>
              </w:rPr>
              <w:t>i</w:t>
            </w:r>
          </w:p>
        </w:tc>
        <w:tc>
          <w:tcPr>
            <w:tcW w:type="dxa" w:w="8901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Gate 9：</w:t>
            </w:r>
            <w:r>
              <w:rPr>
                <w:rFonts w:ascii="Noto Serif CJK SC" w:hAnsi="Noto Serif CJK SC" w:eastAsia="Noto Serif CJK SC"/>
                <w:b w:val="0"/>
                <w:color w:val="111111"/>
                <w:sz w:val="20"/>
              </w:rPr>
              <w:t>无用户/会话/模板泄漏；封存集哈希固定；Reviewer 批准。</w:t>
            </w:r>
          </w:p>
        </w:tc>
      </w:tr>
    </w:tbl>
    <w:p>
      <w:pPr>
        <w:spacing w:after="0"/>
      </w:pPr>
    </w:p>
    <w:p>
      <w:pPr>
        <w:pStyle w:val="Heading2"/>
      </w:pPr>
      <w:r>
        <w:t>阶段10：麒麟虚拟机真实回放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输入：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批准固定子集、真实场景脚本、项目成品。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人工：通过 WinSCP/SSH 传入；执行真实 Tool、SDK、检索、遗忘、重启和降级测试。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AI：可分析日志和生成问题分类，但不得用静态检查替代失败的 Runtime Test。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输出：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runtime_logs、raw_metrics、screenshots、environment_manifest。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4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67D8"/>
                <w:sz w:val="24"/>
              </w:rPr>
              <w:t>i</w:t>
            </w:r>
          </w:p>
        </w:tc>
        <w:tc>
          <w:tcPr>
            <w:tcW w:type="dxa" w:w="8901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Gate 10：</w:t>
            </w:r>
            <w:r>
              <w:rPr>
                <w:rFonts w:ascii="Noto Serif CJK SC" w:hAnsi="Noto Serif CJK SC" w:eastAsia="Noto Serif CJK SC"/>
                <w:b w:val="0"/>
                <w:color w:val="111111"/>
                <w:sz w:val="20"/>
              </w:rPr>
              <w:t>命令、环境、原始日志、失败样本和统计脚本齐全。</w:t>
            </w:r>
          </w:p>
        </w:tc>
      </w:tr>
    </w:tbl>
    <w:p>
      <w:pPr>
        <w:spacing w:after="0"/>
      </w:pPr>
    </w:p>
    <w:p>
      <w:pPr>
        <w:pStyle w:val="Heading2"/>
      </w:pPr>
      <w:r>
        <w:t>阶段11：测试报告和数据交接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输入：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全部证据和指标。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人工：核对结果与原始日志，列出未达标项和优化方向。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AI：使用 Prompt 10 生成报告初稿；人工逐项核验数字和结论。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/>
          <w:color w:val="111111"/>
          <w:sz w:val="21"/>
        </w:rPr>
        <w:t>输出：</w:t>
      </w:r>
      <w:r>
        <w:rPr>
          <w:rFonts w:ascii="Noto Serif CJK SC" w:hAnsi="Noto Serif CJK SC" w:eastAsia="Noto Serif CJK SC"/>
          <w:b w:val="0"/>
          <w:color w:val="111111"/>
          <w:sz w:val="21"/>
        </w:rPr>
        <w:t>dataset_report.docx/pdf、data_card.md、reproduction.md、handoff.md。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4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67D8"/>
                <w:sz w:val="24"/>
              </w:rPr>
              <w:t>i</w:t>
            </w:r>
          </w:p>
        </w:tc>
        <w:tc>
          <w:tcPr>
            <w:tcW w:type="dxa" w:w="8901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Gate 11：</w:t>
            </w:r>
            <w:r>
              <w:rPr>
                <w:rFonts w:ascii="Noto Serif CJK SC" w:hAnsi="Noto Serif CJK SC" w:eastAsia="Noto Serif CJK SC"/>
                <w:b w:val="0"/>
                <w:color w:val="111111"/>
                <w:sz w:val="20"/>
              </w:rPr>
              <w:t>另一名同事可从文档复现；报告数字均能回到原始文件。</w:t>
            </w:r>
          </w:p>
        </w:tc>
      </w:tr>
    </w:tbl>
    <w:p>
      <w:pPr>
        <w:spacing w:after="0"/>
      </w:pPr>
    </w:p>
    <w:p>
      <w:bookmarkStart w:id="16" w:name="sec_6"/>
      <w:pPr>
        <w:pStyle w:val="Heading1"/>
      </w:pPr>
      <w:r>
        <w:t>6  数据质量审计方法</w:t>
      </w:r>
      <w:bookmarkEnd w:id="16"/>
    </w:p>
    <w:p>
      <w:pPr>
        <w:pStyle w:val="Heading2"/>
      </w:pPr>
      <w:r>
        <w:t>6.1 自动结构审计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文件能完整读取；编码统一为 UTF-8；压缩包无损坏。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JSON/JSONL/CSV 字段类型稳定；必填字段缺失率可计算。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空文本、极短文本、超长文本、乱码、控制字符和异常 HTML 已统计。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完全重复、近似重复、ID 冲突、孤立引用、无效 evidence 已输出清单。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类别、场景、语言、长度、时间和状态分布已统计，避免严重失衡。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所有 processed_id 都能映射 raw_id、source_file 和 source_version。</w:t>
      </w:r>
    </w:p>
    <w:p>
      <w:pPr>
        <w:pStyle w:val="Heading2"/>
      </w:pPr>
      <w:r>
        <w:t>6.2 语义与标注审计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检查项</w:t>
            </w:r>
          </w:p>
        </w:tc>
        <w:tc>
          <w:tcPr>
            <w:tcW w:type="dxa" w:w="3458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人工问题</w:t>
            </w:r>
          </w:p>
        </w:tc>
        <w:tc>
          <w:tcPr>
            <w:tcW w:type="dxa" w:w="4252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不通过示例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任务一致性</w:t>
            </w:r>
          </w:p>
        </w:tc>
        <w:tc>
          <w:tcPr>
            <w:tcW w:type="dxa" w:w="345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这条数据真的能验证目标能力吗？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把普通问答当作长期偏好；把角色设定当动态偏好。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证据完整性</w:t>
            </w:r>
          </w:p>
        </w:tc>
        <w:tc>
          <w:tcPr>
            <w:tcW w:type="dxa" w:w="345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Gold 是否能从原始文本/事件直接证明？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答案正确但对话中没有对应证据。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边界清晰度</w:t>
            </w:r>
          </w:p>
        </w:tc>
        <w:tc>
          <w:tcPr>
            <w:tcW w:type="dxa" w:w="345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临时指令、长期偏好、知识事实如何区分？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“这次简短回答”被写成永久风格偏好。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冲突可判定</w:t>
            </w:r>
          </w:p>
        </w:tc>
        <w:tc>
          <w:tcPr>
            <w:tcW w:type="dxa" w:w="345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为什么选择某一版本？规则是否一致？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无时间/来源/作用域信息却要求系统决定新旧。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负样本可信</w:t>
            </w:r>
          </w:p>
        </w:tc>
        <w:tc>
          <w:tcPr>
            <w:tcW w:type="dxa" w:w="345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“不应存储/不相关”是否真的不相关？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困难负样本其实包含同义答案。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遗忘可验证</w:t>
            </w:r>
          </w:p>
        </w:tc>
        <w:tc>
          <w:tcPr>
            <w:tcW w:type="dxa" w:w="345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应删和应保留对象是否同时明确？</w:t>
            </w:r>
          </w:p>
        </w:tc>
        <w:tc>
          <w:tcPr>
            <w:tcW w:type="dxa" w:w="425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只检查目标删除，不检查误删其他记忆。</w:t>
            </w:r>
          </w:p>
        </w:tc>
      </w:tr>
    </w:tbl>
    <w:p>
      <w:pPr>
        <w:spacing w:after="0"/>
      </w:pPr>
    </w:p>
    <w:p>
      <w:pPr>
        <w:pStyle w:val="Heading2"/>
      </w:pPr>
      <w:r>
        <w:t>6.3 人工抽样规则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84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数据规模</w:t>
            </w:r>
          </w:p>
        </w:tc>
        <w:tc>
          <w:tcPr>
            <w:tcW w:type="dxa" w:w="2268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最低抽样量</w:t>
            </w:r>
          </w:p>
        </w:tc>
        <w:tc>
          <w:tcPr>
            <w:tcW w:type="dxa" w:w="5159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抽样方式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≤500 条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至少 50 条或 15%，取较大者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按类别分层 + 随机 + 全部异常样本。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501～5000 条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至少 100 条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覆盖主要类别、边界类、困难负样本和异常长度。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&gt;5000 条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至少 200 条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分层抽样；每个关键类别不少于 20 条。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封存测试集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关键类别至少双人复核</w:t>
            </w:r>
          </w:p>
        </w:tc>
        <w:tc>
          <w:tcPr>
            <w:tcW w:type="dxa" w:w="515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Reviewer 不得只看统计结果，必须查看原始样本。</w:t>
            </w:r>
          </w:p>
        </w:tc>
      </w:tr>
    </w:tbl>
    <w:p>
      <w:pPr>
        <w:spacing w:after="0"/>
      </w:pPr>
    </w:p>
    <w:p>
      <w:pPr>
        <w:pStyle w:val="Heading2"/>
      </w:pPr>
      <w:r>
        <w:t>6.4 泄漏审计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同一个 user_id、conversation_id、workflow_id、template_family 必须只属于一个切分。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仅替换姓名、时间、应用名或参数值的样本视为同一模板族。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同一事实的改写不能一部分在开发集、一部分在封存集。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公开集已有测试答案不得出现在 Prompt、规则文件、few-shot 示例或评测器硬编码中。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评测器使用 LLM Judge 时，应保存完整 Judge Prompt、模型版本、温度和多次运行结果。</w:t>
      </w:r>
    </w:p>
    <w:p>
      <w:pPr>
        <w:pStyle w:val="Heading2"/>
      </w:pPr>
      <w:r>
        <w:t>6.5 敏感信息与合规扫描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风险类型</w:t>
            </w:r>
          </w:p>
        </w:tc>
        <w:tc>
          <w:tcPr>
            <w:tcW w:type="dxa" w:w="3402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检查内容</w:t>
            </w:r>
          </w:p>
        </w:tc>
        <w:tc>
          <w:tcPr>
            <w:tcW w:type="dxa" w:w="4309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处理方式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身份信息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姓名、电话、邮箱、证件、精确地址、账号标识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删除、替换为稳定伪标识并保留映射规则，不保留真实映射。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凭证与密钥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API Key、Token、密码、Cookie、私钥、连接串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立即删除并轮换；不得进入 Git 历史。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私人文件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用户文档内容、路径、联系人、聊天记录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仅使用经授权的合成/脱敏场景。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版权/条款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是否允许修改、展示、打包和再分发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按 License/Terms 限制分离保存；禁止把受限原文打包发布。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模型生成风险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AI 生成是否包含真实人名、品牌敏感内容或错误事实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人工审查；必要时重写为受控虚构场景。</w:t>
            </w:r>
          </w:p>
        </w:tc>
      </w:tr>
    </w:tbl>
    <w:p>
      <w:pPr>
        <w:spacing w:after="0"/>
      </w:pPr>
    </w:p>
    <w:p>
      <w:pPr>
        <w:pStyle w:val="Heading2"/>
      </w:pPr>
      <w:r>
        <w:t>6.6 通过标准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一票否决项全部为“否”。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结构解析成功率 100%，必填字段缺失为 0；可选字段缺失有说明。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随机抽样和异常抽样均已人工复核。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任务定义、标签和证据之间没有系统性矛盾。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数据切分无用户/会话/模板族泄漏。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合规证据和 Reviewer 结论已归档。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原始数据与处理数据均有版本和 SHA256。</w:t>
      </w:r>
    </w:p>
    <w:p>
      <w:bookmarkStart w:id="17" w:name="sec_7"/>
      <w:pPr>
        <w:pStyle w:val="Heading1"/>
      </w:pPr>
      <w:r>
        <w:t>7  自建“麒麟 OS Memory Gold”规范</w:t>
      </w:r>
      <w:bookmarkEnd w:id="17"/>
    </w:p>
    <w:p>
      <w:pPr>
        <w:pStyle w:val="Heading2"/>
      </w:pPr>
      <w:r>
        <w:t>7.1 统一基础字段</w:t>
      </w:r>
    </w:p>
    <w:p>
      <w:pPr>
        <w:pStyle w:val="正文"/>
        <w:spacing w:after="40"/>
      </w:pPr>
      <w:r>
        <w:rPr>
          <w:rFonts w:ascii="Noto Sans CJK SC" w:hAnsi="Noto Sans CJK SC" w:eastAsia="Noto Sans CJK SC"/>
          <w:b/>
          <w:color w:val="111111"/>
          <w:sz w:val="19"/>
        </w:rPr>
        <w:t>统一 JSONL 样本骨架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7"/>
        </w:rPr>
        <w:t>{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"sample_id": "pref_000001",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"dataset_version": "kylin_memory_gold_v1.0",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"task_type": "preference_extraction",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"language": "zh-CN",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"user_id": "u_synthetic_001",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"conversation_id": "conv_0001",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"timestamp": "2026-07-29T10:00:00+08:00",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"input": {...},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"gold": {...},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"evidence": [{"source_event_id": "evt_001", "span": "..."}],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"source": "team_authored",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"template_family": "output_style_length_v1",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"annotator_a": "A",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"annotator_b": "B",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"review_status": "approved"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}</w:t>
      </w:r>
    </w:p>
    <w:p>
      <w:pPr>
        <w:pStyle w:val="Heading2"/>
      </w:pPr>
      <w:r>
        <w:t>7.2 偏好提取数据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字段</w:t>
            </w:r>
          </w:p>
        </w:tc>
        <w:tc>
          <w:tcPr>
            <w:tcW w:type="dxa" w:w="2835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含义</w:t>
            </w:r>
          </w:p>
        </w:tc>
        <w:tc>
          <w:tcPr>
            <w:tcW w:type="dxa" w:w="4762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标注规则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preference_type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output_style / tool_choice / safety / app / workflow / other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类型必须来自枚举；新增类型需 Reviewer 批准。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value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偏好值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保持可执行、可比较；避免仅写“喜欢这样”。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scope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global / app / task / session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“这次”“当前文件”通常不是 global。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confidence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high / medium / low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基于证据强度，不由模型概率直接决定。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should_store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是否进入长期偏好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临时指令、闲聊、推测和敏感内容通常为 false。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operation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create / update / revoke / no_op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版本变更必须标注旧值和新值。</w:t>
            </w:r>
          </w:p>
        </w:tc>
      </w:tr>
    </w:tbl>
    <w:p>
      <w:pPr>
        <w:spacing w:after="0"/>
      </w:pP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必须覆盖：显式偏好、隐式重复行为、单次临时要求、相互矛盾表达、撤销偏好、应用级与全局偏好、低置信推断和不可存储敏感偏好。</w:t>
      </w:r>
    </w:p>
    <w:p>
      <w:pPr>
        <w:pStyle w:val="Heading2"/>
      </w:pPr>
      <w:r>
        <w:t>7.3 知识检索数据</w:t>
      </w:r>
    </w:p>
    <w:p>
      <w:pPr>
        <w:pStyle w:val="正文"/>
        <w:spacing w:after="40"/>
      </w:pPr>
      <w:r>
        <w:rPr>
          <w:rFonts w:ascii="Noto Sans CJK SC" w:hAnsi="Noto Sans CJK SC" w:eastAsia="Noto Sans CJK SC"/>
          <w:b/>
          <w:color w:val="111111"/>
          <w:sz w:val="19"/>
        </w:rPr>
        <w:t>检索 Query Gold 示例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7"/>
        </w:rPr>
        <w:t>{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"query_id": "q_0001",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"query": "以后遇到软件安装失败先检查什么？",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"relevant_ids": ["kb_case_001", "kb_workflow_003"],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"relevance": {"kb_case_001": 3, "kb_workflow_003": 2},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"query_type": "workflow_reuse",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"hard_negative_ids": ["kb_case_014", "kb_template_006"],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"expected_answer_points": ["网络/DNS", "依赖与目标平台 Wheel"]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}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每个查询至少有一个相关文档；困难负样本应在词汇上相似但语义不满足。知识文档需记录 source、version、valid_from、valid_to、supersedes 和 sensitivity。</w:t>
      </w:r>
    </w:p>
    <w:p>
      <w:pPr>
        <w:pStyle w:val="Heading2"/>
      </w:pPr>
      <w:r>
        <w:t>7.4 冲突处理数据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冲突类型</w:t>
            </w:r>
          </w:p>
        </w:tc>
        <w:tc>
          <w:tcPr>
            <w:tcW w:type="dxa" w:w="3515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示例</w:t>
            </w:r>
          </w:p>
        </w:tc>
        <w:tc>
          <w:tcPr>
            <w:tcW w:type="dxa" w:w="4195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Gold 决策依据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时间更新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旧偏好“回答详细”→新偏好“以后简短”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新显式、同作用域、时间更晚，旧版本保留可回溯。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作用域冲突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全局中文；某应用要求英文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应用级在该应用内优先，全局不被删除。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来源冲突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用户手动配置 vs 行为推断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显式配置通常优先；规则须在标注手册固定。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知识版本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旧安装流程与新版系统流程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按系统版本、有效期和可信来源选择。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安全冲突</w:t>
            </w:r>
          </w:p>
        </w:tc>
        <w:tc>
          <w:tcPr>
            <w:tcW w:type="dxa" w:w="351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效率偏好要求跳过确认 vs 安全策略要求确认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安全策略优先，并记录拒绝/降级。</w:t>
            </w:r>
          </w:p>
        </w:tc>
      </w:tr>
    </w:tbl>
    <w:p>
      <w:pPr>
        <w:spacing w:after="0"/>
      </w:pPr>
    </w:p>
    <w:p>
      <w:pPr>
        <w:pStyle w:val="Heading2"/>
      </w:pPr>
      <w:r>
        <w:t>7.5 精准遗忘数据</w:t>
      </w:r>
    </w:p>
    <w:p>
      <w:pPr>
        <w:pStyle w:val="正文"/>
        <w:spacing w:after="40"/>
      </w:pPr>
      <w:r>
        <w:rPr>
          <w:rFonts w:ascii="Noto Sans CJK SC" w:hAnsi="Noto Sans CJK SC" w:eastAsia="Noto Sans CJK SC"/>
          <w:b/>
          <w:color w:val="111111"/>
          <w:sz w:val="19"/>
        </w:rPr>
        <w:t>精准遗忘 Gold 示例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7"/>
        </w:rPr>
        <w:t>{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"forget_instruction": "忘记我在 VSCode 中偏好深色主题，但保留其他开发偏好",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"target_ids": ["pref_ui_theme_001"],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"expected_deleted": ["pref_ui_theme_001"],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"must_keep": ["pref_editor_001", "pref_language_001"],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"checkpoints": ["immediate_query", "after_restart", "after_full_reindex"],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 xml:space="preserve">  "expected_residual_count": 0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}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必须同时验证“删对”和“不误删”。所有遗忘样本至少包含一次即时查询；关键样本还需包含服务重启和全量索引重建后的残留检查。</w:t>
      </w:r>
    </w:p>
    <w:p>
      <w:pPr>
        <w:pStyle w:val="Heading2"/>
      </w:pPr>
      <w:r>
        <w:t>7.6 Tool Result 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status</w:t>
            </w:r>
          </w:p>
        </w:tc>
        <w:tc>
          <w:tcPr>
            <w:tcW w:type="dxa" w:w="2835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是否可写入成功知识</w:t>
            </w:r>
          </w:p>
        </w:tc>
        <w:tc>
          <w:tcPr>
            <w:tcW w:type="dxa" w:w="4876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推荐记忆处理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success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视副作用与业务价值决定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可沉淀结果、步骤、可复用模板；敏感结果先过滤。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failed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否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可沉淀失败原因和已验证排查步骤，不得把失败结果写成成功事实。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cancelled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否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记录用户取消与未执行，禁止推断副作用已发生。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timeout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不确定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标记未知状态，必要时触发状态核验。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partial_success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部分</w:t>
            </w:r>
          </w:p>
        </w:tc>
        <w:tc>
          <w:tcPr>
            <w:tcW w:type="dxa" w:w="48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拆分成功与失败部分，不能整体标记成功。</w:t>
            </w:r>
          </w:p>
        </w:tc>
      </w:tr>
    </w:tbl>
    <w:p>
      <w:pPr>
        <w:spacing w:after="0"/>
      </w:pPr>
    </w:p>
    <w:p>
      <w:pPr>
        <w:pStyle w:val="Heading2"/>
      </w:pPr>
      <w:r>
        <w:t>7.7 双人标注与裁决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试标阶段：两人独立标注 30～50 条，禁止先讨论答案；汇总分歧后修订手册。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正式阶段：Annotator A/B 独立提交；脚本只计算一致性，不自动覆盖。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裁决阶段：Reviewer 查看原始证据、两份标签和理由，写出 final_label 与 decision_reason。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修改规则后，必须回溯重审受影响样本；不得只对新数据使用新口径。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LLM 可作为第三意见，但不能替代 Reviewer，且模型、Prompt 和输出要归档。</w:t>
      </w:r>
    </w:p>
    <w:p>
      <w:pPr>
        <w:pStyle w:val="Heading2"/>
      </w:pPr>
      <w:r>
        <w:t>7.8 数据切分与封存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0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集合</w:t>
            </w:r>
          </w:p>
        </w:tc>
        <w:tc>
          <w:tcPr>
            <w:tcW w:type="dxa" w:w="136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建议占比</w:t>
            </w:r>
          </w:p>
        </w:tc>
        <w:tc>
          <w:tcPr>
            <w:tcW w:type="dxa" w:w="306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可见范围</w:t>
            </w:r>
          </w:p>
        </w:tc>
        <w:tc>
          <w:tcPr>
            <w:tcW w:type="dxa" w:w="3288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dev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50%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开发人员可见全部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开发、调参、规则修订。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regression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20%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开发可运行，答案按团队权限控制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每次 PR 的稳定回归。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sealed_test</w:t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30%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仅 Reviewer/评测负责人持有答案</w:t>
            </w:r>
          </w:p>
        </w:tc>
        <w:tc>
          <w:tcPr>
            <w:tcW w:type="dxa" w:w="328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正式指标和最终报告。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4"/>
            <w:shd w:fill="FFF1F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71920"/>
              <w:left w:val="single" w:sz="8" w:color="D71920"/>
              <w:bottom w:val="single" w:sz="8" w:color="D71920"/>
              <w:right w:val="single" w:sz="8" w:color="D71920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D71920"/>
                <w:sz w:val="24"/>
              </w:rPr>
              <w:t>!</w:t>
            </w:r>
          </w:p>
        </w:tc>
        <w:tc>
          <w:tcPr>
            <w:tcW w:type="dxa" w:w="8901"/>
            <w:shd w:fill="FFF1F1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D71920"/>
              <w:left w:val="single" w:sz="8" w:color="D71920"/>
              <w:bottom w:val="single" w:sz="8" w:color="D71920"/>
              <w:right w:val="single" w:sz="8" w:color="D71920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封存纪律：</w:t>
            </w:r>
            <w:r>
              <w:rPr>
                <w:rFonts w:ascii="Noto Serif CJK SC" w:hAnsi="Noto Serif CJK SC" w:eastAsia="Noto Serif CJK SC"/>
                <w:b w:val="0"/>
                <w:color w:val="111111"/>
                <w:sz w:val="20"/>
              </w:rPr>
              <w:t>系统未达标时只能修代码、索引、算法或资源配置；不得删除失败样本、改 Gold Label 或把失败样本移出 sealed_test。</w:t>
            </w:r>
          </w:p>
        </w:tc>
      </w:tr>
    </w:tbl>
    <w:p>
      <w:pPr>
        <w:spacing w:after="0"/>
      </w:pPr>
    </w:p>
    <w:p>
      <w:bookmarkStart w:id="18" w:name="sec_8"/>
      <w:pPr>
        <w:pStyle w:val="Heading1"/>
      </w:pPr>
      <w:r>
        <w:t>8  AI 工具协作规范与标准 Prompt</w:t>
      </w:r>
      <w:bookmarkEnd w:id="18"/>
    </w:p>
    <w:p>
      <w:pPr>
        <w:pStyle w:val="Heading2"/>
      </w:pPr>
      <w:r>
        <w:t>8.1 人工、AI、Reviewer 的职责边界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474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环节</w:t>
            </w:r>
          </w:p>
        </w:tc>
        <w:tc>
          <w:tcPr>
            <w:tcW w:type="dxa" w:w="2268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人工执行人</w:t>
            </w:r>
          </w:p>
        </w:tc>
        <w:tc>
          <w:tcPr>
            <w:tcW w:type="dxa" w:w="2608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AI 可辅助</w:t>
            </w:r>
          </w:p>
        </w:tc>
        <w:tc>
          <w:tcPr>
            <w:tcW w:type="dxa" w:w="306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Reviewer 必做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需求拆解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确认指标和场景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生成矩阵草案、发现遗漏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批准任务边界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公开搜索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打开并保存官方来源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检索、对比、摘录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核对来源可信度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License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读取原文、记录用途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提取条款和风险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作出项目内允许/禁止结论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数据清洗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运行脚本、检查异常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生成代码草案、统计异常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审查字段丢失和规则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合成/改写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设定模板和边界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生成表达和困难负样本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批准是否进入候选池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Gold Label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双人独立标注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提供第三意见、找矛盾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最终裁决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Runtime Test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在麒麟虚拟机真实执行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分析日志、聚类失败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确认未被静态检查替代</w:t>
            </w:r>
          </w:p>
        </w:tc>
      </w:tr>
      <w:tr>
        <w:trPr>
          <w:cantSplit/>
        </w:trPr>
        <w:tc>
          <w:tcPr>
            <w:tcW w:type="dxa" w:w="147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报告</w:t>
            </w:r>
          </w:p>
        </w:tc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核对每个数字</w:t>
            </w:r>
          </w:p>
        </w:tc>
        <w:tc>
          <w:tcPr>
            <w:tcW w:type="dxa" w:w="260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生成初稿和图表说明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核对证据链并签发</w:t>
            </w:r>
          </w:p>
        </w:tc>
      </w:tr>
    </w:tbl>
    <w:p>
      <w:pPr>
        <w:spacing w:after="0"/>
      </w:pPr>
    </w:p>
    <w:p>
      <w:pPr>
        <w:pStyle w:val="Heading2"/>
      </w:pPr>
      <w:r>
        <w:t>8.2 AI 输出最低要求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明确区分“来源直接陈述”和“AI 推断”。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每个外部事实提供官方链接、文件路径或论文定位。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不确定时标注“需人工确认”，不得用模糊语气伪装确定。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输出结构化表格，并给出淘汰理由和缺失证据。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生成代码时包含输入/输出、错误处理、日志、测试和不修改 raw 的约束。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分析指标时引用原始结果文件，不凭截图或口头数字。</w:t>
      </w:r>
    </w:p>
    <w:p>
      <w:pPr>
        <w:pStyle w:val="Heading2"/>
      </w:pPr>
      <w:r>
        <w:t>8.3 推荐的 AI 工作链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每项任务建议使用“一个执行 Prompt + 一个审查 Prompt”。执行 AI 负责搜集或生成草案，审查 AI 负责范围核验、证据核验、假实现检查、泄漏与安全检查。两者输出都由人决定是否采用。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170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工作包</w:t>
            </w:r>
          </w:p>
        </w:tc>
        <w:tc>
          <w:tcPr>
            <w:tcW w:type="dxa" w:w="170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执行 Prompt</w:t>
            </w:r>
          </w:p>
        </w:tc>
        <w:tc>
          <w:tcPr>
            <w:tcW w:type="dxa" w:w="1814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审查 Prompt</w:t>
            </w:r>
          </w:p>
        </w:tc>
        <w:tc>
          <w:tcPr>
            <w:tcW w:type="dxa" w:w="4195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人工动作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需求映射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Prompt 01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Prompt 01-R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确认比赛要求没有被简化。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候选搜索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Prompt 02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Prompt 02-R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打开官方页并保存。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来源/License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Prompt 03/04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Prompt 04-R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阅读原文并审批。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样本审计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Prompt 05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Prompt 05-R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抽样复核异常。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转换代码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Prompt 06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Prompt 06-R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在 WSL 运行并保存日志。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合成候选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Prompt 07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Prompt 07-R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双人标注，不直接作为 Gold。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泄漏/安全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Prompt 08/09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Prompt 09-R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检查命中样本。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报告</w:t>
            </w:r>
          </w:p>
        </w:tc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Prompt 10</w:t>
            </w:r>
          </w:p>
        </w:tc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Prompt 10-R</w:t>
            </w:r>
          </w:p>
        </w:tc>
        <w:tc>
          <w:tcPr>
            <w:tcW w:type="dxa" w:w="419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逐项核对数字与结论。</w:t>
            </w:r>
          </w:p>
        </w:tc>
      </w:tr>
    </w:tbl>
    <w:p>
      <w:pPr>
        <w:spacing w:after="0"/>
      </w:pPr>
    </w:p>
    <w:p>
      <w:bookmarkStart w:id="19" w:name="sec_9"/>
      <w:pPr>
        <w:pStyle w:val="Heading1"/>
      </w:pPr>
      <w:r>
        <w:t>9  目录结构、命名与版本管理</w:t>
      </w:r>
      <w:bookmarkEnd w:id="19"/>
    </w:p>
    <w:p>
      <w:pPr>
        <w:pStyle w:val="正文"/>
        <w:spacing w:after="40"/>
      </w:pPr>
      <w:r>
        <w:rPr>
          <w:rFonts w:ascii="Noto Sans CJK SC" w:hAnsi="Noto Sans CJK SC" w:eastAsia="Noto Sans CJK SC"/>
          <w:b/>
          <w:color w:val="111111"/>
          <w:sz w:val="19"/>
        </w:rPr>
        <w:t>推荐目录结构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7"/>
        </w:rPr>
        <w:t>data/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raw/                       # 原始下载，只读，不修改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│   └── &lt;dataset_id&gt;/&lt;version&gt;/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interim/                   # 临时解析、抽样和异常清单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processed/                 # 统一 Schema 数据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gold/                      # 人工批准的 Gold 数据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│   ├── dev/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│   ├── regression/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│   └── sealed_test/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runtime_replay/            # 麒麟虚拟机真实回放输入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registry/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dataset_registry.csv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source_registry.csv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license_registry.csv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└── split_manifest.csv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evidence/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source/                    # 官方页面、论文、License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ai_outputs/                # 原 Prompt + AI 输出 + 采用结论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audit/                     # 抽样、质量、泄漏、安全审计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runtime/                   # 虚拟机命令、日志、截图、环境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└── hashes/                    # SHA256 和封存记录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reports/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requirement_data_mapping_v1.md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dataset_selection_decision_v1.md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data_card_v1.md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evaluation_report_v1.docx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└── handoff_v1.md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scripts/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download/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validate/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convert/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├── split/</w:t>
        <w:br/>
      </w:r>
      <w:r>
        <w:rPr>
          <w:rFonts w:ascii="Noto Sans Mono CJK SC" w:hAnsi="Noto Sans Mono CJK SC" w:eastAsia="Noto Sans Mono CJK SC"/>
          <w:b w:val="0"/>
          <w:color w:val="111111"/>
          <w:sz w:val="17"/>
        </w:rPr>
        <w:t>└── evaluate/</w:t>
      </w:r>
    </w:p>
    <w:p>
      <w:pPr>
        <w:pStyle w:val="Heading2"/>
      </w:pPr>
      <w:r>
        <w:t>9.1 dataset_id 命名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类型</w:t>
            </w:r>
          </w:p>
        </w:tc>
        <w:tc>
          <w:tcPr>
            <w:tcW w:type="dxa" w:w="2835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示例</w:t>
            </w:r>
          </w:p>
        </w:tc>
        <w:tc>
          <w:tcPr>
            <w:tcW w:type="dxa" w:w="4762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规则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公开集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longmemeval_cleaned_2025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正式名称小写下划线 + 明确版本/年份。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自建偏好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kmg_pref_v1_0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kmg（Kylin Memory Gold）+ 类型 + 版本。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真实回放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kmg_runtime_tool_v1_0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标明 runtime 和事件类型。</w:t>
            </w:r>
          </w:p>
        </w:tc>
      </w:tr>
      <w:tr>
        <w:trPr>
          <w:cantSplit/>
        </w:trPr>
        <w:tc>
          <w:tcPr>
            <w:tcW w:type="dxa" w:w="181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封存包</w:t>
            </w:r>
          </w:p>
        </w:tc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kmg_sealed_20260729_sha256</w:t>
            </w:r>
          </w:p>
        </w:tc>
        <w:tc>
          <w:tcPr>
            <w:tcW w:type="dxa" w:w="476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日期 + 哈希清单，不在名称中写“final_final”。</w:t>
            </w:r>
          </w:p>
        </w:tc>
      </w:tr>
    </w:tbl>
    <w:p>
      <w:pPr>
        <w:spacing w:after="0"/>
      </w:pPr>
    </w:p>
    <w:p>
      <w:pPr>
        <w:pStyle w:val="Heading2"/>
      </w:pPr>
      <w:r>
        <w:t>9.2 数据版本规则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MAJOR：Schema、任务定义或 Gold 规则发生不兼容变化。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MINOR：新增样本或新增兼容字段，不改变旧样本含义。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PATCH：修复明确错误，不改变总体任务定义；必须保留修复清单。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任何封存测试集变化都至少提升 PATCH，并重新生成哈希、报告和封存审批。</w:t>
      </w:r>
    </w:p>
    <w:p>
      <w:pPr>
        <w:pStyle w:val="ListBullet"/>
        <w:spacing w:after="60" w:line="300" w:lineRule="auto"/>
        <w:ind w:left="369" w:hanging="142"/>
      </w:pPr>
      <w:r>
        <w:rPr>
          <w:rFonts w:ascii="Noto Serif CJK SC" w:hAnsi="Noto Serif CJK SC" w:eastAsia="Noto Serif CJK SC"/>
          <w:b w:val="0"/>
          <w:color w:val="111111"/>
          <w:sz w:val="20"/>
        </w:rPr>
        <w:t>原始外部数据版本必须记录 upstream_version / commit / downloaded_at。</w:t>
      </w:r>
    </w:p>
    <w:p>
      <w:pPr>
        <w:pStyle w:val="Heading2"/>
      </w:pPr>
      <w:r>
        <w:t>9.3 Git 与大文件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代码、Schema、登记表、样本清单、转换脚本和小型 Gold 数据可进入 Git；体积较大的原始数据根据仓库策略使用 Git LFS、制品库或外部只读目录。无论采用哪种方式，仓库中必须保留下载方法、官方来源、文件清单和 SHA256。</w:t>
      </w:r>
    </w:p>
    <w:p>
      <w:bookmarkStart w:id="20" w:name="sec_10"/>
      <w:pPr>
        <w:pStyle w:val="Heading1"/>
      </w:pPr>
      <w:r>
        <w:t>10  角色分工、进度跟踪与失败路由</w:t>
      </w:r>
      <w:bookmarkEnd w:id="20"/>
    </w:p>
    <w:p>
      <w:pPr>
        <w:pStyle w:val="Heading2"/>
      </w:pPr>
      <w:r>
        <w:t>10.1 推荐角色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角色</w:t>
            </w:r>
          </w:p>
        </w:tc>
        <w:tc>
          <w:tcPr>
            <w:tcW w:type="dxa" w:w="4139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主要责任</w:t>
            </w:r>
          </w:p>
        </w:tc>
        <w:tc>
          <w:tcPr>
            <w:tcW w:type="dxa" w:w="3572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不能兼任/注意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Data Owner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需求映射、候选选型、进度和最终数据包</w:t>
            </w:r>
          </w:p>
        </w:tc>
        <w:tc>
          <w:tcPr>
            <w:tcW w:type="dxa" w:w="35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不能单独批准自己完成的封存。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Collector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官方来源、下载、版本、License 证据</w:t>
            </w:r>
          </w:p>
        </w:tc>
        <w:tc>
          <w:tcPr>
            <w:tcW w:type="dxa" w:w="35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不得只提供 AI 摘要。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Data Engineer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校验、转换、统计、切分、哈希和复现脚本</w:t>
            </w:r>
          </w:p>
        </w:tc>
        <w:tc>
          <w:tcPr>
            <w:tcW w:type="dxa" w:w="35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不得修改 raw 数据掩盖错误。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Annotator A/B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独立标注、理由和分歧记录</w:t>
            </w:r>
          </w:p>
        </w:tc>
        <w:tc>
          <w:tcPr>
            <w:tcW w:type="dxa" w:w="35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正式标注前不得共享答案。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Reviewer</w:t>
            </w:r>
          </w:p>
        </w:tc>
        <w:tc>
          <w:tcPr>
            <w:tcW w:type="dxa" w:w="413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来源/合规/质量/Gate/封存/指标证据审批</w:t>
            </w:r>
          </w:p>
        </w:tc>
        <w:tc>
          <w:tcPr>
            <w:tcW w:type="dxa" w:w="357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必须查看样本和原始证据。</w:t>
            </w:r>
          </w:p>
        </w:tc>
      </w:tr>
    </w:tbl>
    <w:p>
      <w:pPr>
        <w:spacing w:after="0"/>
      </w:pPr>
    </w:p>
    <w:p>
      <w:pPr>
        <w:pStyle w:val="Heading2"/>
      </w:pPr>
      <w:r>
        <w:t>10.2 进度状态定义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70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状态</w:t>
            </w:r>
          </w:p>
        </w:tc>
        <w:tc>
          <w:tcPr>
            <w:tcW w:type="dxa" w:w="3402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允许含义</w:t>
            </w:r>
          </w:p>
        </w:tc>
        <w:tc>
          <w:tcPr>
            <w:tcW w:type="dxa" w:w="4309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进入条件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待处理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尚未开始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已有负责人和明确输入。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进行中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正在执行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工作日志记录当前动作和阻塞。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待审查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执行产物已完成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证据、日志、评分/报告齐全。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已批准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Reviewer 允许进入下一 Gate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审查意见已关闭或记录例外。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已封存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版本固定，不允许无记录修改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哈希、切分、权限和封存记录齐全。</w:t>
            </w:r>
          </w:p>
        </w:tc>
      </w:tr>
      <w:tr>
        <w:trPr>
          <w:cantSplit/>
        </w:trPr>
        <w:tc>
          <w:tcPr>
            <w:tcW w:type="dxa" w:w="170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已淘汰</w:t>
            </w:r>
          </w:p>
        </w:tc>
        <w:tc>
          <w:tcPr>
            <w:tcW w:type="dxa" w:w="340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不再使用</w:t>
            </w:r>
          </w:p>
        </w:tc>
        <w:tc>
          <w:tcPr>
            <w:tcW w:type="dxa" w:w="4309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写明原因，保留证据避免重复调查。</w:t>
            </w:r>
          </w:p>
        </w:tc>
      </w:tr>
    </w:tbl>
    <w:p>
      <w:pPr>
        <w:spacing w:after="0"/>
      </w:pPr>
    </w:p>
    <w:p>
      <w:pPr>
        <w:pStyle w:val="Heading2"/>
      </w:pPr>
      <w:r>
        <w:t>10.3 推荐里程碑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2268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里程碑</w:t>
            </w:r>
          </w:p>
        </w:tc>
        <w:tc>
          <w:tcPr>
            <w:tcW w:type="dxa" w:w="272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建议人员/时间</w:t>
            </w:r>
          </w:p>
        </w:tc>
        <w:tc>
          <w:tcPr>
            <w:tcW w:type="dxa" w:w="4422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完成标志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M1 需求与候选清单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1～2人，0.5～1天</w:t>
            </w:r>
          </w:p>
        </w:tc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映射矩阵和每任务2～4个候选。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M2 来源/License/抽样审计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2人，1～2天</w:t>
            </w:r>
          </w:p>
        </w:tc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官方证据、50～100条样本审计、评分。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M3 公开子集转换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1～2人，1～2天</w:t>
            </w:r>
          </w:p>
        </w:tc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统一 Schema、测试、哈希和转换报告。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M4 自建 Gold 试标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2标注+1 Reviewer，1天</w:t>
            </w:r>
          </w:p>
        </w:tc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30～50条试标、一致性和手册修订。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M5 正式 Gold 与封存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3～4人，按规模3～7天</w:t>
            </w:r>
          </w:p>
        </w:tc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双标、裁决、切分、泄漏审计、封存。</w:t>
            </w:r>
          </w:p>
        </w:tc>
      </w:tr>
      <w:tr>
        <w:trPr>
          <w:cantSplit/>
        </w:trPr>
        <w:tc>
          <w:tcPr>
            <w:tcW w:type="dxa" w:w="226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M6 麒麟回放与报告</w:t>
            </w:r>
          </w:p>
        </w:tc>
        <w:tc>
          <w:tcPr>
            <w:tcW w:type="dxa" w:w="272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开发+Reviewer，1～2天</w:t>
            </w:r>
          </w:p>
        </w:tc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Runtime 原始日志、指标和可复现报告。</w:t>
            </w:r>
          </w:p>
        </w:tc>
      </w:tr>
    </w:tbl>
    <w:p>
      <w:pPr>
        <w:spacing w:after="0"/>
      </w:pPr>
    </w:p>
    <w:p>
      <w:pPr>
        <w:pStyle w:val="Heading2"/>
      </w:pPr>
      <w:r>
        <w:t>10.4 失败路由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928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失败情况</w:t>
            </w:r>
          </w:p>
        </w:tc>
        <w:tc>
          <w:tcPr>
            <w:tcW w:type="dxa" w:w="306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禁止做法</w:t>
            </w:r>
          </w:p>
        </w:tc>
        <w:tc>
          <w:tcPr>
            <w:tcW w:type="dxa" w:w="4422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正确路由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官方链接失效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直接采用第三方网盘文件</w:t>
            </w:r>
          </w:p>
        </w:tc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通过论文、Release、机构镜像交叉定位；仍无法确认则淘汰。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License 模糊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让 AI 判断“应该没问题”</w:t>
            </w:r>
          </w:p>
        </w:tc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暂停下载/再分发，交 Reviewer 或指导老师确认。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数据过大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全部导入麒麟虚拟机</w:t>
            </w:r>
          </w:p>
        </w:tc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在 WSL 分层抽样并冻结子集，只传评测所需部分。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标签分歧高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让 LLM 批量决定</w:t>
            </w:r>
          </w:p>
        </w:tc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修订定义、重新试标、第三人裁决。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Runtime 命令失败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用静态检查替代并写成通过</w:t>
            </w:r>
          </w:p>
        </w:tc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记录失败证据，修环境/权限后重跑；不能重跑则标记未验证。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指标未达标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删除失败样本或修改 Gold</w:t>
            </w:r>
          </w:p>
        </w:tc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分析错误类型，修算法/索引/配置后在同一封存集重测。</w:t>
            </w:r>
          </w:p>
        </w:tc>
      </w:tr>
      <w:tr>
        <w:trPr>
          <w:cantSplit/>
        </w:trPr>
        <w:tc>
          <w:tcPr>
            <w:tcW w:type="dxa" w:w="1928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敏感信息命中</w:t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仅在报告中打码，原文件继续保留</w:t>
            </w:r>
          </w:p>
        </w:tc>
        <w:tc>
          <w:tcPr>
            <w:tcW w:type="dxa" w:w="442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从数据链路中移除并检查 Git 历史、备份和索引残留。</w:t>
            </w:r>
          </w:p>
        </w:tc>
      </w:tr>
    </w:tbl>
    <w:p>
      <w:pPr>
        <w:spacing w:after="0"/>
      </w:pPr>
    </w:p>
    <w:p>
      <w:bookmarkStart w:id="21" w:name="sec_11"/>
      <w:pPr>
        <w:pStyle w:val="Heading1"/>
      </w:pPr>
      <w:r>
        <w:t>11  最终验收与交付清单</w:t>
      </w:r>
      <w:bookmarkEnd w:id="21"/>
    </w:p>
    <w:p>
      <w:pPr>
        <w:pStyle w:val="Heading2"/>
      </w:pPr>
      <w:r>
        <w:t>11.1 数据包验收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公开数据均有正式名称、版本/Commit、官方来源、License/Terms 证据和 SHA256。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原始数据未被修改，处理数据可通过脚本从 raw 重建。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六类核心数据均有统一 Schema、样本量和覆盖统计。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自建 Gold 完成双人标注、分歧裁决和标注手册。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dev / regression / sealed_test 按用户、会话和模板族隔离。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封存测试集答案权限受控，哈希已记录。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敏感信息、凭证、个人信息、版权与再分发风险均已审计。</w:t>
      </w:r>
    </w:p>
    <w:p>
      <w:pPr>
        <w:pStyle w:val="Heading2"/>
      </w:pPr>
      <w:r>
        <w:t>11.2 评测证据验收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偏好提取、检索召回、冲突处理、遗忘和延迟均有固定输入和原始结果。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指标脚本、参数、环境、模型/SDK 版本、索引配置和随机种子已记录。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延迟报告至少包含 P50/P95，并说明冷/热启动和数据规模。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失败样本未被隐藏，报告包含错误类型、数量和优化方向。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麒麟虚拟机 Runtime Test 有命令、日志、截图和环境清单。</w:t>
      </w:r>
    </w:p>
    <w:p>
      <w:pPr>
        <w:pStyle w:val="正文"/>
        <w:spacing w:after="60"/>
        <w:ind w:left="255" w:hanging="255"/>
      </w:pPr>
      <w:r>
        <w:rPr>
          <w:rFonts w:ascii="Noto Serif CJK SC" w:hAnsi="Noto Serif CJK SC" w:eastAsia="Noto Serif CJK SC"/>
          <w:b w:val="0"/>
          <w:color w:val="111111"/>
          <w:sz w:val="20"/>
        </w:rPr>
        <w:t>□ 任何 LLM Judge 的 Prompt、模型版本和输出已归档。</w:t>
      </w:r>
    </w:p>
    <w:p>
      <w:pPr>
        <w:pStyle w:val="Heading2"/>
      </w:pPr>
      <w:r>
        <w:t>11.3 交接包目录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835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交付件</w:t>
            </w:r>
          </w:p>
        </w:tc>
        <w:tc>
          <w:tcPr>
            <w:tcW w:type="dxa" w:w="6576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必需内容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01_dataset_registry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候选、来源、License、评分、状态、负责人和 Reviewer。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02_raw_manifest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原始文件列表、版本、下载日志和 SHA256。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03_processed_schema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统一 Schema、字段映射、转换脚本和测试。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04_kylin_memory_gold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Gold 数据、标注手册、分歧和裁决记录。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05_split_and_seal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切分规则、泄漏报告、封存哈希和权限说明。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06_runtime_evidence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麒麟环境、命令、日志、截图、原始指标。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07_evaluation_report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数据说明、实验设计、指标、失败分析和复现方法。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08_handoff</w:t>
            </w:r>
          </w:p>
        </w:tc>
        <w:tc>
          <w:tcPr>
            <w:tcW w:type="dxa" w:w="657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已完成、未完成、风险、下一步和联系人。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4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67D8"/>
                <w:sz w:val="24"/>
              </w:rPr>
              <w:t>i</w:t>
            </w:r>
          </w:p>
        </w:tc>
        <w:tc>
          <w:tcPr>
            <w:tcW w:type="dxa" w:w="8901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最终判断：</w:t>
            </w:r>
            <w:r>
              <w:rPr>
                <w:rFonts w:ascii="Noto Serif CJK SC" w:hAnsi="Noto Serif CJK SC" w:eastAsia="Noto Serif CJK SC"/>
                <w:b w:val="0"/>
                <w:color w:val="111111"/>
                <w:sz w:val="20"/>
              </w:rPr>
              <w:t>当另一名未参与数据制作的同事，能够仅凭交接包重新下载/读取数据、运行转换、复现评测并解释每个指标时，数据工作才算完成。</w:t>
            </w:r>
          </w:p>
        </w:tc>
      </w:tr>
    </w:tbl>
    <w:p>
      <w:pPr>
        <w:spacing w:after="0"/>
      </w:pPr>
    </w:p>
    <w:p>
      <w:bookmarkStart w:id="22" w:name="app_a"/>
      <w:pPr>
        <w:pStyle w:val="Heading1"/>
      </w:pPr>
      <w:r>
        <w:t>附录A  候选数据集登记卡模板</w:t>
      </w:r>
      <w:bookmarkEnd w:id="22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2494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字段</w:t>
            </w:r>
          </w:p>
        </w:tc>
        <w:tc>
          <w:tcPr>
            <w:tcW w:type="dxa" w:w="6917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dataset_id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唯一 ID：________________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正式名称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任务对应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□偏好  □检索  □冲突  □遗忘  □Tool  □端到端  □辅助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官方发布者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官方仓库/项目页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论文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版本 / Commit / Release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License / Terms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名称：__________；证据文件：__________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允许用途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□研究  □修改  □内部演示  □公开展示  □再分发  □待确认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数据规模与格式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标签/证据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已知问题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抽样审计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样本数：____；问题数：____；报告：__________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质量评分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____ / 100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结论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□核心  □补充  □仅开发  □待确认  □淘汰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负责人 / Reviewer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________________ / ________________</w:t>
            </w:r>
          </w:p>
        </w:tc>
      </w:tr>
      <w:tr>
        <w:trPr>
          <w:cantSplit/>
        </w:trPr>
        <w:tc>
          <w:tcPr>
            <w:tcW w:type="dxa" w:w="249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证据目录</w:t>
            </w:r>
          </w:p>
        </w:tc>
        <w:tc>
          <w:tcPr>
            <w:tcW w:type="dxa" w:w="691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8"/>
              </w:rPr>
              <w:t>evidence/source/________________</w:t>
            </w:r>
          </w:p>
        </w:tc>
      </w:tr>
    </w:tbl>
    <w:p>
      <w:pPr>
        <w:spacing w:after="0"/>
      </w:pPr>
    </w:p>
    <w:p>
      <w:bookmarkStart w:id="23" w:name="app_b"/>
      <w:pPr>
        <w:pStyle w:val="Heading1"/>
      </w:pPr>
      <w:r>
        <w:t>附录B  100 分质量评分表</w:t>
      </w:r>
      <w:bookmarkEnd w:id="23"/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5"/>
        <w:gridCol w:w="1905"/>
        <w:gridCol w:w="1905"/>
        <w:gridCol w:w="1905"/>
        <w:gridCol w:w="1905"/>
      </w:tblGrid>
      <w:tr>
        <w:trPr>
          <w:tblHeader w:val="true"/>
        </w:trPr>
        <w:tc>
          <w:tcPr>
            <w:tcW w:type="dxa" w:w="2835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评分项</w:t>
            </w:r>
          </w:p>
        </w:tc>
        <w:tc>
          <w:tcPr>
            <w:tcW w:type="dxa" w:w="907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满分</w:t>
            </w:r>
          </w:p>
        </w:tc>
        <w:tc>
          <w:tcPr>
            <w:tcW w:type="dxa" w:w="1247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自评分</w:t>
            </w:r>
          </w:p>
        </w:tc>
        <w:tc>
          <w:tcPr>
            <w:tcW w:type="dxa" w:w="136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Reviewer 分</w:t>
            </w:r>
          </w:p>
        </w:tc>
        <w:tc>
          <w:tcPr>
            <w:tcW w:type="dxa" w:w="3061"/>
            <w:shd w:fill="E7E7E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7"/>
              </w:rPr>
              <w:t>证据/说明</w:t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赛题能力匹配度</w:t>
            </w:r>
          </w:p>
        </w:tc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20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标签质量</w:t>
            </w:r>
          </w:p>
        </w:tc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15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中文/OS 场景匹配</w:t>
            </w:r>
          </w:p>
        </w:tc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12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来源可信度</w:t>
            </w:r>
          </w:p>
        </w:tc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10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License 与合规</w:t>
            </w:r>
          </w:p>
        </w:tc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10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可复现性</w:t>
            </w:r>
          </w:p>
        </w:tc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10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覆盖度与难度</w:t>
            </w:r>
          </w:p>
        </w:tc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8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数据干净程度</w:t>
            </w:r>
          </w:p>
        </w:tc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5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泄漏风险</w:t>
            </w:r>
          </w:p>
        </w:tc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5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端侧成本</w:t>
            </w:r>
          </w:p>
        </w:tc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5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总分</w:t>
            </w:r>
          </w:p>
        </w:tc>
        <w:tc>
          <w:tcPr>
            <w:tcW w:type="dxa" w:w="90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100</w:t>
            </w:r>
          </w:p>
        </w:tc>
        <w:tc>
          <w:tcPr>
            <w:tcW w:type="dxa" w:w="1247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13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  <w:tc>
          <w:tcPr>
            <w:tcW w:type="dxa" w:w="3061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</w:r>
          </w:p>
        </w:tc>
      </w:tr>
    </w:tbl>
    <w:p>
      <w:pPr>
        <w:spacing w:after="0"/>
      </w:pP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一票否决检查：□来源可追溯  □License 明确  □无真实敏感信息  □可离线复现  □标签可解释  □切分可防泄漏。任一项未勾选，暂停评分并进入失败路由。</w:t>
      </w:r>
    </w:p>
    <w:p>
      <w:bookmarkStart w:id="24" w:name="app_c"/>
      <w:pPr>
        <w:pStyle w:val="Heading1"/>
      </w:pPr>
      <w:r>
        <w:t>附录C  可直接复制的 AI Prompt</w:t>
      </w:r>
      <w:bookmarkEnd w:id="24"/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54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2F67D8"/>
                <w:sz w:val="24"/>
              </w:rPr>
              <w:t>i</w:t>
            </w:r>
          </w:p>
        </w:tc>
        <w:tc>
          <w:tcPr>
            <w:tcW w:type="dxa" w:w="8901"/>
            <w:shd w:fill="EEF5FF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8" w:color="2F67D8"/>
              <w:left w:val="single" w:sz="8" w:color="2F67D8"/>
              <w:bottom w:val="single" w:sz="8" w:color="2F67D8"/>
              <w:right w:val="single" w:sz="8" w:color="2F67D8"/>
            </w:tcBorders>
            <w:vAlign w:val="center"/>
          </w:tcPr>
          <w:p>
            <w:r>
              <w:rPr>
                <w:rFonts w:ascii="Noto Sans CJK SC" w:hAnsi="Noto Sans CJK SC" w:eastAsia="Noto Sans CJK SC"/>
                <w:b/>
                <w:color w:val="111111"/>
                <w:sz w:val="20"/>
              </w:rPr>
              <w:t>使用方式：</w:t>
            </w:r>
            <w:r>
              <w:rPr>
                <w:rFonts w:ascii="Noto Serif CJK SC" w:hAnsi="Noto Serif CJK SC" w:eastAsia="Noto Serif CJK SC"/>
                <w:b w:val="0"/>
                <w:color w:val="111111"/>
                <w:sz w:val="20"/>
              </w:rPr>
              <w:t>把方括号中的变量替换为本轮真实信息，并把比赛方案、登记卡、样本文件或日志作为附件/上下文提供。每个执行 Prompt 后必须再运行对应审查 Prompt。</w:t>
            </w:r>
          </w:p>
        </w:tc>
      </w:tr>
    </w:tbl>
    <w:p>
      <w:pPr>
        <w:spacing w:after="0"/>
      </w:pPr>
    </w:p>
    <w:p>
      <w:pPr>
        <w:pStyle w:val="Heading2"/>
      </w:pPr>
      <w:r>
        <w:t>Prompt 01｜需求—数据映射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6"/>
        </w:rPr>
        <w:t>你是“麒麟 OS Agent 记忆项目”的数据规划助手。请基于我提供的比赛方案和系统设计，建立“比赛要求 → 系统能力 → 数据子集 → Gold 标签 → 指标 → 证据文件”的完整矩阵。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硬性要求：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1. 必须覆盖多源接入、偏好提取、版本更新、跨场景、知识检索、冲突处理、精准遗忘、Tool Result、短中长期流转、端侧延迟和敏感信息过滤。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2. 不得把普通聊天数据等同于长期记忆数据。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3. 对每项要求给出正例、负例、边界例和困难例。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4. 标注哪些必须自建、哪些可由公开数据辅助。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5. 所有不确定之处列入“需人工确认”，不要自行补事实。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输出：Markdown 表格 + 数据缺口清单 + 推荐优先级。</w:t>
      </w:r>
    </w:p>
    <w:p>
      <w:pPr>
        <w:pStyle w:val="Heading2"/>
      </w:pPr>
      <w:r>
        <w:t>Prompt 01-R｜需求映射审查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6"/>
        </w:rPr>
        <w:t>审查上一份“需求—数据映射”。逐项核对比赛方案是否被遗漏、弱化或偷换概念；重点检查偏好与临时指令、知识与普通问答、Tool 成功与失败、实时遗忘与索引重建、性能与功能正确性是否被混淆。输出：必须修复、需关注、可接受三类问题，并给出具体修改位置。</w:t>
      </w:r>
    </w:p>
    <w:p>
      <w:pPr>
        <w:pStyle w:val="Heading2"/>
      </w:pPr>
      <w:r>
        <w:t>Prompt 02｜候选数据集搜索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6"/>
        </w:rPr>
        <w:t>为以下数据任务搜索 2～4 个高相关公开候选：[任务描述]。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只接受：论文作者/大学/企业官方 GitHub、官方项目页、官方 Hugging Face、NIST/微软/百度/OMG 等机构页面。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每个候选必须提供：正式名称、任务、版本线索、官方链接、论文、数据格式、标签、License/Terms 位置、已知问题、与本项目的适用和不适用边界。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禁止：只给名称不提供来源；把 BPMN/TREC 这类标准或系列写成单一数据集；根据搜索摘要臆测 License。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最后给出“建议进入抽样审计/仅补充/不推荐”的初步结论，但明确最终由人审批。</w:t>
      </w:r>
    </w:p>
    <w:p>
      <w:pPr>
        <w:pStyle w:val="Heading2"/>
      </w:pPr>
      <w:r>
        <w:t>Prompt 02-R｜候选来源审查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6"/>
        </w:rPr>
        <w:t>核对候选清单中的每一个链接是否真的是原作者或官方组织；检查正式名称、版本、任务和数据内容是否一致。发现转载、过时版本、名称歧义、无 License、动态在线 API 依赖或无法离线复现时，逐项标红。不要新增无官方来源的候选。</w:t>
      </w:r>
    </w:p>
    <w:p>
      <w:pPr>
        <w:pStyle w:val="Heading2"/>
      </w:pPr>
      <w:r>
        <w:t>Prompt 03｜来源与版本证据提取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6"/>
        </w:rPr>
        <w:t>阅读我提供的官方 README、Release、论文和数据卡，为 [dataset_id] 生成来源核验报告。只摘录可从原文直接确认的内容：发布者、正式名称、版本/Commit、文件列表、下载方式、任务定义、标注方法、评测脚本、已知修订。每条结论注明原文件/页面位置。推断必须单独列出。</w:t>
      </w:r>
    </w:p>
    <w:p>
      <w:pPr>
        <w:pStyle w:val="Heading2"/>
      </w:pPr>
      <w:r>
        <w:t>Prompt 04｜License 风险整理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6"/>
        </w:rPr>
        <w:t>你不是法律顾问。请根据我提供的 License/Terms 原文，整理 [dataset_id] 对以下用途的可能约束：下载、研究、修改、内部演示、比赛提交、公开展示、打包再分发、商业使用。每条结论引用原条款；不明确时写“需人工/法务确认”，不得给确定法律结论。输出一页风险摘要供 Reviewer 审批。</w:t>
      </w:r>
    </w:p>
    <w:p>
      <w:pPr>
        <w:pStyle w:val="Heading2"/>
      </w:pPr>
      <w:r>
        <w:t>Prompt 04-R｜合规审查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6"/>
        </w:rPr>
        <w:t>审查 License 风险摘要是否出现：把“可访问”误当“可再分发”、忽略底层网页版权、忽略署名/通知要求、忽略非商业限制、忽略模型生成数据的来源问题。输出必须补证据和暂停项。</w:t>
      </w:r>
    </w:p>
    <w:p>
      <w:pPr>
        <w:pStyle w:val="Heading2"/>
      </w:pPr>
      <w:r>
        <w:t>Prompt 05｜小样本质量审计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6"/>
        </w:rPr>
        <w:t>我将提供 [dataset_id] 的 schema 和 50～100 条样本。请执行数据质量审计设计：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- 字段缺失、类型、编码、重复、异常长度、ID/引用完整性；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- 标签是否能从证据推导；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- 与 [目标任务] 的匹配度；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- 正/负/边界/困难样本覆盖；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- 潜在泄漏、敏感信息和不稳定在线依赖；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- 需要人工逐条复核的样本 ID。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请输出审计表和可运行的本地检查脚本草案。脚本不得修改 raw，只输出报告和异常清单。</w:t>
      </w:r>
    </w:p>
    <w:p>
      <w:pPr>
        <w:pStyle w:val="Heading2"/>
      </w:pPr>
      <w:r>
        <w:t>Prompt 05-R｜样本审计复核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6"/>
        </w:rPr>
        <w:t>审查质量审计是否只做了格式检查而忽略语义；检查异常阈值是否合理、是否遗漏困难负样本、Gold evidence、模板泄漏、敏感信息和 License 限制。列出脚本可能静默丢失数据的路径。</w:t>
      </w:r>
    </w:p>
    <w:p>
      <w:pPr>
        <w:pStyle w:val="Heading2"/>
      </w:pPr>
      <w:r>
        <w:t>Prompt 06｜统一 Schema 转换方案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6"/>
        </w:rPr>
        <w:t>根据原始 schema 与目标“麒麟 OS Memory Gold”schema，生成字段映射、丢弃规则、匿名化、ID 生成、枚举转换和错误处理方案。要求：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1. 每条 processed 样本保留 raw_id/source_file/source_version；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2. 未识别字段和转换失败不得静默丢弃；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3. 输出转换统计和异常文件；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4. 提供单元测试和幂等性检查；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5. raw 目录只读。</w:t>
        <w:br/>
      </w:r>
      <w:r>
        <w:rPr>
          <w:rFonts w:ascii="Noto Sans Mono CJK SC" w:hAnsi="Noto Sans Mono CJK SC" w:eastAsia="Noto Sans Mono CJK SC"/>
          <w:b w:val="0"/>
          <w:color w:val="111111"/>
          <w:sz w:val="16"/>
        </w:rPr>
        <w:t>先给设计和测试，再给代码草案。</w:t>
      </w:r>
    </w:p>
    <w:p>
      <w:pPr>
        <w:pStyle w:val="Heading2"/>
      </w:pPr>
      <w:r>
        <w:t>Prompt 06-R｜转换代码审查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6"/>
        </w:rPr>
        <w:t>审查转换方案/代码的范围、字段丢失、默认值伪造、异常吞噬、ID 冲突、非幂等、写入 raw、编码和内存风险。要求给出最小修复建议和必须补充的测试。</w:t>
      </w:r>
    </w:p>
    <w:p>
      <w:pPr>
        <w:pStyle w:val="Heading2"/>
      </w:pPr>
      <w:r>
        <w:t>Prompt 07｜自建候选样本生成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6"/>
        </w:rPr>
        <w:t>基于我提供的场景模板和标签规范，生成 [数量] 条“候选样本”，用于人工标注，不得称为 Gold。覆盖显式/隐式偏好、临时指令、更新/撤销、作用域冲突、安全优先、Tool 失败/取消/超时、知识版本和精准遗忘。每条提供生成模板族、预期考点和证据文本，不提供最终标签或将标签标记为 candidate_only。避免真实个人信息、真实密钥和未经授权企业内容。</w:t>
      </w:r>
    </w:p>
    <w:p>
      <w:pPr>
        <w:pStyle w:val="Heading2"/>
      </w:pPr>
      <w:r>
        <w:t>Prompt 07-R｜合成候选审查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6"/>
        </w:rPr>
        <w:t>审查候选样本是否模板化过强、答案过于明显、只包含成功路径、缺少困难负样本、存在现实敏感信息、冲突无法判定或遗忘没有 must_keep。输出需要删除、重写和保留的 sample_id。</w:t>
      </w:r>
    </w:p>
    <w:p>
      <w:pPr>
        <w:pStyle w:val="Heading2"/>
      </w:pPr>
      <w:r>
        <w:t>Prompt 08｜标注分歧分析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6"/>
        </w:rPr>
        <w:t>给定 Annotator A、B 的独立标注和原始证据，统计一致率并按分歧类型聚类：任务定义、偏好/临时边界、作用域、证据不足、冲突优先级、应删/应留。不要自动选择最终答案。输出供 Reviewer 裁决的对照表和可能需要修改的标注规则。</w:t>
      </w:r>
    </w:p>
    <w:p>
      <w:pPr>
        <w:pStyle w:val="Heading2"/>
      </w:pPr>
      <w:r>
        <w:t>Prompt 09｜泄漏与安全审计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6"/>
        </w:rPr>
        <w:t>审计 dev/regression/sealed_test 的泄漏与安全风险。按 user_id、conversation_id、workflow_id、template_family、文本近重复、同事实改写检查跨集合重复；扫描个人信息、凭证、路径、邮箱、电话和敏感字段。输出命中样本、风险等级、证据和人工处理建议。不要自动删除数据。</w:t>
      </w:r>
    </w:p>
    <w:p>
      <w:pPr>
        <w:pStyle w:val="Heading2"/>
      </w:pPr>
      <w:r>
        <w:t>Prompt 09-R｜泄漏脚本审查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6"/>
        </w:rPr>
        <w:t>审查泄漏/安全脚本是否只做完全字符串匹配，是否遗漏中文近义改写、参数替换模板、同一事实不同表述、索引缓存和 Git 历史残留。检查误报/漏报验证方法。</w:t>
      </w:r>
    </w:p>
    <w:p>
      <w:pPr>
        <w:pStyle w:val="Heading2"/>
      </w:pPr>
      <w:r>
        <w:t>Prompt 10｜评测报告初稿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6"/>
        </w:rPr>
        <w:t>根据我提供的固定数据版本、环境清单、原始指标文件、失败样本和统计脚本，生成评测报告初稿。必须包含：数据来源与合规、切分与封存、实验环境、指标定义、偏好/检索/冲突/遗忘/延迟结果、P50/P95、失败类型、未达标项、复现步骤。每个数字注明来源文件和字段；没有证据的数字写“缺失”，不得推测。</w:t>
      </w:r>
    </w:p>
    <w:p>
      <w:pPr>
        <w:pStyle w:val="Heading2"/>
      </w:pPr>
      <w:r>
        <w:t>Prompt 10-R｜报告证据审查</w:t>
      </w:r>
    </w:p>
    <w:p>
      <w:pPr>
        <w:keepLines w:val="0"/>
        <w:spacing w:before="40" w:after="160" w:line="252" w:lineRule="auto"/>
        <w:ind w:left="198" w:right="198"/>
        <w:shd w:fill="F3F4F6"/>
        <w:pBdr>
          <w:left w:val="single" w:sz="14" w:color="D71920" w:space="5"/>
        </w:pBdr>
      </w:pPr>
      <w:r>
        <w:rPr>
          <w:rFonts w:ascii="Noto Sans Mono CJK SC" w:hAnsi="Noto Sans Mono CJK SC" w:eastAsia="Noto Sans Mono CJK SC"/>
          <w:b w:val="0"/>
          <w:color w:val="111111"/>
          <w:sz w:val="16"/>
        </w:rPr>
        <w:t>逐项核对报告中的数字、结论和比较是否能回到原始文件；检查是否隐藏失败样本、混淆开发集和封存集、把静态检查写成 Runtime 通过、把单次延迟写成稳定指标、把公开基准结果写成本项目成绩。输出必须修复项。</w:t>
      </w:r>
    </w:p>
    <w:p>
      <w:bookmarkStart w:id="25" w:name="app_d"/>
      <w:pPr>
        <w:pStyle w:val="Heading1"/>
      </w:pPr>
      <w:r>
        <w:t>附录D  推荐公开数据源与参考资料</w:t>
      </w:r>
      <w:bookmarkEnd w:id="25"/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以下为本手册编制时核对的官方或原始来源。下载前仍应再次检查最新 README、License、Release 和文件哈希。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1814"/>
            <w:shd w:fill="E7E7E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资源</w:t>
            </w:r>
          </w:p>
        </w:tc>
        <w:tc>
          <w:tcPr>
            <w:tcW w:type="dxa" w:w="4989"/>
            <w:shd w:fill="E7E7E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说明</w:t>
            </w:r>
          </w:p>
        </w:tc>
        <w:tc>
          <w:tcPr>
            <w:tcW w:type="dxa" w:w="2608"/>
            <w:shd w:fill="E7E7E7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111111"/>
                <w:sz w:val="18"/>
              </w:rPr>
              <w:t>官方链接</w:t>
            </w:r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比赛方案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《OS Agent 记忆优化及高效应用研究比赛方案》，题目编号 XA-202612，麒麟软件有限公司。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666666"/>
                <w:sz w:val="17"/>
              </w:rPr>
              <w:t>项目源文件</w:t>
            </w:r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LongMemEval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Official repository: Benchmarking Chat Assistants on Long-Term Interactive Memory（含 cleaned 数据下载说明）。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hyperlink r:id="rId11">
              <w:r>
                <w:rPr>
                  <w:rFonts w:ascii="Noto Sans CJK SC" w:hAnsi="Noto Sans CJK SC" w:eastAsia="Noto Sans CJK SC"/>
                  <w:color w:val="2F67D8"/>
                  <w:u w:val="single"/>
                </w:rPr>
                <w:t>打开官方页面</w:t>
              </w:r>
            </w:hyperlink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LoCoMo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SNAP Research official repository and project page: Evaluating Very Long-Term Conversational Memory of LLM Agents.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hyperlink r:id="rId12">
              <w:r>
                <w:rPr>
                  <w:rFonts w:ascii="Noto Sans CJK SC" w:hAnsi="Noto Sans CJK SC" w:eastAsia="Noto Sans CJK SC"/>
                  <w:color w:val="2F67D8"/>
                  <w:u w:val="single"/>
                </w:rPr>
                <w:t>打开官方页面</w:t>
              </w:r>
            </w:hyperlink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StableToolBench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THUNLP-MT official repository: stable tool-learning benchmark based on ToolBench.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hyperlink r:id="rId13">
              <w:r>
                <w:rPr>
                  <w:rFonts w:ascii="Noto Sans CJK SC" w:hAnsi="Noto Sans CJK SC" w:eastAsia="Noto Sans CJK SC"/>
                  <w:color w:val="2F67D8"/>
                  <w:u w:val="single"/>
                </w:rPr>
                <w:t>打开官方页面</w:t>
              </w:r>
            </w:hyperlink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ToolBench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OpenBMB official repository.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hyperlink r:id="rId14">
              <w:r>
                <w:rPr>
                  <w:rFonts w:ascii="Noto Sans CJK SC" w:hAnsi="Noto Sans CJK SC" w:eastAsia="Noto Sans CJK SC"/>
                  <w:color w:val="2F67D8"/>
                  <w:u w:val="single"/>
                </w:rPr>
                <w:t>打开官方页面</w:t>
              </w:r>
            </w:hyperlink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MultiWOZ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Original repository with MultiWOZ 2.2 correction reference.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hyperlink r:id="rId15">
              <w:r>
                <w:rPr>
                  <w:rFonts w:ascii="Noto Sans CJK SC" w:hAnsi="Noto Sans CJK SC" w:eastAsia="Noto Sans CJK SC"/>
                  <w:color w:val="2F67D8"/>
                  <w:u w:val="single"/>
                </w:rPr>
                <w:t>打开官方页面</w:t>
              </w:r>
            </w:hyperlink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DailyDialog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ACL Anthology paper: DailyDialog: A Manually Labelled Multi-turn Dialogue Dataset.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hyperlink r:id="rId16">
              <w:r>
                <w:rPr>
                  <w:rFonts w:ascii="Noto Sans CJK SC" w:hAnsi="Noto Sans CJK SC" w:eastAsia="Noto Sans CJK SC"/>
                  <w:color w:val="2F67D8"/>
                  <w:u w:val="single"/>
                </w:rPr>
                <w:t>打开官方页面</w:t>
              </w:r>
            </w:hyperlink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PersonaChat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ParlAI project page（页面已归档，使用前核对数据和 License）。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hyperlink r:id="rId17">
              <w:r>
                <w:rPr>
                  <w:rFonts w:ascii="Noto Sans CJK SC" w:hAnsi="Noto Sans CJK SC" w:eastAsia="Noto Sans CJK SC"/>
                  <w:color w:val="2F67D8"/>
                  <w:u w:val="single"/>
                </w:rPr>
                <w:t>打开官方页面</w:t>
              </w:r>
            </w:hyperlink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TREC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NIST Text REtrieval Conference official data portal.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hyperlink r:id="rId18">
              <w:r>
                <w:rPr>
                  <w:rFonts w:ascii="Noto Sans CJK SC" w:hAnsi="Noto Sans CJK SC" w:eastAsia="Noto Sans CJK SC"/>
                  <w:color w:val="2F67D8"/>
                  <w:u w:val="single"/>
                </w:rPr>
                <w:t>打开官方页面</w:t>
              </w:r>
            </w:hyperlink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MS MARCO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Microsoft official MS MARCO site and Terms/Notice.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hyperlink r:id="rId19">
              <w:r>
                <w:rPr>
                  <w:rFonts w:ascii="Noto Sans CJK SC" w:hAnsi="Noto Sans CJK SC" w:eastAsia="Noto Sans CJK SC"/>
                  <w:color w:val="2F67D8"/>
                  <w:u w:val="single"/>
                </w:rPr>
                <w:t>打开官方页面</w:t>
              </w:r>
            </w:hyperlink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DuReader Retrieval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Baidu official DuReader repository.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hyperlink r:id="rId20">
              <w:r>
                <w:rPr>
                  <w:rFonts w:ascii="Noto Sans CJK SC" w:hAnsi="Noto Sans CJK SC" w:eastAsia="Noto Sans CJK SC"/>
                  <w:color w:val="2F67D8"/>
                  <w:u w:val="single"/>
                </w:rPr>
                <w:t>打开官方页面</w:t>
              </w:r>
            </w:hyperlink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T2Ranking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THUIR official repository: A large-scale Chinese benchmark for passage ranking.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hyperlink r:id="rId21">
              <w:r>
                <w:rPr>
                  <w:rFonts w:ascii="Noto Sans CJK SC" w:hAnsi="Noto Sans CJK SC" w:eastAsia="Noto Sans CJK SC"/>
                  <w:color w:val="2F67D8"/>
                  <w:u w:val="single"/>
                </w:rPr>
                <w:t>打开官方页面</w:t>
              </w:r>
            </w:hyperlink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BPMN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Object Management Group official BPMN specification page.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hyperlink r:id="rId22">
              <w:r>
                <w:rPr>
                  <w:rFonts w:ascii="Noto Sans CJK SC" w:hAnsi="Noto Sans CJK SC" w:eastAsia="Noto Sans CJK SC"/>
                  <w:color w:val="2F67D8"/>
                  <w:u w:val="single"/>
                </w:rPr>
                <w:t>打开官方页面</w:t>
              </w:r>
            </w:hyperlink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LongMemEval-V2（可选）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Official repository for web/enterprise agent trajectory memory evaluation.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hyperlink r:id="rId23">
              <w:r>
                <w:rPr>
                  <w:rFonts w:ascii="Noto Sans CJK SC" w:hAnsi="Noto Sans CJK SC" w:eastAsia="Noto Sans CJK SC"/>
                  <w:color w:val="2F67D8"/>
                  <w:u w:val="single"/>
                </w:rPr>
                <w:t>打开官方页面</w:t>
              </w:r>
            </w:hyperlink>
          </w:p>
        </w:tc>
      </w:tr>
      <w:tr>
        <w:trPr>
          <w:cantSplit/>
        </w:trPr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LoCoMo-Plus（可选）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r>
              <w:rPr>
                <w:rFonts w:ascii="Noto Serif CJK SC" w:hAnsi="Noto Serif CJK SC" w:eastAsia="Noto Serif CJK SC"/>
                <w:b w:val="0"/>
                <w:color w:val="111111"/>
                <w:sz w:val="17"/>
              </w:rPr>
              <w:t>ACL 2026 paper/repository；作为新兴候选，必须先完成独立质量与复现审计。</w:t>
            </w:r>
          </w:p>
        </w:tc>
        <w:tc>
          <w:tcPr>
            <w:tcW w:type="dxa" w:w="3175"/>
            <w:tcMar>
              <w:top w:w="60" w:type="dxa"/>
              <w:start w:w="70" w:type="dxa"/>
              <w:bottom w:w="60" w:type="dxa"/>
              <w:end w:w="70" w:type="dxa"/>
            </w:tcMar>
            <w:vAlign w:val="center"/>
          </w:tcPr>
          <w:p>
            <w:pPr>
              <w:jc w:val="left"/>
            </w:pPr>
            <w:hyperlink r:id="rId24">
              <w:r>
                <w:rPr>
                  <w:rFonts w:ascii="Noto Sans CJK SC" w:hAnsi="Noto Sans CJK SC" w:eastAsia="Noto Sans CJK SC"/>
                  <w:color w:val="2F67D8"/>
                  <w:u w:val="single"/>
                </w:rPr>
                <w:t>打开官方页面</w:t>
              </w:r>
            </w:hyperlink>
          </w:p>
        </w:tc>
      </w:tr>
    </w:tbl>
    <w:p>
      <w:pPr>
        <w:pStyle w:val="Heading1"/>
      </w:pPr>
      <w:r>
        <w:t>文档结束</w:t>
      </w:r>
    </w:p>
    <w:p>
      <w:pPr>
        <w:pStyle w:val="正文"/>
        <w:keepNext w:val="0"/>
      </w:pPr>
      <w:r>
        <w:rPr>
          <w:rFonts w:ascii="Noto Serif CJK SC" w:hAnsi="Noto Serif CJK SC" w:eastAsia="Noto Serif CJK SC"/>
          <w:b w:val="0"/>
          <w:color w:val="111111"/>
          <w:sz w:val="21"/>
        </w:rPr>
        <w:t>执行中出现来源、License、标注口径或 Runtime 证据争议时，先停止对应 Gate，保留原始证据并提交 Reviewer。不要为了赶进度绕过门禁。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666666"/>
        <w:sz w:val="17"/>
      </w:rPr>
      <w:t xml:space="preserve">内部工作文件  ·  v1.0  ·  2026-07-29    第 </w:t>
    </w:r>
    <w:r>
      <w:rPr>
        <w:rFonts w:ascii="Noto Sans CJK SC" w:hAnsi="Noto Sans CJK SC" w:eastAsia="Noto Sans CJK SC"/>
        <w:b w:val="0"/>
        <w:color w:val="666666"/>
        <w:sz w:val="17"/>
      </w:rPr>
      <w:fldChar w:fldCharType="begin"/>
      <w:instrText xml:space="preserve">PAGE</w:instrText>
      <w:fldChar w:fldCharType="end"/>
    </w:r>
    <w:r>
      <w:rPr>
        <w:rFonts w:ascii="Noto Sans CJK SC" w:hAnsi="Noto Sans CJK SC" w:eastAsia="Noto Sans CJK SC"/>
        <w:b w:val="0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666666"/>
        <w:sz w:val="17"/>
      </w:rPr>
      <w:t>挑战杯 XA-202612｜OS Agent 记忆优化数据工作指导手册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0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60"/>
      <w:outlineLvl w:val="0"/>
      <w:pBdr>
        <w:bottom w:val="single" w:sz="10" w:color="D71920" w:space="3"/>
      </w:pBdr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1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Noto Sans CJK SC" w:hAnsi="Noto Sans CJK SC" w:eastAsia="Noto Sans CJK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正文">
    <w:name w:val="正文"/>
    <w:pPr>
      <w:spacing w:line="324" w:lineRule="auto" w:after="120"/>
      <w:ind w:firstLine="420"/>
    </w:pPr>
    <w:rPr>
      <w:rFonts w:ascii="Noto Serif CJK SC" w:hAnsi="Noto Serif CJK SC" w:eastAsia="Noto Serif CJK SC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xiaowu0162/LongMemEval" TargetMode="External"/><Relationship Id="rId12" Type="http://schemas.openxmlformats.org/officeDocument/2006/relationships/hyperlink" Target="https://github.com/snap-research/locomo" TargetMode="External"/><Relationship Id="rId13" Type="http://schemas.openxmlformats.org/officeDocument/2006/relationships/hyperlink" Target="https://github.com/THUNLP-MT/StableToolBench" TargetMode="External"/><Relationship Id="rId14" Type="http://schemas.openxmlformats.org/officeDocument/2006/relationships/hyperlink" Target="https://github.com/OpenBMB/ToolBench" TargetMode="External"/><Relationship Id="rId15" Type="http://schemas.openxmlformats.org/officeDocument/2006/relationships/hyperlink" Target="https://github.com/budzianowski/multiwoz" TargetMode="External"/><Relationship Id="rId16" Type="http://schemas.openxmlformats.org/officeDocument/2006/relationships/hyperlink" Target="https://aclanthology.org/I17-1099/" TargetMode="External"/><Relationship Id="rId17" Type="http://schemas.openxmlformats.org/officeDocument/2006/relationships/hyperlink" Target="https://parl.ai/projects/personachat/" TargetMode="External"/><Relationship Id="rId18" Type="http://schemas.openxmlformats.org/officeDocument/2006/relationships/hyperlink" Target="https://trec.nist.gov/data.html" TargetMode="External"/><Relationship Id="rId19" Type="http://schemas.openxmlformats.org/officeDocument/2006/relationships/hyperlink" Target="https://microsoft.github.io/msmarco/" TargetMode="External"/><Relationship Id="rId20" Type="http://schemas.openxmlformats.org/officeDocument/2006/relationships/hyperlink" Target="https://github.com/baidu/DuReader" TargetMode="External"/><Relationship Id="rId21" Type="http://schemas.openxmlformats.org/officeDocument/2006/relationships/hyperlink" Target="https://github.com/THUIR/T2Ranking" TargetMode="External"/><Relationship Id="rId22" Type="http://schemas.openxmlformats.org/officeDocument/2006/relationships/hyperlink" Target="https://www.omg.org/bpmn/" TargetMode="External"/><Relationship Id="rId23" Type="http://schemas.openxmlformats.org/officeDocument/2006/relationships/hyperlink" Target="https://github.com/xiaowu0162/LongMemEval-V2" TargetMode="External"/><Relationship Id="rId24" Type="http://schemas.openxmlformats.org/officeDocument/2006/relationships/hyperlink" Target="https://github.com/xjtuleeyf/Locomo-Pl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OS Agent 记忆模块数据查找、选型与质量审计指导手册</dc:title>
  <dc:subject>挑战杯 XA-202612 数据工作 SOP</dc:subject>
  <dc:creator>项目团队</dc:creator>
  <cp:keywords>麒麟OS, Agent记忆, 数据集, Gold数据, 质量审计, AI工具</cp:keywords>
  <dc:description>内部工作文件。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