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PROJECT 02</w:t>
      </w:r>
      <w:r>
        <w:t xml:space="preserve">  /  DIRECT-TO-CHIP LIQUID COOLING</w:t>
      </w:r>
    </w:p>
    <w:p>
      <w:pPr>
        <w:pStyle w:val="Title"/>
      </w:pPr>
      <w:r>
        <w:t>Designing a 6 kW</w:t>
        <w:br/>
        <w:t>AI accelerator cooling tray</w:t>
      </w:r>
    </w:p>
    <w:p>
      <w:r>
        <w:t>A model-based workflow linking cold-plate CFD, reduced-order models, manifold hydraulics, and pump/fault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6.0 kW</w:t>
            </w:r>
          </w:p>
        </w:tc>
        <w:tc>
          <w:tcPr>
            <w:tcW w:type="dxa" w:w="345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9.16 L/min</w:t>
            </w:r>
          </w:p>
        </w:tc>
        <w:tc>
          <w:tcPr>
            <w:tcW w:type="dxa" w:w="345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12.3°C margin</w:t>
            </w:r>
          </w:p>
        </w:tc>
      </w:tr>
      <w:tr>
        <w:trPr>
          <w:cantSplit/>
        </w:trPr>
        <w:tc>
          <w:tcPr>
            <w:tcW w:type="dxa" w:w="345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20"/>
              </w:rPr>
              <w:t>8 × 750 W design load</w:t>
            </w:r>
          </w:p>
        </w:tc>
        <w:tc>
          <w:tcPr>
            <w:tcW w:type="dxa" w:w="345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20"/>
              </w:rPr>
              <w:t>Modeled pump/tray flow</w:t>
            </w:r>
          </w:p>
        </w:tc>
        <w:tc>
          <w:tcPr>
            <w:tcW w:type="dxa" w:w="345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20"/>
              </w:rPr>
              <w:t>Below the 85°C project limit</w:t>
            </w:r>
          </w:p>
        </w:tc>
      </w:tr>
    </w:tbl>
    <w:p>
      <w:pPr>
        <w:pStyle w:val="Heading1"/>
      </w:pPr>
      <w:r>
        <w:t>The engineering decision</w:t>
      </w:r>
    </w:p>
    <w:p>
      <w:r>
        <w:t>Retain a 19.05 mm common header as the provisional baseline. At the nominal modeled operating point, the tray reaches 72.72°C estimated peak device temperature with 0.342% flow maldistribution. The result is a design-study prediction, not hardware qualification. [E01–E02]</w:t>
      </w:r>
    </w:p>
    <w:p>
      <w:pPr>
        <w:pStyle w:val="Heading1"/>
      </w:pPr>
      <w:r>
        <w:t>From component physics to a system model</w:t>
      </w:r>
    </w:p>
    <w:p>
      <w:r>
        <w:t>Screened cold-plate candidates in COMSOL; selected a 30-channel, 0.40 × 1.00 mm Candidate C design. Fitted pressure-drop and thermal-resistance ROMs, then integrated branch tubing, illustrative QD/fitting losses, and a scalable same-side manifold network. A representative pump curve determines actual modeled flow rather than prescribing the thermal target. [E10]</w:t>
      </w:r>
    </w:p>
    <w:p>
      <w:pPr>
        <w:pStyle w:val="Heading1"/>
      </w:pPr>
      <w:r>
        <w:t>Independent component-level CFD check</w:t>
      </w:r>
    </w:p>
    <w:p>
      <w:r>
        <w:t>The 1.15 L/min, 750 W, 30°C COMSOL case was withheld from fitting. The extended calibration flow range is 0.50–1.20 L/min. [E03–E04]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3744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304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COMSOL</w:t>
            </w:r>
          </w:p>
        </w:tc>
        <w:tc>
          <w:tcPr>
            <w:tcW w:type="dxa" w:w="2304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ROM</w:t>
            </w:r>
          </w:p>
        </w:tc>
        <w:tc>
          <w:tcPr>
            <w:tcW w:type="dxa" w:w="201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Difference</w:t>
            </w:r>
          </w:p>
        </w:tc>
      </w:tr>
      <w:tr>
        <w:trPr>
          <w:cantSplit/>
        </w:trPr>
        <w:tc>
          <w:tcPr>
            <w:tcW w:type="dxa" w:w="374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Pressure drop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11.258 kPa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11.260 kPa</w:t>
            </w:r>
          </w:p>
        </w:tc>
        <w:tc>
          <w:tcPr>
            <w:tcW w:type="dxa" w:w="201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+0.0178%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Thermal resistance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0.0255542 K/W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0.0256179 K/W</w:t>
            </w:r>
          </w:p>
        </w:tc>
        <w:tc>
          <w:tcPr>
            <w:tcW w:type="dxa" w:w="201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+0.2493%</w:t>
            </w:r>
          </w:p>
        </w:tc>
      </w:tr>
      <w:tr>
        <w:trPr>
          <w:cantSplit/>
        </w:trPr>
        <w:tc>
          <w:tcPr>
            <w:tcW w:type="dxa" w:w="374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Maximum base temperature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53.870°C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53.908°C</w:t>
            </w:r>
          </w:p>
        </w:tc>
        <w:tc>
          <w:tcPr>
            <w:tcW w:type="dxa" w:w="201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+0.0382°C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2732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hermal_r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73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Reported fit and withheld CFD point; resistance is referenced to (Tin + Tout)/2. ROM agreement with CFD does not establish hardware accuracy.</w:t>
      </w:r>
    </w:p>
    <w:p>
      <w:r>
        <w:br w:type="page"/>
      </w:r>
    </w:p>
    <w:p>
      <w:pPr>
        <w:pStyle w:val="Title"/>
      </w:pPr>
      <w:r>
        <w:rPr>
          <w:sz w:val="42"/>
        </w:rPr>
        <w:t>Hydraulic limits can fail before temperature</w:t>
      </w:r>
    </w:p>
    <w:p>
      <w:r>
        <w:t>Six reported scenarios separate temperature compliance from flow and uniformity requirements. Nominal tray differential pressure is 11.44 kPa; the illustrative pump provides 6.02% flow margin above the fixed 8.64 L/min target. [E01–E02]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309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Flow</w:t>
              <w:br/>
              <w:t>L/min</w:t>
            </w:r>
          </w:p>
        </w:tc>
        <w:tc>
          <w:tcPr>
            <w:tcW w:type="dxa" w:w="1440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Mflow</w:t>
              <w:br/>
              <w:t>%</w:t>
            </w:r>
          </w:p>
        </w:tc>
        <w:tc>
          <w:tcPr>
            <w:tcW w:type="dxa" w:w="1440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Tmax est.</w:t>
              <w:br/>
              <w:t>°C</w:t>
            </w:r>
          </w:p>
        </w:tc>
        <w:tc>
          <w:tcPr>
            <w:tcW w:type="dxa" w:w="2952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Reported outcome</w:t>
            </w:r>
          </w:p>
        </w:tc>
      </w:tr>
      <w:tr>
        <w:trPr>
          <w:cantSplit/>
        </w:trPr>
        <w:tc>
          <w:tcPr>
            <w:tcW w:type="dxa" w:w="309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Nominal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9.1604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0.342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72.72</w:t>
            </w:r>
          </w:p>
        </w:tc>
        <w:tc>
          <w:tcPr>
            <w:tcW w:type="dxa" w:w="2952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Hot coolant*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9.1604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0.342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77.72</w:t>
            </w:r>
          </w:p>
        </w:tc>
        <w:tc>
          <w:tcPr>
            <w:tcW w:type="dxa" w:w="2952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Pass*</w:t>
            </w:r>
          </w:p>
        </w:tc>
      </w:tr>
      <w:tr>
        <w:trPr>
          <w:cantSplit/>
        </w:trPr>
        <w:tc>
          <w:tcPr>
            <w:tcW w:type="dxa" w:w="309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Uneven power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9.1604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0.342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72.72</w:t>
            </w:r>
          </w:p>
        </w:tc>
        <w:tc>
          <w:tcPr>
            <w:tcW w:type="dxa" w:w="2952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Restricted branch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9.0632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18.323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75.05</w:t>
            </w:r>
          </w:p>
        </w:tc>
        <w:tc>
          <w:tcPr>
            <w:tcW w:type="dxa" w:w="2952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Fail: uniformity</w:t>
            </w:r>
          </w:p>
        </w:tc>
      </w:tr>
      <w:tr>
        <w:trPr>
          <w:cantSplit/>
        </w:trPr>
        <w:tc>
          <w:tcPr>
            <w:tcW w:type="dxa" w:w="309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Weak pump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8.2056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0.333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74.10</w:t>
            </w:r>
          </w:p>
        </w:tc>
        <w:tc>
          <w:tcPr>
            <w:tcW w:type="dxa" w:w="2952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Fail: flow target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Combined stress*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8.1016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18.575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81.67</w:t>
            </w:r>
          </w:p>
        </w:tc>
        <w:tc>
          <w:tcPr>
            <w:tcW w:type="dxa" w:w="2952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Fail: flow + uniformity</w:t>
            </w:r>
          </w:p>
        </w:tc>
      </w:tr>
    </w:tbl>
    <w:p>
      <w:pPr>
        <w:pStyle w:val="Caption"/>
      </w:pPr>
      <w:r>
        <w:t>* 35°C inlet: constant-property sensitivity only, not additional inlet-temperature CFD validation. Mflow = 100 × (qmax − qmin) / qmean. Status uses the adopted fixed-flow and 10% uniformity criteria.</w:t>
      </w:r>
    </w:p>
    <w:p>
      <w:pPr>
        <w:pStyle w:val="Heading1"/>
      </w:pPr>
      <w:r>
        <w:t>What changed the design judgment?</w:t>
      </w:r>
    </w:p>
    <w:p>
      <w:r>
        <w:t>A 30% increase in one branch hydraulic characteristic raised maldistribution to 18.32% while the estimated device peak remained 75.05°C. The weak-pump case also remained below the temperature limit but missed the flow target. Temperature alone therefore would not identify every operating-requirement violation. [E01]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89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ult_mal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8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Fault results replotted from the supplied scenario table. No new CFD or full-system simulation was run to prepare this document.</w:t>
      </w:r>
    </w:p>
    <w:p>
      <w:pPr>
        <w:pStyle w:val="Heading1"/>
      </w:pPr>
      <w:r>
        <w:t>Scope of the recommendation</w:t>
      </w:r>
    </w:p>
    <w:p>
      <w:r>
        <w:t>The pump curve, QD/fitting coefficients, and 0.025 K/W package-plus-TIM resistance are modeling assumptions. Pressure covers the tray, not a full CDU/facility loop. The 35°C cases are sensitivities; the complete manifold lacks independent CFD/hardware qualification. The 19.05 mm choice is provisional, not a global optimum or released mechanical assembly. [E10]</w:t>
      </w:r>
    </w:p>
    <w:p>
      <w:pPr>
        <w:pStyle w:val="Caption"/>
      </w:pPr>
      <w:r>
        <w:t>Evidence: E01 scenario table; E02 pump/tray summary; E03–E04 withheld component comparison; E10 model settings. Full source index and limitations accompany this document in the portfolio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06" w:left="936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173"/>
        <w:sz w:val="16"/>
      </w:rPr>
      <w:t xml:space="preserve">MODEL-BASED STUDY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16173"/>
        <w:sz w:val="16"/>
      </w:rPr>
      <w:t>YUAN GAO  /  THERMAL ENGINEERING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0" w:lineRule="auto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161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Thermal-hydraulic engineering portfolio</dc:subject>
  <dc:creator>Yuan Gao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