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1E2F5"/>
    <w:p w14:paraId="1F7EE64A"/>
    <w:p w14:paraId="44449967"/>
    <w:p w14:paraId="5282091C">
      <w:pPr>
        <w:jc w:val="center"/>
      </w:pPr>
      <w:r>
        <w:rPr>
          <w:rFonts w:ascii="黑体" w:hAnsi="黑体" w:eastAsia="黑体"/>
          <w:b/>
          <w:sz w:val="44"/>
        </w:rPr>
        <w:t>信息系统安全智能化测试平台</w:t>
      </w:r>
    </w:p>
    <w:p w14:paraId="7AEC1C98">
      <w:pPr>
        <w:jc w:val="center"/>
      </w:pPr>
      <w:r>
        <w:rPr>
          <w:rFonts w:ascii="黑体" w:hAnsi="黑体" w:eastAsia="黑体"/>
          <w:b/>
          <w:sz w:val="44"/>
        </w:rPr>
        <w:t>软件需求确认说明</w:t>
      </w:r>
    </w:p>
    <w:p w14:paraId="295B03CD"/>
    <w:p w14:paraId="1AC8392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598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63BB32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文档标识</w:t>
            </w:r>
          </w:p>
        </w:tc>
        <w:tc>
          <w:tcPr>
            <w:tcW w:w="4156" w:type="dxa"/>
          </w:tcPr>
          <w:p w14:paraId="00E6E5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GFKDDK/XXAQZC/RSD/V1.0/RDP.DOC</w:t>
            </w:r>
          </w:p>
        </w:tc>
      </w:tr>
      <w:tr w14:paraId="4060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45D27D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修订日期</w:t>
            </w:r>
          </w:p>
        </w:tc>
        <w:tc>
          <w:tcPr>
            <w:tcW w:w="4156" w:type="dxa"/>
          </w:tcPr>
          <w:p w14:paraId="71C1AC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2026-09-02</w:t>
            </w:r>
          </w:p>
        </w:tc>
      </w:tr>
      <w:tr w14:paraId="2B41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03EE0E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密　　级</w:t>
            </w:r>
          </w:p>
        </w:tc>
        <w:tc>
          <w:tcPr>
            <w:tcW w:w="4156" w:type="dxa"/>
          </w:tcPr>
          <w:p w14:paraId="66AC67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内部</w:t>
            </w:r>
          </w:p>
        </w:tc>
      </w:tr>
      <w:tr w14:paraId="76D14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74C5F0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编 制 人</w:t>
            </w:r>
          </w:p>
        </w:tc>
        <w:tc>
          <w:tcPr>
            <w:tcW w:w="4156" w:type="dxa"/>
          </w:tcPr>
          <w:p w14:paraId="6D01B5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高源</w:t>
            </w:r>
          </w:p>
        </w:tc>
      </w:tr>
      <w:tr w14:paraId="730E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1F9F6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4"/>
              </w:rPr>
              <w:t>审 核 人</w:t>
            </w:r>
          </w:p>
        </w:tc>
        <w:tc>
          <w:tcPr>
            <w:tcW w:w="4156" w:type="dxa"/>
          </w:tcPr>
          <w:p w14:paraId="3B5722A3">
            <w:pPr>
              <w:spacing w:after="0" w:line="240" w:lineRule="auto"/>
              <w:jc w:val="center"/>
            </w:pPr>
          </w:p>
        </w:tc>
      </w:tr>
    </w:tbl>
    <w:p w14:paraId="0A678F59"/>
    <w:p w14:paraId="6E4C10FD"/>
    <w:p w14:paraId="1F6BC828">
      <w:pPr>
        <w:jc w:val="center"/>
      </w:pPr>
      <w:r>
        <w:rPr>
          <w:rFonts w:ascii="宋体" w:hAnsi="宋体" w:eastAsia="宋体"/>
          <w:sz w:val="28"/>
        </w:rPr>
        <w:t>信息系统软件测评中心</w:t>
      </w:r>
    </w:p>
    <w:p w14:paraId="3430B2F7">
      <w:pPr>
        <w:jc w:val="center"/>
      </w:pPr>
      <w:r>
        <w:rPr>
          <w:rFonts w:ascii="宋体" w:hAnsi="宋体" w:eastAsia="宋体"/>
          <w:sz w:val="28"/>
        </w:rPr>
        <w:t>二〇二六年九月</w:t>
      </w:r>
    </w:p>
    <w:p w14:paraId="729A4BAA">
      <w:r>
        <w:br w:type="page"/>
      </w:r>
    </w:p>
    <w:p w14:paraId="1B9B0D3C">
      <w:pPr>
        <w:pStyle w:val="3"/>
      </w:pPr>
      <w:r>
        <w:rPr>
          <w:rFonts w:ascii="黑体" w:hAnsi="黑体" w:eastAsia="黑体"/>
        </w:rPr>
        <w:t>已确认的项目需求</w:t>
      </w:r>
    </w:p>
    <w:p w14:paraId="57D56F2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3"/>
        <w:gridCol w:w="5385"/>
      </w:tblGrid>
      <w:tr w14:paraId="79DD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4215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6803" w:type="dxa"/>
          </w:tcPr>
          <w:p w14:paraId="4E77A3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已确认内容</w:t>
            </w:r>
          </w:p>
        </w:tc>
      </w:tr>
      <w:tr w14:paraId="57BC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6145D43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项目目标</w:t>
            </w:r>
          </w:p>
        </w:tc>
        <w:tc>
          <w:tcPr>
            <w:tcW w:w="4156" w:type="dxa"/>
          </w:tcPr>
          <w:p w14:paraId="1901AE7C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结合专业安全工具与AI代理，实现信息系统对抗性测试的自动化与智能化，降低测试门槛、提升测试效率</w:t>
            </w:r>
          </w:p>
        </w:tc>
      </w:tr>
      <w:tr w14:paraId="5C1D6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CB87FBF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项目形态</w:t>
            </w:r>
          </w:p>
        </w:tc>
        <w:tc>
          <w:tcPr>
            <w:tcW w:w="4156" w:type="dxa"/>
          </w:tcPr>
          <w:p w14:paraId="4DCEE4B0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C/S架构：Qt5/C++桌面客户端 + Node.js本地服务；支持银河麒麟V10和Windows操作系统；通过Podman/Docker容器化工具执行</w:t>
            </w:r>
          </w:p>
        </w:tc>
      </w:tr>
      <w:tr w14:paraId="4ABD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209C77B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系统概述</w:t>
            </w:r>
          </w:p>
        </w:tc>
        <w:tc>
          <w:tcPr>
            <w:tcW w:w="4156" w:type="dxa"/>
          </w:tcPr>
          <w:p w14:paraId="5A7D4708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平台通过多代理架构、200+安全工具和AI智能决策功能，帮助安全测试人员进行应用软件系统的对抗性测试，实现从漏洞扫描、漏洞利用到漏洞攻击维持持久化的完整攻击链</w:t>
            </w:r>
          </w:p>
        </w:tc>
      </w:tr>
      <w:tr w14:paraId="08EF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A4B8ED8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首期边界</w:t>
            </w:r>
          </w:p>
        </w:tc>
        <w:tc>
          <w:tcPr>
            <w:tcW w:w="4156" w:type="dxa"/>
          </w:tcPr>
          <w:p w14:paraId="26998E9F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包含全部7个一级功能模块（测试资源部署配置、漏洞利用想定与预案、网络拓扑绘制、脆弱性扫描、漏洞攻击测试、测试评估、系统管理）的完整闭环</w:t>
            </w:r>
          </w:p>
        </w:tc>
      </w:tr>
      <w:tr w14:paraId="64B32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8A6C47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测试资源部署配置</w:t>
            </w:r>
          </w:p>
        </w:tc>
        <w:tc>
          <w:tcPr>
            <w:tcW w:w="4156" w:type="dxa"/>
          </w:tcPr>
          <w:p w14:paraId="3260A929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HexStrike部署配置、虚拟环境部署配置、大语言模型LLM部署配置、测试靶场部署配置、测试工具部署配置</w:t>
            </w:r>
          </w:p>
        </w:tc>
      </w:tr>
      <w:tr w14:paraId="166CE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C9DD795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漏洞利用想定与预案</w:t>
            </w:r>
          </w:p>
        </w:tc>
        <w:tc>
          <w:tcPr>
            <w:tcW w:w="4156" w:type="dxa"/>
          </w:tcPr>
          <w:p w14:paraId="45A461F0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漏洞利用想定、漏洞利用预案、漏洞利用战术手册</w:t>
            </w:r>
          </w:p>
        </w:tc>
      </w:tr>
      <w:tr w14:paraId="0AFE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D86D6D1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网络拓扑绘制</w:t>
            </w:r>
          </w:p>
        </w:tc>
        <w:tc>
          <w:tcPr>
            <w:tcW w:w="4156" w:type="dxa"/>
          </w:tcPr>
          <w:p w14:paraId="30CBA04B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网络拓扑探测、网络拓扑编辑、网络拓扑展示、网络拓扑信息标注</w:t>
            </w:r>
          </w:p>
        </w:tc>
      </w:tr>
      <w:tr w14:paraId="456A4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F52AF41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脆弱性扫描</w:t>
            </w:r>
          </w:p>
        </w:tc>
        <w:tc>
          <w:tcPr>
            <w:tcW w:w="4156" w:type="dxa"/>
          </w:tcPr>
          <w:p w14:paraId="25303605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系统漏洞扫描、Web漏洞扫描、端口扫描、弱口令扫描</w:t>
            </w:r>
          </w:p>
        </w:tc>
      </w:tr>
      <w:tr w14:paraId="1CCD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AB299E2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漏洞攻击测试</w:t>
            </w:r>
          </w:p>
        </w:tc>
        <w:tc>
          <w:tcPr>
            <w:tcW w:w="4156" w:type="dxa"/>
          </w:tcPr>
          <w:p w14:paraId="153ED063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数据抵近窃取攻击测试、信息篡改欺骗攻击测试、关键设备夺控攻击测试</w:t>
            </w:r>
          </w:p>
        </w:tc>
      </w:tr>
      <w:tr w14:paraId="751E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CE4FD88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测试评估</w:t>
            </w:r>
          </w:p>
        </w:tc>
        <w:tc>
          <w:tcPr>
            <w:tcW w:w="4156" w:type="dxa"/>
          </w:tcPr>
          <w:p w14:paraId="4AD6F3E6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网络数据捕获、网络数据分析</w:t>
            </w:r>
          </w:p>
        </w:tc>
      </w:tr>
      <w:tr w14:paraId="1EA5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4065217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系统管理</w:t>
            </w:r>
          </w:p>
        </w:tc>
        <w:tc>
          <w:tcPr>
            <w:tcW w:w="4156" w:type="dxa"/>
          </w:tcPr>
          <w:p w14:paraId="560FE35A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任务管理、用户管理、权限管理、加密锁校验、测试报告自动智能生成、测试报告管理、知识图谱构建与查看</w:t>
            </w:r>
          </w:p>
        </w:tc>
      </w:tr>
      <w:tr w14:paraId="54F8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DDD8494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人机界面</w:t>
            </w:r>
          </w:p>
        </w:tc>
        <w:tc>
          <w:tcPr>
            <w:tcW w:w="4156" w:type="dxa"/>
          </w:tcPr>
          <w:p w14:paraId="6ADC7B4B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桌面生成可运行图标；启动界面含软件名称、研制单位、版本信息；登录界面含用户账户和口令验证；主窗口含标题栏、菜单、输入输出区域；界面友好、色彩清新、菜单清楚、易于操作；所有界面提示均为中文</w:t>
            </w:r>
          </w:p>
        </w:tc>
      </w:tr>
      <w:tr w14:paraId="6BD6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C957CC7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安全性</w:t>
            </w:r>
          </w:p>
        </w:tc>
        <w:tc>
          <w:tcPr>
            <w:tcW w:w="4156" w:type="dxa"/>
          </w:tcPr>
          <w:p w14:paraId="33E00674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用户登录验证（用户账号口令验证）；平台开启运行时的软件加密狗验证</w:t>
            </w:r>
          </w:p>
        </w:tc>
      </w:tr>
      <w:tr w14:paraId="31AE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698EBEB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适应性</w:t>
            </w:r>
          </w:p>
        </w:tc>
        <w:tc>
          <w:tcPr>
            <w:tcW w:w="4156" w:type="dxa"/>
          </w:tcPr>
          <w:p w14:paraId="7250E037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适应于国产操作系统（银河麒麟V10）和Windows操作系统环境</w:t>
            </w:r>
          </w:p>
        </w:tc>
      </w:tr>
      <w:tr w14:paraId="7F5E6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2999684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使用模式</w:t>
            </w:r>
          </w:p>
        </w:tc>
        <w:tc>
          <w:tcPr>
            <w:tcW w:w="4156" w:type="dxa"/>
          </w:tcPr>
          <w:p w14:paraId="2484A044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固定使用方式（实验室测试场景）和移动使用方式（现场测试场景）</w:t>
            </w:r>
          </w:p>
        </w:tc>
      </w:tr>
      <w:tr w14:paraId="47B9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C7A89B6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环境需求</w:t>
            </w:r>
          </w:p>
        </w:tc>
        <w:tc>
          <w:tcPr>
            <w:tcW w:w="4156" w:type="dxa"/>
          </w:tcPr>
          <w:p w14:paraId="1A32842C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硬件：长城/清华紫光系列国产台式机和笔记本，飞腾CPU，32G内存，国产固态硬盘；资源：4 Core/16GB内存/512GB磁盘空间；软件：银河麒麟V10、虚拟机/容器/沙箱、Python 2&amp;3、DM8数据库、WPS 2019等</w:t>
            </w:r>
          </w:p>
        </w:tc>
      </w:tr>
      <w:tr w14:paraId="712E9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949DBBB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质量因素</w:t>
            </w:r>
          </w:p>
        </w:tc>
        <w:tc>
          <w:tcPr>
            <w:tcW w:w="4156" w:type="dxa"/>
          </w:tcPr>
          <w:p w14:paraId="616A0BE4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功能性：满足明确和隐含需要的功能；可靠性：维持规定性能级别；易用性：界面友好、易于操作；效率：资源低于4Core/16GB时性能降低；可维护性：支持版本升级、提供运行日志；可移植性：支持硬件配置环境迁移</w:t>
            </w:r>
          </w:p>
        </w:tc>
      </w:tr>
      <w:tr w14:paraId="4205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5415E85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设计约束</w:t>
            </w:r>
          </w:p>
        </w:tc>
        <w:tc>
          <w:tcPr>
            <w:tcW w:w="4156" w:type="dxa"/>
          </w:tcPr>
          <w:p w14:paraId="63CBCDE3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硬件平台约束（GPU卡系统）、性能约束（响应时间、手册生成时间）、安全性约束（GJB/Z 102）、容错设计约束、用户操作约束、第三方依赖约束、资源限制</w:t>
            </w:r>
          </w:p>
        </w:tc>
      </w:tr>
      <w:tr w14:paraId="512C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C62897B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配置管理</w:t>
            </w:r>
          </w:p>
        </w:tc>
        <w:tc>
          <w:tcPr>
            <w:tcW w:w="4156" w:type="dxa"/>
          </w:tcPr>
          <w:p w14:paraId="010A0A93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版本控制（GJB 5716-2006三库管理）、变更控制（变更申请→审批→实施验证）</w:t>
            </w:r>
          </w:p>
        </w:tc>
      </w:tr>
      <w:tr w14:paraId="28CF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FD8AD58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合格性验证</w:t>
            </w:r>
          </w:p>
        </w:tc>
        <w:tc>
          <w:tcPr>
            <w:tcW w:w="4156" w:type="dxa"/>
          </w:tcPr>
          <w:p w14:paraId="0FFD7A32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演示、测试、分析、审查；合格性级别包括单元测试、配置项测试和系统测试</w:t>
            </w:r>
          </w:p>
        </w:tc>
      </w:tr>
    </w:tbl>
    <w:p w14:paraId="145E76CE"/>
    <w:p w14:paraId="7C8E1917">
      <w:pPr>
        <w:pStyle w:val="3"/>
      </w:pPr>
      <w:r>
        <w:rPr>
          <w:rFonts w:ascii="黑体" w:hAnsi="黑体" w:eastAsia="黑体"/>
        </w:rPr>
        <w:t>需调整的项目需求</w:t>
      </w:r>
    </w:p>
    <w:p w14:paraId="11355C0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0FA55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87" w:type="dxa"/>
          </w:tcPr>
          <w:p w14:paraId="6219BE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w="1187" w:type="dxa"/>
          </w:tcPr>
          <w:p w14:paraId="4585D2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原章节/原要求</w:t>
            </w:r>
          </w:p>
        </w:tc>
        <w:tc>
          <w:tcPr>
            <w:tcW w:w="1187" w:type="dxa"/>
          </w:tcPr>
          <w:p w14:paraId="3CB425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主要问题</w:t>
            </w:r>
          </w:p>
        </w:tc>
        <w:tc>
          <w:tcPr>
            <w:tcW w:w="1187" w:type="dxa"/>
          </w:tcPr>
          <w:p w14:paraId="232324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处理建议</w:t>
            </w:r>
          </w:p>
        </w:tc>
        <w:tc>
          <w:tcPr>
            <w:tcW w:w="1187" w:type="dxa"/>
          </w:tcPr>
          <w:p w14:paraId="3D2F70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建议条款</w:t>
            </w:r>
          </w:p>
        </w:tc>
        <w:tc>
          <w:tcPr>
            <w:tcW w:w="1187" w:type="dxa"/>
          </w:tcPr>
          <w:p w14:paraId="6609C9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验收方法</w:t>
            </w:r>
          </w:p>
        </w:tc>
        <w:tc>
          <w:tcPr>
            <w:tcW w:w="1187" w:type="dxa"/>
          </w:tcPr>
          <w:p w14:paraId="735411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优先级/状态</w:t>
            </w:r>
          </w:p>
        </w:tc>
      </w:tr>
      <w:tr w14:paraId="4A9D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55F6C269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F-01</w:t>
            </w:r>
          </w:p>
        </w:tc>
        <w:tc>
          <w:tcPr>
            <w:tcW w:w="1187" w:type="dxa"/>
          </w:tcPr>
          <w:p w14:paraId="48A2EE4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1.2：通过MCP协议与大语言模型LLM整合</w:t>
            </w:r>
          </w:p>
        </w:tc>
        <w:tc>
          <w:tcPr>
            <w:tcW w:w="1187" w:type="dxa"/>
          </w:tcPr>
          <w:p w14:paraId="7AC5BCD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MCP协议为技术实现细节，不宜作为需求条款直接写入</w:t>
            </w:r>
          </w:p>
        </w:tc>
        <w:tc>
          <w:tcPr>
            <w:tcW w:w="1187" w:type="dxa"/>
          </w:tcPr>
          <w:p w14:paraId="11776BD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需求描述结果和能力，技术路线后置到设计文档</w:t>
            </w:r>
          </w:p>
        </w:tc>
        <w:tc>
          <w:tcPr>
            <w:tcW w:w="1187" w:type="dxa"/>
          </w:tcPr>
          <w:p w14:paraId="3DEAD350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平台应支持与大语言模型的集成，实现安全测试工具的智能调度和对抗性测试操作的自动化</w:t>
            </w:r>
          </w:p>
        </w:tc>
        <w:tc>
          <w:tcPr>
            <w:tcW w:w="1187" w:type="dxa"/>
          </w:tcPr>
          <w:p w14:paraId="49ED0CB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验证LLM集成功能可用，AI代理能正确调度工具执行测试任务</w:t>
            </w:r>
          </w:p>
        </w:tc>
        <w:tc>
          <w:tcPr>
            <w:tcW w:w="1187" w:type="dxa"/>
          </w:tcPr>
          <w:p w14:paraId="1C8147E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P1，建议修改</w:t>
            </w:r>
          </w:p>
        </w:tc>
      </w:tr>
      <w:tr w14:paraId="5766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38FF6FE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F-02</w:t>
            </w:r>
          </w:p>
        </w:tc>
        <w:tc>
          <w:tcPr>
            <w:tcW w:w="1187" w:type="dxa"/>
          </w:tcPr>
          <w:p w14:paraId="2ACD504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4.7：知识图谱构建与查看</w:t>
            </w:r>
          </w:p>
        </w:tc>
        <w:tc>
          <w:tcPr>
            <w:tcW w:w="1187" w:type="dxa"/>
          </w:tcPr>
          <w:p w14:paraId="29BA5EF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知识图谱为技术实现方案，需求应描述其支撑的业务能力</w:t>
            </w:r>
          </w:p>
        </w:tc>
        <w:tc>
          <w:tcPr>
            <w:tcW w:w="1187" w:type="dxa"/>
          </w:tcPr>
          <w:p w14:paraId="6436C7C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需求描述知识图谱支撑的具体业务能力</w:t>
            </w:r>
          </w:p>
        </w:tc>
        <w:tc>
          <w:tcPr>
            <w:tcW w:w="1187" w:type="dxa"/>
          </w:tcPr>
          <w:p w14:paraId="5E2B8EC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系统应支持安全知识的结构化管理和可视化查看，支持漏洞关联分析、攻击路径推理和知识检索</w:t>
            </w:r>
          </w:p>
        </w:tc>
        <w:tc>
          <w:tcPr>
            <w:tcW w:w="1187" w:type="dxa"/>
          </w:tcPr>
          <w:p w14:paraId="707F74C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验证知识检索、关联分析和可视化展示功能</w:t>
            </w:r>
          </w:p>
        </w:tc>
        <w:tc>
          <w:tcPr>
            <w:tcW w:w="1187" w:type="dxa"/>
          </w:tcPr>
          <w:p w14:paraId="0F21778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P1，建议修改</w:t>
            </w:r>
          </w:p>
        </w:tc>
      </w:tr>
      <w:tr w14:paraId="6E88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040D3A3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F-03</w:t>
            </w:r>
          </w:p>
        </w:tc>
        <w:tc>
          <w:tcPr>
            <w:tcW w:w="1187" w:type="dxa"/>
          </w:tcPr>
          <w:p w14:paraId="13D7870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9.3：DM8数据库</w:t>
            </w:r>
          </w:p>
        </w:tc>
        <w:tc>
          <w:tcPr>
            <w:tcW w:w="1187" w:type="dxa"/>
          </w:tcPr>
          <w:p w14:paraId="73174A50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DM8为特定产品选型，需求应描述数据存储能力而非特定产品</w:t>
            </w:r>
          </w:p>
        </w:tc>
        <w:tc>
          <w:tcPr>
            <w:tcW w:w="1187" w:type="dxa"/>
          </w:tcPr>
          <w:p w14:paraId="32FC719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需求描述数据管理能力，产品选型后置</w:t>
            </w:r>
          </w:p>
        </w:tc>
        <w:tc>
          <w:tcPr>
            <w:tcW w:w="1187" w:type="dxa"/>
          </w:tcPr>
          <w:p w14:paraId="0B7A2A29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系统应采用嵌入式关系型数据库（如SQLite/DM8等），支持测试数据、配置数据和知识数据的持久化存储和高效查询</w:t>
            </w:r>
          </w:p>
        </w:tc>
        <w:tc>
          <w:tcPr>
            <w:tcW w:w="1187" w:type="dxa"/>
          </w:tcPr>
          <w:p w14:paraId="7709039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验证数据持久化、查询性能和数据完整性</w:t>
            </w:r>
          </w:p>
        </w:tc>
        <w:tc>
          <w:tcPr>
            <w:tcW w:w="1187" w:type="dxa"/>
          </w:tcPr>
          <w:p w14:paraId="434F33C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P2，建议修改</w:t>
            </w:r>
          </w:p>
        </w:tc>
      </w:tr>
    </w:tbl>
    <w:p w14:paraId="524ED817"/>
    <w:p w14:paraId="3411A20D">
      <w:pPr>
        <w:pStyle w:val="3"/>
      </w:pPr>
      <w:r>
        <w:rPr>
          <w:rFonts w:ascii="黑体" w:hAnsi="黑体" w:eastAsia="黑体"/>
        </w:rPr>
        <w:t>需调整的性能、数据等项目指标</w:t>
      </w:r>
    </w:p>
    <w:p w14:paraId="009DA4C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990"/>
        <w:gridCol w:w="1836"/>
        <w:gridCol w:w="1106"/>
        <w:gridCol w:w="1566"/>
        <w:gridCol w:w="1106"/>
        <w:gridCol w:w="991"/>
      </w:tblGrid>
      <w:tr w14:paraId="5F62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33F564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w="1187" w:type="dxa"/>
          </w:tcPr>
          <w:p w14:paraId="25B161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原指标</w:t>
            </w:r>
          </w:p>
        </w:tc>
        <w:tc>
          <w:tcPr>
            <w:tcW w:w="1187" w:type="dxa"/>
          </w:tcPr>
          <w:p w14:paraId="298D2C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主要问题</w:t>
            </w:r>
          </w:p>
        </w:tc>
        <w:tc>
          <w:tcPr>
            <w:tcW w:w="1187" w:type="dxa"/>
          </w:tcPr>
          <w:p w14:paraId="0CE465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处理建议</w:t>
            </w:r>
          </w:p>
        </w:tc>
        <w:tc>
          <w:tcPr>
            <w:tcW w:w="1187" w:type="dxa"/>
          </w:tcPr>
          <w:p w14:paraId="0AD9C0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建议条款</w:t>
            </w:r>
          </w:p>
        </w:tc>
        <w:tc>
          <w:tcPr>
            <w:tcW w:w="1187" w:type="dxa"/>
          </w:tcPr>
          <w:p w14:paraId="5B829B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验收方法</w:t>
            </w:r>
          </w:p>
        </w:tc>
        <w:tc>
          <w:tcPr>
            <w:tcW w:w="1187" w:type="dxa"/>
          </w:tcPr>
          <w:p w14:paraId="51DFCD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优先级/状态</w:t>
            </w:r>
          </w:p>
        </w:tc>
      </w:tr>
      <w:tr w14:paraId="3E9E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1E14CC4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M-01</w:t>
            </w:r>
          </w:p>
        </w:tc>
        <w:tc>
          <w:tcPr>
            <w:tcW w:w="1187" w:type="dxa"/>
          </w:tcPr>
          <w:p w14:paraId="7F20336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可扫描攻击的漏洞类型5种</w:t>
            </w:r>
          </w:p>
        </w:tc>
        <w:tc>
          <w:tcPr>
            <w:tcW w:w="1187" w:type="dxa"/>
          </w:tcPr>
          <w:p w14:paraId="2240455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数量偏少且未规定GB/T 30279-2020分类层级；仅列出示例漏洞类型不够严谨</w:t>
            </w:r>
          </w:p>
        </w:tc>
        <w:tc>
          <w:tcPr>
            <w:tcW w:w="1187" w:type="dxa"/>
          </w:tcPr>
          <w:p w14:paraId="55FEA2F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增加漏洞类型数量要求，明确分类标准和验证门槛</w:t>
            </w:r>
          </w:p>
        </w:tc>
        <w:tc>
          <w:tcPr>
            <w:tcW w:w="1187" w:type="dxa"/>
          </w:tcPr>
          <w:p w14:paraId="29B2619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系统应按照GB/T 30279-2020分类层级，支持不少于5类漏洞的自动化扫描与攻击测试。每类漏洞应至少具备一种经验证的攻击方法、一组目标靶机测试用例及可复现攻击证据</w:t>
            </w:r>
          </w:p>
        </w:tc>
        <w:tc>
          <w:tcPr>
            <w:tcW w:w="1187" w:type="dxa"/>
          </w:tcPr>
          <w:p w14:paraId="1F6C8AE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审查漏洞类型清单；逐类执行靶机验证并检查攻击证据</w:t>
            </w:r>
          </w:p>
        </w:tc>
        <w:tc>
          <w:tcPr>
            <w:tcW w:w="1187" w:type="dxa"/>
          </w:tcPr>
          <w:p w14:paraId="6E9C1BAE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P0，待确认分类层级和清单</w:t>
            </w:r>
          </w:p>
        </w:tc>
      </w:tr>
      <w:tr w14:paraId="0C4BF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718EFE42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M-02</w:t>
            </w:r>
          </w:p>
        </w:tc>
        <w:tc>
          <w:tcPr>
            <w:tcW w:w="1187" w:type="dxa"/>
          </w:tcPr>
          <w:p w14:paraId="232666B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战术手册数10个</w:t>
            </w:r>
          </w:p>
        </w:tc>
        <w:tc>
          <w:tcPr>
            <w:tcW w:w="1187" w:type="dxa"/>
          </w:tcPr>
          <w:p w14:paraId="341225B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DB中playbook 113条但92条无分类；有明确分类的仅21条，战术手册需按攻击战术（MITRE ATT&amp;CK）组织</w:t>
            </w:r>
          </w:p>
        </w:tc>
        <w:tc>
          <w:tcPr>
            <w:tcW w:w="1187" w:type="dxa"/>
          </w:tcPr>
          <w:p w14:paraId="376DF13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补全playbook分类，按MITRE ATT&amp;CK战术整理手册</w:t>
            </w:r>
          </w:p>
        </w:tc>
        <w:tc>
          <w:tcPr>
            <w:tcW w:w="1187" w:type="dxa"/>
          </w:tcPr>
          <w:p w14:paraId="35BDCA7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系统应提供不少于10个战术手册，每个手册应按MITRE ATT&amp;CK战术阶段组织，包含该战术下的攻击流程、工具链和操作指南</w:t>
            </w:r>
          </w:p>
        </w:tc>
        <w:tc>
          <w:tcPr>
            <w:tcW w:w="1187" w:type="dxa"/>
          </w:tcPr>
          <w:p w14:paraId="56BC6FA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审查手册数量和ATT&amp;CK覆盖度；验证手册内容完整性</w:t>
            </w:r>
          </w:p>
        </w:tc>
        <w:tc>
          <w:tcPr>
            <w:tcW w:w="1187" w:type="dxa"/>
          </w:tcPr>
          <w:p w14:paraId="26F3D0D9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P1，建议修改</w:t>
            </w:r>
          </w:p>
        </w:tc>
      </w:tr>
      <w:tr w14:paraId="51E3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273463C2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M-03</w:t>
            </w:r>
          </w:p>
        </w:tc>
        <w:tc>
          <w:tcPr>
            <w:tcW w:w="1187" w:type="dxa"/>
          </w:tcPr>
          <w:p w14:paraId="61DC950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漏洞利用想定数50个</w:t>
            </w:r>
          </w:p>
        </w:tc>
        <w:tc>
          <w:tcPr>
            <w:tcW w:w="1187" w:type="dxa"/>
          </w:tcPr>
          <w:p w14:paraId="3715643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文件系统playbook 45个&lt;50；DB中113条但多数无分类，需整理出50个"想定"</w:t>
            </w:r>
          </w:p>
        </w:tc>
        <w:tc>
          <w:tcPr>
            <w:tcW w:w="1187" w:type="dxa"/>
          </w:tcPr>
          <w:p w14:paraId="2DE374DB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补全playbook至50个以上，为每个想定关联攻击目标和漏洞类型</w:t>
            </w:r>
          </w:p>
        </w:tc>
        <w:tc>
          <w:tcPr>
            <w:tcW w:w="1187" w:type="dxa"/>
          </w:tcPr>
          <w:p w14:paraId="625BB320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系统应提供不少于50个漏洞利用想定，每个想定应包含攻击目标、漏洞类型、前置条件和预期效果；想定应覆盖主要漏洞分类</w:t>
            </w:r>
          </w:p>
        </w:tc>
        <w:tc>
          <w:tcPr>
            <w:tcW w:w="1187" w:type="dxa"/>
          </w:tcPr>
          <w:p w14:paraId="2A2FC56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审查想定数量和覆盖度；抽样验证想定可执行性</w:t>
            </w:r>
          </w:p>
        </w:tc>
        <w:tc>
          <w:tcPr>
            <w:tcW w:w="1187" w:type="dxa"/>
          </w:tcPr>
          <w:p w14:paraId="28C534F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P1，建议修改</w:t>
            </w:r>
          </w:p>
        </w:tc>
      </w:tr>
      <w:tr w14:paraId="12D6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2B149A8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M-04</w:t>
            </w:r>
          </w:p>
        </w:tc>
        <w:tc>
          <w:tcPr>
            <w:tcW w:w="1187" w:type="dxa"/>
          </w:tcPr>
          <w:p w14:paraId="10FD3D8E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漏洞利用预案数50个</w:t>
            </w:r>
          </w:p>
        </w:tc>
        <w:tc>
          <w:tcPr>
            <w:tcW w:w="1187" w:type="dxa"/>
          </w:tcPr>
          <w:p w14:paraId="4B931B9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当前playbook可视为预案，但需明确区分"想定"（场景描述）和"预案"（执行步骤）</w:t>
            </w:r>
          </w:p>
        </w:tc>
        <w:tc>
          <w:tcPr>
            <w:tcW w:w="1187" w:type="dxa"/>
          </w:tcPr>
          <w:p w14:paraId="48DAC6F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为每个想定关联至少一个可执行预案，明确想定与预案的层级关系</w:t>
            </w:r>
          </w:p>
        </w:tc>
        <w:tc>
          <w:tcPr>
            <w:tcW w:w="1187" w:type="dxa"/>
          </w:tcPr>
          <w:p w14:paraId="47A1D692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系统应提供不少于50个漏洞利用预案，每个预案应包含可执行的工具链步骤、参数配置和回退方案；每个想定应关联至少一个预案</w:t>
            </w:r>
          </w:p>
        </w:tc>
        <w:tc>
          <w:tcPr>
            <w:tcW w:w="1187" w:type="dxa"/>
          </w:tcPr>
          <w:p w14:paraId="33F62D4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审查预案数量；抽样执行验证预案可执行性和与想定的关联</w:t>
            </w:r>
          </w:p>
        </w:tc>
        <w:tc>
          <w:tcPr>
            <w:tcW w:w="1187" w:type="dxa"/>
          </w:tcPr>
          <w:p w14:paraId="72ECF24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P1，建议修改</w:t>
            </w:r>
          </w:p>
        </w:tc>
      </w:tr>
      <w:tr w14:paraId="5DE1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470E8BC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M-05</w:t>
            </w:r>
          </w:p>
        </w:tc>
        <w:tc>
          <w:tcPr>
            <w:tcW w:w="1187" w:type="dxa"/>
          </w:tcPr>
          <w:p w14:paraId="2714FE79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近五年漏洞总数20万个</w:t>
            </w:r>
          </w:p>
        </w:tc>
        <w:tc>
          <w:tcPr>
            <w:tcW w:w="1187" w:type="dxa"/>
          </w:tcPr>
          <w:p w14:paraId="06691AB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当前仅依赖nuclei-templates（约1.3万个YAML模板），无独立漏洞数据库；模板数≠漏洞记录条目，差一个数量级</w:t>
            </w:r>
          </w:p>
        </w:tc>
        <w:tc>
          <w:tcPr>
            <w:tcW w:w="1187" w:type="dxa"/>
          </w:tcPr>
          <w:p w14:paraId="2923B7BB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建设独立漏洞数据库，导入CVE/CNVD等权威数据源</w:t>
            </w:r>
          </w:p>
        </w:tc>
        <w:tc>
          <w:tcPr>
            <w:tcW w:w="1187" w:type="dxa"/>
          </w:tcPr>
          <w:p w14:paraId="12CB0A5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系统应建立独立漏洞数据库，包含近五年不少于20万条漏洞记录，数据来源应包含CVE和CNVD等权威库，每条记录应包含编号、描述、影响产品/版本、CVSS评分和修复建议；支持与nuclei模板的关联映射</w:t>
            </w:r>
          </w:p>
        </w:tc>
        <w:tc>
          <w:tcPr>
            <w:tcW w:w="1187" w:type="dxa"/>
          </w:tcPr>
          <w:p w14:paraId="27A6618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审查数据来源和导入日志；抽样验证记录完整性和CVE/CNVD编号有效性</w:t>
            </w:r>
          </w:p>
        </w:tc>
        <w:tc>
          <w:tcPr>
            <w:tcW w:w="1187" w:type="dxa"/>
          </w:tcPr>
          <w:p w14:paraId="3F84DD8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P0，当前不满足</w:t>
            </w:r>
          </w:p>
        </w:tc>
      </w:tr>
      <w:tr w14:paraId="1F2D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15D74DD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M-06</w:t>
            </w:r>
          </w:p>
        </w:tc>
        <w:tc>
          <w:tcPr>
            <w:tcW w:w="1187" w:type="dxa"/>
          </w:tcPr>
          <w:p w14:paraId="09396D6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近五年零日漏洞数50个</w:t>
            </w:r>
          </w:p>
        </w:tc>
        <w:tc>
          <w:tcPr>
            <w:tcW w:w="1187" w:type="dxa"/>
          </w:tcPr>
          <w:p w14:paraId="6F41784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当前无零日漏洞数据源和入库机制</w:t>
            </w:r>
          </w:p>
        </w:tc>
        <w:tc>
          <w:tcPr>
            <w:tcW w:w="1187" w:type="dxa"/>
          </w:tcPr>
          <w:p w14:paraId="5FD5704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建立零日漏洞收录渠道和数据管理机制</w:t>
            </w:r>
          </w:p>
        </w:tc>
        <w:tc>
          <w:tcPr>
            <w:tcW w:w="1187" w:type="dxa"/>
          </w:tcPr>
          <w:p w14:paraId="2BD1F83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系统应收录不少于50条近五年零日漏洞记录，数据来源应可追溯（如CNVD公告、安全社区披露等），每条记录应包含漏洞描述、影响范围、披露时间和验证状态</w:t>
            </w:r>
          </w:p>
        </w:tc>
        <w:tc>
          <w:tcPr>
            <w:tcW w:w="1187" w:type="dxa"/>
          </w:tcPr>
          <w:p w14:paraId="6DC3944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审查零日漏洞数据来源和收录记录；验证条目数≥50</w:t>
            </w:r>
          </w:p>
        </w:tc>
        <w:tc>
          <w:tcPr>
            <w:tcW w:w="1187" w:type="dxa"/>
          </w:tcPr>
          <w:p w14:paraId="3469D4A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P0，当前不满足</w:t>
            </w:r>
          </w:p>
        </w:tc>
      </w:tr>
      <w:tr w14:paraId="237FC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3A991CC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M-07</w:t>
            </w:r>
          </w:p>
        </w:tc>
        <w:tc>
          <w:tcPr>
            <w:tcW w:w="1187" w:type="dxa"/>
          </w:tcPr>
          <w:p w14:paraId="19564AA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测试用例数200个</w:t>
            </w:r>
          </w:p>
        </w:tc>
        <w:tc>
          <w:tcPr>
            <w:tcW w:w="1187" w:type="dxa"/>
          </w:tcPr>
          <w:p w14:paraId="4514796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当前仅有执行记录（84条execution_runs），无独立可复用的测试用例集；执行记录≠测试用例</w:t>
            </w:r>
          </w:p>
        </w:tc>
        <w:tc>
          <w:tcPr>
            <w:tcW w:w="1187" w:type="dxa"/>
          </w:tcPr>
          <w:p w14:paraId="0C92B3EB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建立独立测试用例库，从已有执行记录和playbook中提炼可复用用例</w:t>
            </w:r>
          </w:p>
        </w:tc>
        <w:tc>
          <w:tcPr>
            <w:tcW w:w="1187" w:type="dxa"/>
          </w:tcPr>
          <w:p w14:paraId="0E6469D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系统应提供不少于200个可复用的测试用例，每个用例应包含测试目标、前置条件、执行步骤、预期结果和判定标准；用例应覆盖全部7个一级功能模块，支持用例的导入导出和版本管理</w:t>
            </w:r>
          </w:p>
        </w:tc>
        <w:tc>
          <w:tcPr>
            <w:tcW w:w="1187" w:type="dxa"/>
          </w:tcPr>
          <w:p w14:paraId="051ADD30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审查用例库条目数和覆盖度；抽样执行验证可复用性</w:t>
            </w:r>
          </w:p>
        </w:tc>
        <w:tc>
          <w:tcPr>
            <w:tcW w:w="1187" w:type="dxa"/>
          </w:tcPr>
          <w:p w14:paraId="168715E9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P0，当前不满足</w:t>
            </w:r>
          </w:p>
        </w:tc>
      </w:tr>
      <w:tr w14:paraId="71D04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3AA938C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M-08</w:t>
            </w:r>
          </w:p>
        </w:tc>
        <w:tc>
          <w:tcPr>
            <w:tcW w:w="1187" w:type="dxa"/>
          </w:tcPr>
          <w:p w14:paraId="0B42673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软件系统故障恢复时间0.5小时</w:t>
            </w:r>
          </w:p>
        </w:tc>
        <w:tc>
          <w:tcPr>
            <w:tcW w:w="1187" w:type="dxa"/>
          </w:tcPr>
          <w:p w14:paraId="6931607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当前为单进程Node.js+SQLite，无健康检查、自动恢复和数据备份机制</w:t>
            </w:r>
          </w:p>
        </w:tc>
        <w:tc>
          <w:tcPr>
            <w:tcW w:w="1187" w:type="dxa"/>
          </w:tcPr>
          <w:p w14:paraId="2376671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增加进程守护、健康检查、自动重启和数据备份恢复机制</w:t>
            </w:r>
          </w:p>
        </w:tc>
        <w:tc>
          <w:tcPr>
            <w:tcW w:w="1187" w:type="dxa"/>
          </w:tcPr>
          <w:p w14:paraId="556A807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系统应实现进程守护（如PM2/systemd）、定期健康检查、异常自动重启和数据库定时备份；在软件故障后30分钟内应能自动恢复服务并恢复至最近一次备份的数据状态</w:t>
            </w:r>
          </w:p>
        </w:tc>
        <w:tc>
          <w:tcPr>
            <w:tcW w:w="1187" w:type="dxa"/>
          </w:tcPr>
          <w:p w14:paraId="19D91F5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模拟进程崩溃/数据库损坏场景，测量恢复时间和数据完整性</w:t>
            </w:r>
          </w:p>
        </w:tc>
        <w:tc>
          <w:tcPr>
            <w:tcW w:w="1187" w:type="dxa"/>
          </w:tcPr>
          <w:p w14:paraId="5FEB537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P1，当前不满足</w:t>
            </w:r>
          </w:p>
        </w:tc>
      </w:tr>
      <w:tr w14:paraId="35C0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5EA1F53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M-09</w:t>
            </w:r>
          </w:p>
        </w:tc>
        <w:tc>
          <w:tcPr>
            <w:tcW w:w="1187" w:type="dxa"/>
          </w:tcPr>
          <w:p w14:paraId="4C4A6C3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无故障运行时间168小时(7天24小时)</w:t>
            </w:r>
          </w:p>
        </w:tc>
        <w:tc>
          <w:tcPr>
            <w:tcW w:w="1187" w:type="dxa"/>
          </w:tcPr>
          <w:p w14:paraId="45C886D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单进程无守护机制，长时间运行可能因内存泄漏或未处理异常导致进程退出</w:t>
            </w:r>
          </w:p>
        </w:tc>
        <w:tc>
          <w:tcPr>
            <w:tcW w:w="1187" w:type="dxa"/>
          </w:tcPr>
          <w:p w14:paraId="35BB6A3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增加进程守护、内存监控和日志轮转</w:t>
            </w:r>
          </w:p>
        </w:tc>
        <w:tc>
          <w:tcPr>
            <w:tcW w:w="1187" w:type="dxa"/>
          </w:tcPr>
          <w:p w14:paraId="742B90A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系统应支持7×24小时连续运行，具备进程守护、内存使用监控（超阈值自动重启）、日志轮转和连接池回收机制</w:t>
            </w:r>
          </w:p>
        </w:tc>
        <w:tc>
          <w:tcPr>
            <w:tcW w:w="1187" w:type="dxa"/>
          </w:tcPr>
          <w:p w14:paraId="6DB76C8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连续运行7天，监控内存/CPU/进程状态，检查无异常退出</w:t>
            </w:r>
          </w:p>
        </w:tc>
        <w:tc>
          <w:tcPr>
            <w:tcW w:w="1187" w:type="dxa"/>
          </w:tcPr>
          <w:p w14:paraId="211406A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P1，当前有风险</w:t>
            </w:r>
          </w:p>
        </w:tc>
      </w:tr>
      <w:tr w14:paraId="7F95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1A4FC1E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M-10</w:t>
            </w:r>
          </w:p>
        </w:tc>
        <w:tc>
          <w:tcPr>
            <w:tcW w:w="1187" w:type="dxa"/>
          </w:tcPr>
          <w:p w14:paraId="7A88017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最大并发扫描60个IP</w:t>
            </w:r>
          </w:p>
        </w:tc>
        <w:tc>
          <w:tcPr>
            <w:tcW w:w="1187" w:type="dxa"/>
          </w:tcPr>
          <w:p w14:paraId="0203533B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架构上Node.js异步+容器隔离支持并发，但未做过60并发压力测试，容器调度可能成为瓶颈</w:t>
            </w:r>
          </w:p>
        </w:tc>
        <w:tc>
          <w:tcPr>
            <w:tcW w:w="1187" w:type="dxa"/>
          </w:tcPr>
          <w:p w14:paraId="5D7D94F2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进行并发压力测试，增加并发控制和队列机制</w:t>
            </w:r>
          </w:p>
        </w:tc>
        <w:tc>
          <w:tcPr>
            <w:tcW w:w="1187" w:type="dxa"/>
          </w:tcPr>
          <w:p w14:paraId="0EA35809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系统应支持不少于60个IP地址的并发扫描，应具备并发任务队列、资源限流和优先级调度机制；在满并发条件下单个扫描任务完成时间增长不超过50%</w:t>
            </w:r>
          </w:p>
        </w:tc>
        <w:tc>
          <w:tcPr>
            <w:tcW w:w="1187" w:type="dxa"/>
          </w:tcPr>
          <w:p w14:paraId="31B62E5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执行60并发扫描压力测试，测量任务完成时间和系统资源占用</w:t>
            </w:r>
          </w:p>
        </w:tc>
        <w:tc>
          <w:tcPr>
            <w:tcW w:w="1187" w:type="dxa"/>
          </w:tcPr>
          <w:p w14:paraId="6C1A75BE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P2，未验证</w:t>
            </w:r>
          </w:p>
        </w:tc>
      </w:tr>
      <w:tr w14:paraId="3908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094BE53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M-11</w:t>
            </w:r>
          </w:p>
        </w:tc>
        <w:tc>
          <w:tcPr>
            <w:tcW w:w="1187" w:type="dxa"/>
          </w:tcPr>
          <w:p w14:paraId="7B5F22A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扫描速度：15分钟/C类(50%存活)</w:t>
            </w:r>
          </w:p>
        </w:tc>
        <w:tc>
          <w:tcPr>
            <w:tcW w:w="1187" w:type="dxa"/>
          </w:tcPr>
          <w:p w14:paraId="14649A6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依赖nmap参数和网络环境，未在标准环境下做过基准测试</w:t>
            </w:r>
          </w:p>
        </w:tc>
        <w:tc>
          <w:tcPr>
            <w:tcW w:w="1187" w:type="dxa"/>
          </w:tcPr>
          <w:p w14:paraId="5BC1062E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在实验室标准环境下进行基准测试并调优nmap参数</w:t>
            </w:r>
          </w:p>
        </w:tc>
        <w:tc>
          <w:tcPr>
            <w:tcW w:w="1187" w:type="dxa"/>
          </w:tcPr>
          <w:p w14:paraId="2542E24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在50%主机存活的C类网段中，端口扫描完成时间应不超过15分钟；应提供快速/标准/深度三档扫描配置</w:t>
            </w:r>
          </w:p>
        </w:tc>
        <w:tc>
          <w:tcPr>
            <w:tcW w:w="1187" w:type="dxa"/>
          </w:tcPr>
          <w:p w14:paraId="268AB76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在标准靶场环境下执行C类网段扫描并计时</w:t>
            </w:r>
          </w:p>
        </w:tc>
        <w:tc>
          <w:tcPr>
            <w:tcW w:w="1187" w:type="dxa"/>
          </w:tcPr>
          <w:p w14:paraId="15346964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P2，未验证</w:t>
            </w:r>
          </w:p>
        </w:tc>
      </w:tr>
      <w:tr w14:paraId="1B7A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1029422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M-12</w:t>
            </w:r>
          </w:p>
        </w:tc>
        <w:tc>
          <w:tcPr>
            <w:tcW w:w="1187" w:type="dxa"/>
          </w:tcPr>
          <w:p w14:paraId="1D4ECE9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扫描误报率≤5%</w:t>
            </w:r>
          </w:p>
        </w:tc>
        <w:tc>
          <w:tcPr>
            <w:tcW w:w="1187" w:type="dxa"/>
          </w:tcPr>
          <w:p w14:paraId="325B830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依赖nuclei模板质量和目标环境，未建立基准测试集度量误报率</w:t>
            </w:r>
          </w:p>
        </w:tc>
        <w:tc>
          <w:tcPr>
            <w:tcW w:w="1187" w:type="dxa"/>
          </w:tcPr>
          <w:p w14:paraId="2D97D37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建立基准测试集，定期度量并优化模板选择</w:t>
            </w:r>
          </w:p>
        </w:tc>
        <w:tc>
          <w:tcPr>
            <w:tcW w:w="1187" w:type="dxa"/>
          </w:tcPr>
          <w:p w14:paraId="44A9B16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系统扫描误报率应不超过5%，应提供误报标记和模板黑白名单机制，支持基于历史结果的模板质量评估</w:t>
            </w:r>
          </w:p>
        </w:tc>
        <w:tc>
          <w:tcPr>
            <w:tcW w:w="1187" w:type="dxa"/>
          </w:tcPr>
          <w:p w14:paraId="4F7040D2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在标准靶场集上执行扫描，统计误报率</w:t>
            </w:r>
          </w:p>
        </w:tc>
        <w:tc>
          <w:tcPr>
            <w:tcW w:w="1187" w:type="dxa"/>
          </w:tcPr>
          <w:p w14:paraId="7A55F82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P2，未验证</w:t>
            </w:r>
          </w:p>
        </w:tc>
      </w:tr>
      <w:tr w14:paraId="6709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5AA9ADF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M-13</w:t>
            </w:r>
          </w:p>
        </w:tc>
        <w:tc>
          <w:tcPr>
            <w:tcW w:w="1187" w:type="dxa"/>
          </w:tcPr>
          <w:p w14:paraId="019B25E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页面检测速度：1000页/1小时</w:t>
            </w:r>
          </w:p>
        </w:tc>
        <w:tc>
          <w:tcPr>
            <w:tcW w:w="1187" w:type="dxa"/>
          </w:tcPr>
          <w:p w14:paraId="418AFC85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依赖nikto/sqlmap配置和目标响应速度，未做过基准测试</w:t>
            </w:r>
          </w:p>
        </w:tc>
        <w:tc>
          <w:tcPr>
            <w:tcW w:w="1187" w:type="dxa"/>
          </w:tcPr>
          <w:p w14:paraId="09E0AF76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在标准环境下基准测试并调优检测参数</w:t>
            </w:r>
          </w:p>
        </w:tc>
        <w:tc>
          <w:tcPr>
            <w:tcW w:w="1187" w:type="dxa"/>
          </w:tcPr>
          <w:p w14:paraId="269D25E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系统应在1小时内完成不少于1000个Web页面的漏洞检测，应支持多实例并行检测和请求速率控制</w:t>
            </w:r>
          </w:p>
        </w:tc>
        <w:tc>
          <w:tcPr>
            <w:tcW w:w="1187" w:type="dxa"/>
          </w:tcPr>
          <w:p w14:paraId="79CB12EB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在标准靶场环境下执行1000页检测并计时</w:t>
            </w:r>
          </w:p>
        </w:tc>
        <w:tc>
          <w:tcPr>
            <w:tcW w:w="1187" w:type="dxa"/>
          </w:tcPr>
          <w:p w14:paraId="2D681857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P2，未验证</w:t>
            </w:r>
          </w:p>
        </w:tc>
      </w:tr>
      <w:tr w14:paraId="1F1E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7" w:type="dxa"/>
          </w:tcPr>
          <w:p w14:paraId="7466552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M-14</w:t>
            </w:r>
          </w:p>
        </w:tc>
        <w:tc>
          <w:tcPr>
            <w:tcW w:w="1187" w:type="dxa"/>
          </w:tcPr>
          <w:p w14:paraId="46068AB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部署配置时间2小时</w:t>
            </w:r>
          </w:p>
        </w:tc>
        <w:tc>
          <w:tcPr>
            <w:tcW w:w="1187" w:type="dxa"/>
          </w:tcPr>
          <w:p w14:paraId="6C35CC2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11个容器镜像首次构建/拉取可能超时；若离线预打包则可满足</w:t>
            </w:r>
          </w:p>
        </w:tc>
        <w:tc>
          <w:tcPr>
            <w:tcW w:w="1187" w:type="dxa"/>
          </w:tcPr>
          <w:p w14:paraId="7AE50B0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提供离线镜像包（tar格式），一键加载脚本</w:t>
            </w:r>
          </w:p>
        </w:tc>
        <w:tc>
          <w:tcPr>
            <w:tcW w:w="1187" w:type="dxa"/>
          </w:tcPr>
          <w:p w14:paraId="2535300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在提供离线镜像包的条件下，平台软件及全部依赖组件的完整部署配置时间不超过2小时；应提供镜像预加载脚本和部署进度可视化</w:t>
            </w:r>
          </w:p>
        </w:tc>
        <w:tc>
          <w:tcPr>
            <w:tcW w:w="1187" w:type="dxa"/>
          </w:tcPr>
          <w:p w14:paraId="307AAC9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使用离线包执行完整部署并计时</w:t>
            </w:r>
          </w:p>
        </w:tc>
        <w:tc>
          <w:tcPr>
            <w:tcW w:w="1187" w:type="dxa"/>
          </w:tcPr>
          <w:p w14:paraId="4D15A1C0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P2，有风险</w:t>
            </w:r>
          </w:p>
        </w:tc>
      </w:tr>
    </w:tbl>
    <w:p w14:paraId="16C2FD84">
      <w:bookmarkStart w:id="0" w:name="_GoBack"/>
      <w:bookmarkEnd w:id="0"/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AD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1713</Words>
  <Characters>1940</Characters>
  <Lines>0</Lines>
  <Paragraphs>0</Paragraphs>
  <TotalTime>0</TotalTime>
  <ScaleCrop>false</ScaleCrop>
  <LinksUpToDate>false</LinksUpToDate>
  <CharactersWithSpaces>1955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yuan gao</cp:lastModifiedBy>
  <dcterms:modified xsi:type="dcterms:W3CDTF">2026-09-02T10:16:17Z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eyJoZGlkIjoiZDU4Yjk5MTRjMGVkNWM5MDNlM2NlYzg0OGNiOTE3ZGUiLCJ1c2VySWQiOiI4MTc4MDY5MjIifQ==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B87E204432074848A51BB8129EF84ED7_12</vt:lpwstr>
  </property>
</Properties>
</file>