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1F4E78"/>
          <w:sz w:val="48"/>
        </w:rPr>
        <w:t>SPEC-001 — Sistema Executivo Local para Gestão de Centro Universitário</w:t>
      </w:r>
    </w:p>
    <w:p>
      <w:pPr>
        <w:jc w:val="center"/>
      </w:pPr>
      <w:r>
        <w:rPr>
          <w:rFonts w:ascii="Aptos" w:hAnsi="Aptos"/>
          <w:i/>
          <w:color w:val="5B6B7A"/>
          <w:sz w:val="23"/>
        </w:rPr>
        <w:t>Parte 1 de 2 • Documento consolidado da especificação principal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4873"/>
        <w:gridCol w:w="4873"/>
      </w:tblGrid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</w:tcPr>
          <w:p>
            <w:pPr>
              <w:spacing w:after="0"/>
            </w:pPr>
            <w:r>
              <w:rPr>
                <w:b/>
                <w:color w:val="1F1F1F"/>
              </w:rPr>
              <w:t>Status</w:t>
            </w:r>
          </w:p>
        </w:tc>
        <w:tc>
          <w:tcPr>
            <w:tcW w:type="dxa" w:w="595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Consolidado a partir da conversa de planejamento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</w:tcPr>
          <w:p>
            <w:pPr>
              <w:spacing w:after="0"/>
            </w:pPr>
            <w:r>
              <w:rPr>
                <w:b/>
                <w:color w:val="1F1F1F"/>
              </w:rPr>
              <w:t>Escopo do MVP</w:t>
            </w:r>
          </w:p>
        </w:tc>
        <w:tc>
          <w:tcPr>
            <w:tcW w:type="dxa" w:w="595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Uso local, single-user, voice-first, foco no Giuseppe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</w:tcPr>
          <w:p>
            <w:pPr>
              <w:spacing w:after="0"/>
            </w:pPr>
            <w:r>
              <w:rPr>
                <w:b/>
                <w:color w:val="1F1F1F"/>
              </w:rPr>
              <w:t>Guia do produto</w:t>
            </w:r>
          </w:p>
        </w:tc>
        <w:tc>
          <w:tcPr>
            <w:tcW w:type="dxa" w:w="595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Planejamento • Captação • Normas e Regulação • Documentos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</w:tcPr>
          <w:p>
            <w:pPr>
              <w:spacing w:after="0"/>
            </w:pPr>
            <w:r>
              <w:rPr>
                <w:b/>
                <w:color w:val="1F1F1F"/>
              </w:rPr>
              <w:t>Data</w:t>
            </w:r>
          </w:p>
        </w:tc>
        <w:tc>
          <w:tcPr>
            <w:tcW w:type="dxa" w:w="595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31 de março de 2026</w:t>
            </w:r>
          </w:p>
        </w:tc>
      </w:tr>
    </w:tbl>
    <w:p/>
    <w:p>
      <w:pPr>
        <w:jc w:val="center"/>
      </w:pPr>
      <w:r>
        <w:rPr>
          <w:color w:val="5B6B7A"/>
          <w:sz w:val="19"/>
        </w:rPr>
        <w:t>Documento preparado para orientar documentação, arquitetura e implementação por equipes humanas e agentes de codificação.</w:t>
      </w:r>
    </w:p>
    <w:p>
      <w:r>
        <w:br w:type="page"/>
      </w:r>
    </w:p>
    <w:p>
      <w:pPr>
        <w:pStyle w:val="Heading1"/>
      </w:pPr>
      <w:r>
        <w:t>Background</w:t>
      </w:r>
    </w:p>
    <w:p>
      <w:r>
        <w:t>O produto proposto é um sistema interno local-first, executado no computador do Giuseppe, com interface inspirada em chat conversacional, mas adaptada para apoio executivo, produção documental e acompanhamento institucional de um Centro Universitário.</w:t>
      </w:r>
    </w:p>
    <w:p>
      <w:r>
        <w:t>O usuário-chave trabalha com estilo decisório centralizado, alto rigor documental e forte dependência de registros escritos. O sistema, portanto, não deve ser apenas um chat, e sim uma plataforma de apoio à decisão, memória institucional e geração de documentos com organização, objetividade, rastreabilidade e impressão.</w:t>
      </w:r>
    </w:p>
    <w:p>
      <w:r>
        <w:t>O MVP começa com um único usuário operacional e quatro guias de trabalho: Planejamento, Captação, Normas e Regulação e Documentos. A ambição posterior é crescer para outros departamentos, desde que o uso real comprove valor.</w:t>
      </w:r>
    </w:p>
    <w:p>
      <w:r>
        <w:t>O diferencial do produto é manter contexto em camadas. Cada trabalho possui contexto micro, ligado a uma conversa ou projeto específico, enquanto a supervisão e o acompanhamento global ficam em contexto macro por guia, curso, programa e tema. Essa estrutura reduz perda de contexto e economiza tokens.</w:t>
      </w:r>
    </w:p>
    <w:p>
      <w:r>
        <w:t>Como a instituição atua no ensino superior, o sistema precisa conciliar produtividade com conformidade: base institucional versionada, acompanhamento regulatório, tratamento adequado de dados pessoais, trilha de auditoria e respostas juridicamente mais seguras em temas críticos.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BDD7EE"/>
          <w:left w:val="single" w:sz="8" w:space="0" w:color="BDD7EE"/>
          <w:bottom w:val="single" w:sz="8" w:space="0" w:color="BDD7EE"/>
          <w:right w:val="single" w:sz="8" w:space="0" w:color="BDD7EE"/>
          <w:insideH w:val="single" w:sz="8" w:space="0" w:color="BDD7EE"/>
          <w:insideV w:val="single" w:sz="8" w:space="0" w:color="BDD7EE"/>
        </w:tblBorders>
      </w:tblPr>
      <w:tblGrid>
        <w:gridCol w:w="9354"/>
      </w:tblGrid>
      <w:tr>
        <w:tc>
          <w:tcPr>
            <w:tcW w:type="dxa" w:w="9746"/>
            <w:shd w:fill="F3F7FB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1F4E78"/>
              </w:rPr>
              <w:t>Definição do produto</w:t>
            </w:r>
            <w:r>
              <w:br/>
              <w:t>Não se trata de um chatbot genérico. Trata-se de um sistema executivo local com memória institucional, fluxos concorrentes por conversa, agentes especializados, produção documental e monitoramento estratégico para gestão de IES.</w:t>
            </w:r>
          </w:p>
        </w:tc>
      </w:tr>
    </w:tbl>
    <w:p/>
    <w:p>
      <w:pPr>
        <w:pStyle w:val="Heading1"/>
      </w:pPr>
      <w:r>
        <w:t>Requirements</w:t>
      </w:r>
    </w:p>
    <w:p>
      <w:pPr>
        <w:pStyle w:val="Heading2"/>
      </w:pPr>
      <w:r>
        <w:t>Must have</w:t>
      </w:r>
    </w:p>
    <w:p>
      <w:pPr>
        <w:pStyle w:val="ListBullet"/>
        <w:ind w:left="0"/>
      </w:pPr>
      <w:r>
        <w:t>Execução local-first no computador do Giuseppe, com instalador próprio e ícone na área de trabalho.</w:t>
      </w:r>
    </w:p>
    <w:p>
      <w:pPr>
        <w:pStyle w:val="ListBullet"/>
        <w:ind w:left="0"/>
      </w:pPr>
      <w:r>
        <w:t>Interação por voz como canal principal do MVP, mantendo teclado como apoio secundário.</w:t>
      </w:r>
    </w:p>
    <w:p>
      <w:pPr>
        <w:pStyle w:val="ListBullet"/>
        <w:ind w:left="0"/>
      </w:pPr>
      <w:r>
        <w:t>Botão push-to-talk, transcrição local, interpretação semântica da intenção e confirmação curta apenas quando houver ambiguidade.</w:t>
      </w:r>
    </w:p>
    <w:p>
      <w:pPr>
        <w:pStyle w:val="ListBullet"/>
        <w:ind w:left="0"/>
      </w:pPr>
      <w:r>
        <w:t>Criação obrigatória de conversa com título obrigatório e associação obrigatória a uma guia/departamento.</w:t>
      </w:r>
    </w:p>
    <w:p>
      <w:pPr>
        <w:pStyle w:val="ListBullet"/>
        <w:ind w:left="0"/>
      </w:pPr>
      <w:r>
        <w:t>Busca de conversas por guia e por título.</w:t>
      </w:r>
    </w:p>
    <w:p>
      <w:pPr>
        <w:pStyle w:val="ListBullet"/>
        <w:ind w:left="0"/>
      </w:pPr>
      <w:r>
        <w:t>Quatro guias iniciais do MVP: Planejamento, Captação, Normas e Regulação e Documentos.</w:t>
      </w:r>
    </w:p>
    <w:p>
      <w:pPr>
        <w:pStyle w:val="ListBullet"/>
        <w:ind w:left="0"/>
      </w:pPr>
      <w:r>
        <w:t>Memória persistente por conversa, por guia e por tema, com contexto micro e macro.</w:t>
      </w:r>
    </w:p>
    <w:p>
      <w:pPr>
        <w:pStyle w:val="ListBullet"/>
        <w:ind w:left="0"/>
      </w:pPr>
      <w:r>
        <w:t>Snapshots factuais, executivos e de perfil para retomada rápida e economia de tokens.</w:t>
      </w:r>
    </w:p>
    <w:p>
      <w:pPr>
        <w:pStyle w:val="ListBullet"/>
        <w:ind w:left="0"/>
      </w:pPr>
      <w:r>
        <w:t>Base de Verdade Institucional com fatos versionados sobre cursos, preços, história da IES, metodologias de ensino, programas educacionais, departamentos, meios de ingresso, estrutura física, laboratórios, contratos, regulamentos e políticas.</w:t>
      </w:r>
    </w:p>
    <w:p>
      <w:pPr>
        <w:pStyle w:val="ListBullet"/>
        <w:ind w:left="0"/>
      </w:pPr>
      <w:r>
        <w:t>Motor de perfil executivo adaptativo, capaz de aprender preferências de escrita, julgamento, organização, tom, critérios de qualidade e padrões de decisão do usuário principal.</w:t>
      </w:r>
    </w:p>
    <w:p>
      <w:pPr>
        <w:pStyle w:val="ListBullet"/>
        <w:ind w:left="0"/>
      </w:pPr>
      <w:r>
        <w:t>Geração, revisão, versionamento, exportação e impressão de documentos institucionais.</w:t>
      </w:r>
    </w:p>
    <w:p>
      <w:pPr>
        <w:pStyle w:val="ListBullet"/>
        <w:ind w:left="0"/>
      </w:pPr>
      <w:r>
        <w:t>Tipos documentais prioritários do MVP: despacho, ofício, parecer, relatório executivo e plano de captação.</w:t>
      </w:r>
    </w:p>
    <w:p>
      <w:pPr>
        <w:pStyle w:val="ListBullet"/>
        <w:ind w:left="0"/>
      </w:pPr>
      <w:r>
        <w:t>Motor de monitoramento contínuo de fontes oficiais, concorrentes privados e tendências de mercado.</w:t>
      </w:r>
    </w:p>
    <w:p>
      <w:pPr>
        <w:pStyle w:val="ListBullet"/>
        <w:ind w:left="0"/>
      </w:pPr>
      <w:r>
        <w:t>Comparação automatizada entre ações internas e estratégias de concorrentes diretos.</w:t>
      </w:r>
    </w:p>
    <w:p>
      <w:pPr>
        <w:pStyle w:val="ListBullet"/>
        <w:ind w:left="0"/>
      </w:pPr>
      <w:r>
        <w:t>Trilha de auditoria para conversas, documentos, versões, impressão, atualização de memória e eventos críticos.</w:t>
      </w:r>
    </w:p>
    <w:p>
      <w:pPr>
        <w:pStyle w:val="ListBullet"/>
        <w:ind w:left="0"/>
      </w:pPr>
      <w:r>
        <w:t>Orquestração concorrente por conversa com workflows paralelos, estado durável, prioridades e retomada após reinício do aplicativo.</w:t>
      </w:r>
    </w:p>
    <w:p>
      <w:pPr>
        <w:pStyle w:val="ListBullet"/>
        <w:ind w:left="0"/>
      </w:pPr>
      <w:r>
        <w:t>Subsistema jurídico-regulatório com base normativa oficial, base contratual interna, cruzamento entre cláusulas e normas, análise de conflito e indicação explícita de confiança.</w:t>
      </w:r>
    </w:p>
    <w:p>
      <w:pPr>
        <w:pStyle w:val="ListBullet"/>
        <w:ind w:left="0"/>
      </w:pPr>
      <w:r>
        <w:t>Distinção explícita entre informação interna validada, fonte externa e inferência do modelo.</w:t>
      </w:r>
    </w:p>
    <w:p>
      <w:pPr>
        <w:pStyle w:val="Heading2"/>
      </w:pPr>
      <w:r>
        <w:t>Should have</w:t>
      </w:r>
    </w:p>
    <w:p>
      <w:pPr>
        <w:pStyle w:val="ListBullet"/>
        <w:ind w:left="0"/>
      </w:pPr>
      <w:r>
        <w:t>Resposta opcional por voz sintetizada no futuro, além da resposta textual em tela.</w:t>
      </w:r>
    </w:p>
    <w:p>
      <w:pPr>
        <w:pStyle w:val="ListBullet"/>
        <w:ind w:left="0"/>
      </w:pPr>
      <w:r>
        <w:t>Camada de supervisão executiva que consolide progresso, riscos e próximos passos entre múltiplas conversas de uma mesma guia.</w:t>
      </w:r>
    </w:p>
    <w:p>
      <w:pPr>
        <w:pStyle w:val="ListBullet"/>
        <w:ind w:left="0"/>
      </w:pPr>
      <w:r>
        <w:t>Revisão formal automática de documentos quanto a clareza, objetividade, estrutura e aderência a template.</w:t>
      </w:r>
    </w:p>
    <w:p>
      <w:pPr>
        <w:pStyle w:val="ListBullet"/>
        <w:ind w:left="0"/>
      </w:pPr>
      <w:r>
        <w:t>Central de alertas por relevância, urgência, impacto institucional e tema.</w:t>
      </w:r>
    </w:p>
    <w:p>
      <w:pPr>
        <w:pStyle w:val="ListBullet"/>
        <w:ind w:left="0"/>
      </w:pPr>
      <w:r>
        <w:t>Repositório de modelos institucionais para ofícios, memorandos, pareceres, relatórios, planos e sínteses executivas.</w:t>
      </w:r>
    </w:p>
    <w:p>
      <w:pPr>
        <w:pStyle w:val="ListBullet"/>
        <w:ind w:left="0"/>
      </w:pPr>
      <w:r>
        <w:t>Detecção de divergências entre nova saída gerada e decisões já registradas no histórico.</w:t>
      </w:r>
    </w:p>
    <w:p>
      <w:pPr>
        <w:pStyle w:val="ListBullet"/>
        <w:ind w:left="0"/>
      </w:pPr>
      <w:r>
        <w:t>Autoavaliação crítica da IES, comparando realidade interna, mercado, concorrentes e práticas atuais.</w:t>
      </w:r>
    </w:p>
    <w:p>
      <w:pPr>
        <w:pStyle w:val="Heading2"/>
      </w:pPr>
      <w:r>
        <w:t>Could have</w:t>
      </w:r>
    </w:p>
    <w:p>
      <w:pPr>
        <w:pStyle w:val="ListBullet"/>
        <w:ind w:left="0"/>
      </w:pPr>
      <w:r>
        <w:t>Painéis executivos por curso, guia e tema.</w:t>
      </w:r>
    </w:p>
    <w:p>
      <w:pPr>
        <w:pStyle w:val="ListBullet"/>
        <w:ind w:left="0"/>
      </w:pPr>
      <w:r>
        <w:t>Fila e calendário de prazos regulatórios.</w:t>
      </w:r>
    </w:p>
    <w:p>
      <w:pPr>
        <w:pStyle w:val="ListBullet"/>
        <w:ind w:left="0"/>
      </w:pPr>
      <w:r>
        <w:t>Novos domínios futuros, como Financeiro/Planejamento, Acadêmico/Qualidade Institucional e Comunicação.</w:t>
      </w:r>
    </w:p>
    <w:p>
      <w:pPr>
        <w:pStyle w:val="ListBullet"/>
        <w:ind w:left="0"/>
      </w:pPr>
      <w:r>
        <w:t>Versões alternativas do mesmo documento em estilos executivo, técnico e resumido.</w:t>
      </w:r>
    </w:p>
    <w:p>
      <w:pPr>
        <w:pStyle w:val="Heading2"/>
      </w:pPr>
      <w:r>
        <w:t>Won't have no MVP</w:t>
      </w:r>
    </w:p>
    <w:p>
      <w:pPr>
        <w:pStyle w:val="ListBullet"/>
        <w:ind w:left="0"/>
      </w:pPr>
      <w:r>
        <w:t>Múltiplos usuários simultâneos.</w:t>
      </w:r>
    </w:p>
    <w:p>
      <w:pPr>
        <w:pStyle w:val="ListBullet"/>
        <w:ind w:left="0"/>
      </w:pPr>
      <w:r>
        <w:t>Colaboração em tempo real entre pessoas.</w:t>
      </w:r>
    </w:p>
    <w:p>
      <w:pPr>
        <w:pStyle w:val="ListBullet"/>
        <w:ind w:left="0"/>
      </w:pPr>
      <w:r>
        <w:t>Substituição de ERP, CRM, sistema acadêmico ou protocolo institucional já existente.</w:t>
      </w:r>
    </w:p>
    <w:p>
      <w:pPr>
        <w:pStyle w:val="ListBullet"/>
        <w:ind w:left="0"/>
      </w:pPr>
      <w:r>
        <w:t>Automação decisória final sem revisão humana.</w:t>
      </w:r>
    </w:p>
    <w:p>
      <w:pPr>
        <w:pStyle w:val="ListBullet"/>
        <w:ind w:left="0"/>
      </w:pPr>
      <w:r>
        <w:t>Integração ampla com todos os sistemas externos da instituição logo no MVP.</w:t>
      </w:r>
    </w:p>
    <w:p>
      <w:pPr>
        <w:pStyle w:val="Heading1"/>
      </w:pPr>
      <w:r>
        <w:t>Method</w:t>
      </w:r>
    </w:p>
    <w:p>
      <w:pPr>
        <w:pStyle w:val="Heading2"/>
      </w:pPr>
      <w:r>
        <w:t>Princípios arquiteturais</w:t>
      </w:r>
    </w:p>
    <w:p>
      <w:pPr>
        <w:pStyle w:val="ListBullet"/>
        <w:ind w:left="0"/>
      </w:pPr>
      <w:r>
        <w:t>Local-first, single-user e orientado a continuidade de contexto.</w:t>
      </w:r>
    </w:p>
    <w:p>
      <w:pPr>
        <w:pStyle w:val="ListBullet"/>
        <w:ind w:left="0"/>
      </w:pPr>
      <w:r>
        <w:t>Voz como entrada principal; chat e documentos como superfícies de trabalho.</w:t>
      </w:r>
    </w:p>
    <w:p>
      <w:pPr>
        <w:pStyle w:val="ListBullet"/>
        <w:ind w:left="0"/>
      </w:pPr>
      <w:r>
        <w:t>Base de fatos internos antes de autonomia ampliada dos agentes.</w:t>
      </w:r>
    </w:p>
    <w:p>
      <w:pPr>
        <w:pStyle w:val="ListBullet"/>
        <w:ind w:left="0"/>
      </w:pPr>
      <w:r>
        <w:t>Contexto montado por snapshots e recuperação seletiva, não por histórico bruto sempre completo.</w:t>
      </w:r>
    </w:p>
    <w:p>
      <w:pPr>
        <w:pStyle w:val="ListBullet"/>
        <w:ind w:left="0"/>
      </w:pPr>
      <w:r>
        <w:t>Agentes e workflows separados da infraestrutura operacional de fila e persistência.</w:t>
      </w:r>
    </w:p>
    <w:p>
      <w:pPr>
        <w:pStyle w:val="ListBullet"/>
        <w:ind w:left="0"/>
      </w:pPr>
      <w:r>
        <w:t>Respostas sensíveis orientadas por evidência, conflito, vigência e nível de confiança.</w:t>
      </w:r>
    </w:p>
    <w:p>
      <w:pPr>
        <w:pStyle w:val="Heading2"/>
      </w:pPr>
      <w:r>
        <w:t>Componentes principais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4873"/>
        <w:gridCol w:w="4873"/>
      </w:tblGrid>
      <w:tr>
        <w:tc>
          <w:tcPr>
            <w:tcW w:type="dxa" w:w="2665"/>
            <w:shd w:fill="EAF2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</w:rPr>
              <w:t>Desktop Shell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Aplicativo local com instalador, ícone, janela principal, impressão e integração com o sistema operacional.</w:t>
            </w:r>
          </w:p>
        </w:tc>
      </w:tr>
      <w:tr>
        <w:tc>
          <w:tcPr>
            <w:tcW w:type="dxa" w:w="2665"/>
            <w:shd w:fill="EAF2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</w:rPr>
              <w:t>Conversational UI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Lista de guias, conversas tituladas, busca por guia/título, anexos, painel de contexto e visualização de progresso.</w:t>
            </w:r>
          </w:p>
        </w:tc>
      </w:tr>
      <w:tr>
        <w:tc>
          <w:tcPr>
            <w:tcW w:type="dxa" w:w="2665"/>
            <w:shd w:fill="EAF2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</w:rPr>
              <w:t>Voice Interaction Layer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Push-to-talk, captura de áudio, transcrição local, detecção semântica de intenção, sugestão de título e confirmação em baixa confiança.</w:t>
            </w:r>
          </w:p>
        </w:tc>
      </w:tr>
      <w:tr>
        <w:tc>
          <w:tcPr>
            <w:tcW w:type="dxa" w:w="2665"/>
            <w:shd w:fill="EAF2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</w:rPr>
              <w:t>Agent Orchestrator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Roteamento de intenções, escolha de fluxo, montagem do pacote de contexto, chamada a agentes/modelos e revisão interna antes da entrega.</w:t>
            </w:r>
          </w:p>
        </w:tc>
      </w:tr>
      <w:tr>
        <w:tc>
          <w:tcPr>
            <w:tcW w:type="dxa" w:w="2665"/>
            <w:shd w:fill="EAF2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</w:rPr>
              <w:t>Memory Engine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Memória micro, memória macro, snapshots, busca textual e semântica, consolidação de decisões e pendências.</w:t>
            </w:r>
          </w:p>
        </w:tc>
      </w:tr>
      <w:tr>
        <w:tc>
          <w:tcPr>
            <w:tcW w:type="dxa" w:w="2665"/>
            <w:shd w:fill="EAF2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</w:rPr>
              <w:t>Executive Profile Engine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Traços versionados de escrita, julgamento, preferência documental, decisão e organização.</w:t>
            </w:r>
          </w:p>
        </w:tc>
      </w:tr>
      <w:tr>
        <w:tc>
          <w:tcPr>
            <w:tcW w:type="dxa" w:w="2665"/>
            <w:shd w:fill="EAF2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</w:rPr>
              <w:t>Institutional Truth Layer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Catálogo mestre da IES, fatos canônicos, validade temporal, evidências, precedência de fontes e views derivadas.</w:t>
            </w:r>
          </w:p>
        </w:tc>
      </w:tr>
      <w:tr>
        <w:tc>
          <w:tcPr>
            <w:tcW w:type="dxa" w:w="2665"/>
            <w:shd w:fill="EAF2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</w:rPr>
              <w:t>Legal-Regulatory Intelligence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Corpus normativo oficial, base de cláusulas internas, matriz norma↔cláusula↔processo e política de resposta graduada.</w:t>
            </w:r>
          </w:p>
        </w:tc>
      </w:tr>
      <w:tr>
        <w:tc>
          <w:tcPr>
            <w:tcW w:type="dxa" w:w="2665"/>
            <w:shd w:fill="EAF2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</w:rPr>
              <w:t>Monitoring and Intelligence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Coleta de fontes oficiais, concorrência privada, mercado educacional e comparação com ações internas.</w:t>
            </w:r>
          </w:p>
        </w:tc>
      </w:tr>
      <w:tr>
        <w:tc>
          <w:tcPr>
            <w:tcW w:type="dxa" w:w="2665"/>
            <w:shd w:fill="EAF2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</w:rPr>
              <w:t>Document Engine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Templates, renderização, revisão, versionamento, PDF, impressão e histórico.</w:t>
            </w:r>
          </w:p>
        </w:tc>
      </w:tr>
      <w:tr>
        <w:tc>
          <w:tcPr>
            <w:tcW w:type="dxa" w:w="2665"/>
            <w:shd w:fill="EAF2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</w:rPr>
              <w:t>Local Orchestration Kernel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Workflows, tasks, prioridades, fairness, classes de recurso, locks por conversa e retomada após reinício.</w:t>
            </w:r>
          </w:p>
        </w:tc>
      </w:tr>
      <w:tr>
        <w:tc>
          <w:tcPr>
            <w:tcW w:type="dxa" w:w="2665"/>
            <w:shd w:fill="EAF2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</w:rPr>
              <w:t>Local Data Layer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SQLite, FTS5, índice vetorial local, armazenamento de artefatos e auditoria.</w:t>
            </w:r>
          </w:p>
        </w:tc>
      </w:tr>
    </w:tbl>
    <w:p/>
    <w:p>
      <w:pPr>
        <w:pStyle w:val="Heading2"/>
      </w:pPr>
      <w:r>
        <w:t>Fluxo principal de execução</w:t>
      </w:r>
    </w:p>
    <w:p>
      <w:pPr>
        <w:pStyle w:val="ListNumber"/>
        <w:ind w:left="0"/>
      </w:pPr>
      <w:r>
        <w:t>Captura da entrada por voz ou texto.</w:t>
      </w:r>
    </w:p>
    <w:p>
      <w:pPr>
        <w:pStyle w:val="ListNumber"/>
        <w:ind w:left="0"/>
      </w:pPr>
      <w:r>
        <w:t>Transcrição local, normalização, classificação de intenção e entidades.</w:t>
      </w:r>
    </w:p>
    <w:p>
      <w:pPr>
        <w:pStyle w:val="ListNumber"/>
        <w:ind w:left="0"/>
      </w:pPr>
      <w:r>
        <w:t>Escolha da guia mais provável, da conversa existente ou criação de nova conversa com título sugerido.</w:t>
      </w:r>
    </w:p>
    <w:p>
      <w:pPr>
        <w:pStyle w:val="ListNumber"/>
        <w:ind w:left="0"/>
      </w:pPr>
      <w:r>
        <w:t>Recuperação de snapshots micro, macro, traços do perfil e fatos institucionais relevantes.</w:t>
      </w:r>
    </w:p>
    <w:p>
      <w:pPr>
        <w:pStyle w:val="ListNumber"/>
        <w:ind w:left="0"/>
      </w:pPr>
      <w:r>
        <w:t>Montagem do pacote de execução com objetivo, fatos, preferências, fontes e restrições de formato.</w:t>
      </w:r>
    </w:p>
    <w:p>
      <w:pPr>
        <w:pStyle w:val="ListNumber"/>
        <w:ind w:left="0"/>
      </w:pPr>
      <w:r>
        <w:t>Execução do workflow ou agente apropriado.</w:t>
      </w:r>
    </w:p>
    <w:p>
      <w:pPr>
        <w:pStyle w:val="ListNumber"/>
        <w:ind w:left="0"/>
      </w:pPr>
      <w:r>
        <w:t>Revisão interna de aderência ao perfil, ao template e às decisões históricas.</w:t>
      </w:r>
    </w:p>
    <w:p>
      <w:pPr>
        <w:pStyle w:val="ListNumber"/>
        <w:ind w:left="0"/>
      </w:pPr>
      <w:r>
        <w:t>Entrega da resposta em tela e, quando aplicável, documento gerado.</w:t>
      </w:r>
    </w:p>
    <w:p>
      <w:pPr>
        <w:pStyle w:val="ListNumber"/>
        <w:ind w:left="0"/>
      </w:pPr>
      <w:r>
        <w:t>Persistência de mensagem, artefatos, snapshots, eventos de intenção e atualização do perfil.</w:t>
      </w:r>
    </w:p>
    <w:p>
      <w:pPr>
        <w:pStyle w:val="Heading2"/>
      </w:pPr>
      <w:r>
        <w:t>Modelo de memória em camadas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4873"/>
        <w:gridCol w:w="4873"/>
      </w:tblGrid>
      <w:tr>
        <w:trPr>
          <w:tblHeader w:val="true"/>
        </w:trPr>
        <w:tc>
          <w:tcPr>
            <w:tcW w:type="dxa" w:w="2381"/>
            <w:shd w:fill="DDEB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</w:rPr>
              <w:t>Camada</w:t>
            </w:r>
          </w:p>
        </w:tc>
        <w:tc>
          <w:tcPr>
            <w:tcW w:type="dxa" w:w="6520"/>
            <w:shd w:fill="DDEB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</w:rPr>
              <w:t>Função</w:t>
            </w:r>
          </w:p>
        </w:tc>
      </w:tr>
      <w:t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t>Micro</w:t>
            </w:r>
          </w:p>
        </w:tc>
        <w:tc>
          <w:tcPr>
            <w:tcW w:type="dxa" w:w="6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t>Contexto detalhado de um trabalho específico, como um plano de captação de um curso.</w:t>
            </w:r>
          </w:p>
        </w:tc>
      </w:tr>
      <w:t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t>Macro</w:t>
            </w:r>
          </w:p>
        </w:tc>
        <w:tc>
          <w:tcPr>
            <w:tcW w:type="dxa" w:w="6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t>Consolidados por guia, programa, curso e linha de ação; acompanha supervisão global.</w:t>
            </w:r>
          </w:p>
        </w:tc>
      </w:tr>
      <w:t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t>Snapshot factual</w:t>
            </w:r>
          </w:p>
        </w:tc>
        <w:tc>
          <w:tcPr>
            <w:tcW w:type="dxa" w:w="6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t>Fatos confirmados, decisões tomadas e pendências.</w:t>
            </w:r>
          </w:p>
        </w:tc>
      </w:tr>
      <w:t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t>Snapshot executivo</w:t>
            </w:r>
          </w:p>
        </w:tc>
        <w:tc>
          <w:tcPr>
            <w:tcW w:type="dxa" w:w="6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t>Resumo curto para retomada rápida, impacto e próximo passo sugerido.</w:t>
            </w:r>
          </w:p>
        </w:tc>
      </w:tr>
      <w:t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t>Snapshot de perfil</w:t>
            </w:r>
          </w:p>
        </w:tc>
        <w:tc>
          <w:tcPr>
            <w:tcW w:type="dxa" w:w="6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t>Novos sinais sobre preferências do usuário e padrões de aprovação/rejeição.</w:t>
            </w:r>
          </w:p>
        </w:tc>
      </w:tr>
    </w:tbl>
    <w:p/>
    <w:p>
      <w:pPr>
        <w:pStyle w:val="Heading2"/>
      </w:pPr>
      <w:r>
        <w:t>Motor de perfil executivo</w:t>
      </w:r>
    </w:p>
    <w:p>
      <w:r>
        <w:t>O perfil executivo não é um clone literal do usuário. É um conjunto versionado de traços que captura preferências micro e macro de escrita, julgamento, decisão, organização e expectativa documental. Ele aprende a partir da diferença entre a saída sugerida pelo sistema e a versão efetivamente aprovada, rejeitada ou reescrita pelo Giuseppe.</w:t>
      </w:r>
    </w:p>
    <w:p>
      <w:pPr>
        <w:pStyle w:val="ListBullet"/>
        <w:ind w:left="0"/>
      </w:pPr>
      <w:r>
        <w:t>Grupos de traços: escrita, formalidade, objetividade, organização, tom de autoridade, padrão de revisão, padrão de decisão e padrão por tipo documental.</w:t>
      </w:r>
    </w:p>
    <w:p>
      <w:pPr>
        <w:pStyle w:val="ListBullet"/>
        <w:ind w:left="0"/>
      </w:pPr>
      <w:r>
        <w:t>Fontes de evidência: transcrições, títulos, documentos aprovados, reescritas, rejeições explícitas, tempo até aprovação e ajustes manuais.</w:t>
      </w:r>
    </w:p>
    <w:p>
      <w:pPr>
        <w:pStyle w:val="ListBullet"/>
        <w:ind w:left="0"/>
      </w:pPr>
      <w:r>
        <w:t>Uso em execução: apenas os traços relevantes para a guia atual, o tipo de tarefa e o tipo de documento entram no pacote ativo.</w:t>
      </w:r>
    </w:p>
    <w:p>
      <w:pPr>
        <w:pStyle w:val="Heading2"/>
      </w:pPr>
      <w:r>
        <w:t>Base de Verdade Institucional</w:t>
      </w:r>
    </w:p>
    <w:p>
      <w:pPr>
        <w:pStyle w:val="ListBullet"/>
        <w:ind w:left="0"/>
      </w:pPr>
      <w:r>
        <w:t>Documentos-fonte internos: contratos, regulamentos, tabelas de preço, PPCs, folders, organogramas, políticas e atas relevantes.</w:t>
      </w:r>
    </w:p>
    <w:p>
      <w:pPr>
        <w:pStyle w:val="ListBullet"/>
        <w:ind w:left="0"/>
      </w:pPr>
      <w:r>
        <w:t>Fatos canônicos: chave, valor atual, vigência, confiança, fonte de origem, data de confirmação e status de conflito.</w:t>
      </w:r>
    </w:p>
    <w:p>
      <w:pPr>
        <w:pStyle w:val="ListBullet"/>
        <w:ind w:left="0"/>
      </w:pPr>
      <w:r>
        <w:t>Policies de precedência: documento homologado supera rascunho; tabela vigente supera tabela antiga; página oficial institucional supera anotação informal.</w:t>
      </w:r>
    </w:p>
    <w:p>
      <w:pPr>
        <w:pStyle w:val="ListBullet"/>
        <w:ind w:left="0"/>
      </w:pPr>
      <w:r>
        <w:t>Views derivadas: ficha institucional, ficha do curso, mapa de ingresso, mapa de infraestrutura e catálogo contratual.</w:t>
      </w:r>
    </w:p>
    <w:p>
      <w:pPr>
        <w:pStyle w:val="Heading2"/>
      </w:pPr>
      <w:r>
        <w:t>Modelo jurídico-regulatório</w:t>
      </w:r>
    </w:p>
    <w:p>
      <w:r>
        <w:t>O domínio jurídico-regulatório deve operar como motor híbrido, e não como RAG simples. Ele combina busca lexical, busca semântica, filtros por vigência e hierarquia, regras determinísticas para temas críticos e verificador de conflito entre norma externa, cláusula interna e prática atual.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4873"/>
        <w:gridCol w:w="4873"/>
      </w:tblGrid>
      <w:tr>
        <w:trPr>
          <w:tblHeader w:val="true"/>
        </w:trPr>
        <w:tc>
          <w:tcPr>
            <w:tcW w:type="dxa" w:w="2608"/>
            <w:shd w:fill="DDEB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</w:rPr>
              <w:t>Camada</w:t>
            </w:r>
          </w:p>
        </w:tc>
        <w:tc>
          <w:tcPr>
            <w:tcW w:type="dxa" w:w="6293"/>
            <w:shd w:fill="DDEB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</w:rPr>
              <w:t>Descrição</w:t>
            </w:r>
          </w:p>
        </w:tc>
      </w:tr>
      <w:tr>
        <w:tc>
          <w:tcPr>
            <w:tcW w:type="dxa" w:w="2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t>Camada normativa externa</w:t>
            </w:r>
          </w:p>
        </w:tc>
        <w:tc>
          <w:tcPr>
            <w:tcW w:type="dxa" w:w="62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t>Leis, decretos, portarias, atos MEC/SERES/CNE e bases oficiais aplicáveis à IES.</w:t>
            </w:r>
          </w:p>
        </w:tc>
      </w:tr>
      <w:tr>
        <w:tc>
          <w:tcPr>
            <w:tcW w:type="dxa" w:w="2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t>Base contratual interna</w:t>
            </w:r>
          </w:p>
        </w:tc>
        <w:tc>
          <w:tcPr>
            <w:tcW w:type="dxa" w:w="62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t>Contratos, regulamentos, políticas, pareceres e modelos homologados.</w:t>
            </w:r>
          </w:p>
        </w:tc>
      </w:tr>
      <w:tr>
        <w:tc>
          <w:tcPr>
            <w:tcW w:type="dxa" w:w="2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t>Base de cláusulas</w:t>
            </w:r>
          </w:p>
        </w:tc>
        <w:tc>
          <w:tcPr>
            <w:tcW w:type="dxa" w:w="62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t>Obrigação, vedação, condição, exceção, penalidade, vigência e documento-fonte.</w:t>
            </w:r>
          </w:p>
        </w:tc>
      </w:tr>
      <w:tr>
        <w:tc>
          <w:tcPr>
            <w:tcW w:type="dxa" w:w="2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t>Matriz de relações</w:t>
            </w:r>
          </w:p>
        </w:tc>
        <w:tc>
          <w:tcPr>
            <w:tcW w:type="dxa" w:w="62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t>Quais normas impactam quais cláusulas, processos, ofertas, taxas e práticas.</w:t>
            </w:r>
          </w:p>
        </w:tc>
      </w:tr>
      <w:tr>
        <w:tc>
          <w:tcPr>
            <w:tcW w:type="dxa" w:w="2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t>Política de resposta</w:t>
            </w:r>
          </w:p>
        </w:tc>
        <w:tc>
          <w:tcPr>
            <w:tcW w:type="dxa" w:w="62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t>Modo verde, amarelo e vermelho conforme suficiência de base, conflito ou risco.</w:t>
            </w:r>
          </w:p>
        </w:tc>
      </w:tr>
    </w:tbl>
    <w:p/>
    <w:p>
      <w:pPr>
        <w:pStyle w:val="Heading2"/>
      </w:pPr>
      <w:r>
        <w:t>Motor de monitoramento e inteligência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4873"/>
        <w:gridCol w:w="4873"/>
      </w:tblGrid>
      <w:tr>
        <w:trPr>
          <w:tblHeader w:val="true"/>
        </w:trPr>
        <w:tc>
          <w:tcPr>
            <w:tcW w:type="dxa" w:w="2438"/>
            <w:shd w:fill="DDEB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</w:rPr>
              <w:t>Trilha</w:t>
            </w:r>
          </w:p>
        </w:tc>
        <w:tc>
          <w:tcPr>
            <w:tcW w:type="dxa" w:w="6463"/>
            <w:shd w:fill="DDEB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</w:rPr>
              <w:t>Função</w:t>
            </w:r>
          </w:p>
        </w:tc>
      </w:tr>
      <w:t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t>Fontes oficiais</w:t>
            </w:r>
          </w:p>
        </w:tc>
        <w:tc>
          <w:tcPr>
            <w:tcW w:type="dxa" w:w="646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t>MEC, e-MEC, INEP, CNE, programas governamentais e atos regulatórios relevantes.</w:t>
            </w:r>
          </w:p>
        </w:tc>
      </w:tr>
      <w:t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t>Concorrência privada</w:t>
            </w:r>
          </w:p>
        </w:tc>
        <w:tc>
          <w:tcPr>
            <w:tcW w:type="dxa" w:w="646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t>Sites institucionais, páginas de curso, campanhas, bolsas, preços, vestibulares, diferenciais e novas ofertas.</w:t>
            </w:r>
          </w:p>
        </w:tc>
      </w:tr>
      <w:t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t>Mercado educacional</w:t>
            </w:r>
          </w:p>
        </w:tc>
        <w:tc>
          <w:tcPr>
            <w:tcW w:type="dxa" w:w="646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t>Sinais macro, tendências de captação, posicionamento, oferta e movimentações regionais/nacionais.</w:t>
            </w:r>
          </w:p>
        </w:tc>
      </w:tr>
      <w:t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t>Comparação interna</w:t>
            </w:r>
          </w:p>
        </w:tc>
        <w:tc>
          <w:tcPr>
            <w:tcW w:type="dxa" w:w="646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t>Cruzamento entre ações internas e ações externas, abertura de alertas e sugestões de plano.</w:t>
            </w:r>
          </w:p>
        </w:tc>
      </w:tr>
    </w:tbl>
    <w:p/>
    <w:p>
      <w:pPr>
        <w:pStyle w:val="Heading2"/>
      </w:pPr>
      <w:r>
        <w:t>Modelo de dados resumido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4873"/>
        <w:gridCol w:w="4873"/>
      </w:tblGrid>
      <w:tr>
        <w:trPr>
          <w:tblHeader w:val="true"/>
        </w:trPr>
        <w:tc>
          <w:tcPr>
            <w:tcW w:type="dxa" w:w="2551"/>
            <w:shd w:fill="DDEB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</w:rPr>
              <w:t>Grupo</w:t>
            </w:r>
          </w:p>
        </w:tc>
        <w:tc>
          <w:tcPr>
            <w:tcW w:type="dxa" w:w="6350"/>
            <w:shd w:fill="DDEB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</w:rPr>
              <w:t>Tabelas/objetos principais</w:t>
            </w:r>
          </w:p>
        </w:tc>
      </w:tr>
      <w:tr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t>Conversas e mensagens</w:t>
            </w:r>
          </w:p>
        </w:tc>
        <w:tc>
          <w:tcPr>
            <w:tcW w:type="dxa" w:w="63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t>conversations, messages, conversation_entities, intent_events</w:t>
            </w:r>
          </w:p>
        </w:tc>
      </w:tr>
      <w:tr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t>Documentos</w:t>
            </w:r>
          </w:p>
        </w:tc>
        <w:tc>
          <w:tcPr>
            <w:tcW w:type="dxa" w:w="63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t>documents, document_versions</w:t>
            </w:r>
          </w:p>
        </w:tc>
      </w:tr>
      <w:tr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t>Memória</w:t>
            </w:r>
          </w:p>
        </w:tc>
        <w:tc>
          <w:tcPr>
            <w:tcW w:type="dxa" w:w="63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t>micro_memories, macro_memories</w:t>
            </w:r>
          </w:p>
        </w:tc>
      </w:tr>
      <w:tr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t>Perfil</w:t>
            </w:r>
          </w:p>
        </w:tc>
        <w:tc>
          <w:tcPr>
            <w:tcW w:type="dxa" w:w="63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t>profile_traits, trait_evidence</w:t>
            </w:r>
          </w:p>
        </w:tc>
      </w:tr>
      <w:tr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t>Fatos institucionais</w:t>
            </w:r>
          </w:p>
        </w:tc>
        <w:tc>
          <w:tcPr>
            <w:tcW w:type="dxa" w:w="63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t>institutional facts, source documents, canonical views</w:t>
            </w:r>
          </w:p>
        </w:tc>
      </w:tr>
      <w:tr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t>Monitoramento externo</w:t>
            </w:r>
          </w:p>
        </w:tc>
        <w:tc>
          <w:tcPr>
            <w:tcW w:type="dxa" w:w="63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t>external_sources, external_items, comparison_reports</w:t>
            </w:r>
          </w:p>
        </w:tc>
      </w:tr>
      <w:tr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t>Orquestração</w:t>
            </w:r>
          </w:p>
        </w:tc>
        <w:tc>
          <w:tcPr>
            <w:tcW w:type="dxa" w:w="63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t>workflows, tasks, task_dependencies, conversation_locks</w:t>
            </w:r>
          </w:p>
        </w:tc>
      </w:tr>
      <w:tr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t>Auditoria</w:t>
            </w:r>
          </w:p>
        </w:tc>
        <w:tc>
          <w:tcPr>
            <w:tcW w:type="dxa" w:w="63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t>audit_log</w:t>
            </w:r>
          </w:p>
        </w:tc>
      </w:tr>
    </w:tbl>
    <w:p/>
    <w:p>
      <w:pPr>
        <w:pStyle w:val="Heading2"/>
      </w:pPr>
      <w:r>
        <w:t>Kernel local de orquestração</w:t>
      </w:r>
    </w:p>
    <w:p>
      <w:r>
        <w:t>O runtime operacional do sistema é local. Cada conversa pode disparar um workflow independente, e as tarefas são administradas em três níveis: fila global, fila por guia e fila por conversa. Leituras e análises podem ocorrer em paralelo; commits de estado canônico devem ser serializados por conversa.</w:t>
      </w:r>
    </w:p>
    <w:p>
      <w:pPr>
        <w:pStyle w:val="ListBullet"/>
        <w:ind w:left="0"/>
      </w:pPr>
      <w:r>
        <w:t>Semáforos por classe de recurso: light_io, heavy_io, cpu_parse, cpu_rank, llm_short, llm_long e render.</w:t>
      </w:r>
    </w:p>
    <w:p>
      <w:pPr>
        <w:pStyle w:val="ListBullet"/>
        <w:ind w:left="0"/>
      </w:pPr>
      <w:r>
        <w:t>Prioridade efetiva calculada por prioridade base, urgência, desbloqueio de dependências, interação recente do usuário e penalidade de uso excessivo de recurso.</w:t>
      </w:r>
    </w:p>
    <w:p>
      <w:pPr>
        <w:pStyle w:val="ListBullet"/>
        <w:ind w:left="0"/>
      </w:pPr>
      <w:r>
        <w:t>Fairness por round-robin ponderado e envelhecimento de prioridade para evitar starvation.</w:t>
      </w:r>
    </w:p>
    <w:p>
      <w:pPr>
        <w:pStyle w:val="ListBullet"/>
        <w:ind w:left="0"/>
      </w:pPr>
      <w:r>
        <w:t>Retomada após reinício do app com persistência de workflow, task, locks e progresso parcial.</w:t>
      </w:r>
    </w:p>
    <w:p>
      <w:pPr>
        <w:pStyle w:val="Heading1"/>
      </w:pPr>
      <w:r>
        <w:t>Implementation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4873"/>
        <w:gridCol w:w="4873"/>
      </w:tblGrid>
      <w:tr>
        <w:trPr>
          <w:tblHeader w:val="true"/>
        </w:trPr>
        <w:tc>
          <w:tcPr>
            <w:tcW w:type="dxa" w:w="2948"/>
            <w:shd w:fill="DDEB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</w:rPr>
              <w:t>Fase</w:t>
            </w:r>
          </w:p>
        </w:tc>
        <w:tc>
          <w:tcPr>
            <w:tcW w:type="dxa" w:w="5953"/>
            <w:shd w:fill="DDEB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</w:rPr>
              <w:t>Objetivo principal</w:t>
            </w:r>
          </w:p>
        </w:tc>
      </w:tr>
      <w:tr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t>Phase 0 — Product foundation</w:t>
            </w:r>
          </w:p>
        </w:tc>
        <w:tc>
          <w:tcPr>
            <w:tcW w:type="dxa" w:w="595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t>Electron shell, backend local Python, logs, SQLite, diretórios de artefatos, instalador e health check.</w:t>
            </w:r>
          </w:p>
        </w:tc>
      </w:tr>
      <w:tr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t>Phase 1 — Core data and navigation</w:t>
            </w:r>
          </w:p>
        </w:tc>
        <w:tc>
          <w:tcPr>
            <w:tcW w:type="dxa" w:w="595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t>Guias, conversas com título obrigatório, busca por guia/título, anexos, mensagens e auditoria básica.</w:t>
            </w:r>
          </w:p>
        </w:tc>
      </w:tr>
      <w:tr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t>Phase 2 — Voice-first interaction</w:t>
            </w:r>
          </w:p>
        </w:tc>
        <w:tc>
          <w:tcPr>
            <w:tcW w:type="dxa" w:w="595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t>Push-to-talk, transcrição local, intenção semântica, entidades, sugestão de título e confirmação curta.</w:t>
            </w:r>
          </w:p>
        </w:tc>
      </w:tr>
      <w:tr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t>Phase 3 — Institutional Truth Layer</w:t>
            </w:r>
          </w:p>
        </w:tc>
        <w:tc>
          <w:tcPr>
            <w:tcW w:type="dxa" w:w="595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t>Ingestão documental, parser, fatos versionados, precedência, conflitos e views derivadas.</w:t>
            </w:r>
          </w:p>
        </w:tc>
      </w:tr>
      <w:tr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t>Phase 4 — Memory Engine</w:t>
            </w:r>
          </w:p>
        </w:tc>
        <w:tc>
          <w:tcPr>
            <w:tcW w:type="dxa" w:w="595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t>Micro/macro memória, snapshots, compactação, recuperação seletiva, FTS5 e busca vetorial.</w:t>
            </w:r>
          </w:p>
        </w:tc>
      </w:tr>
      <w:tr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t>Phase 5 — Executive Profile Engine</w:t>
            </w:r>
          </w:p>
        </w:tc>
        <w:tc>
          <w:tcPr>
            <w:tcW w:type="dxa" w:w="595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t>Traços de perfil, coleta de evidências, pesos por guia/doc, atualização versionada e aplicação em geração/revisão.</w:t>
            </w:r>
          </w:p>
        </w:tc>
      </w:tr>
      <w:tr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t>Phase 6 — Local Orchestration Kernel</w:t>
            </w:r>
          </w:p>
        </w:tc>
        <w:tc>
          <w:tcPr>
            <w:tcW w:type="dxa" w:w="595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t>Workflows, tasks, prioridades, locks, fairness, retomada, pausa, cancelamento e progresso por conversa.</w:t>
            </w:r>
          </w:p>
        </w:tc>
      </w:tr>
      <w:tr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t>Phase 7 — Document Engine</w:t>
            </w:r>
          </w:p>
        </w:tc>
        <w:tc>
          <w:tcPr>
            <w:tcW w:type="dxa" w:w="595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t>Templates, revisão, versionamento, PDF, impressão e histórico.</w:t>
            </w:r>
          </w:p>
        </w:tc>
      </w:tr>
      <w:tr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t>Phase 8 — Monitoring and competitor intelligence</w:t>
            </w:r>
          </w:p>
        </w:tc>
        <w:tc>
          <w:tcPr>
            <w:tcW w:type="dxa" w:w="595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t>Fontes oficiais, concorrentes, alertas executivos e comparativos.</w:t>
            </w:r>
          </w:p>
        </w:tc>
      </w:tr>
      <w:tr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t>Phase 9 — Legal-regulatory intelligence</w:t>
            </w:r>
          </w:p>
        </w:tc>
        <w:tc>
          <w:tcPr>
            <w:tcW w:type="dxa" w:w="595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t>Corpus jurídico, extração de cláusulas, retrieval híbrido, conflito, política de resposta e UI de evidência.</w:t>
            </w:r>
          </w:p>
        </w:tc>
      </w:tr>
      <w:tr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t>Phase 10 — Strategic self-evaluation</w:t>
            </w:r>
          </w:p>
        </w:tc>
        <w:tc>
          <w:tcPr>
            <w:tcW w:type="dxa" w:w="595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t>Diagnóstico do estado atual da IES, benchmark, gap analysis e recomendações executivas.</w:t>
            </w:r>
          </w:p>
        </w:tc>
      </w:tr>
      <w:tr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t>Phase 11 — Hardening and pilot</w:t>
            </w:r>
          </w:p>
        </w:tc>
        <w:tc>
          <w:tcPr>
            <w:tcW w:type="dxa" w:w="595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t>Testes de falha, memória, conflito jurídico, desempenho, backup, empacotamento final e piloto assistido.</w:t>
            </w:r>
          </w:p>
        </w:tc>
      </w:tr>
    </w:tbl>
    <w:p/>
    <w:p>
      <w:pPr>
        <w:pStyle w:val="Heading2"/>
      </w:pPr>
      <w:r>
        <w:t>Sequência sugerida para contractors</w:t>
      </w:r>
    </w:p>
    <w:p>
      <w:pPr>
        <w:pStyle w:val="ListBullet"/>
        <w:ind w:left="0"/>
      </w:pPr>
      <w:r>
        <w:t>Sprints 1–2: Fases 0, 1 e início da 2.</w:t>
      </w:r>
    </w:p>
    <w:p>
      <w:pPr>
        <w:pStyle w:val="ListBullet"/>
        <w:ind w:left="0"/>
      </w:pPr>
      <w:r>
        <w:t>Sprints 3–4: conclusão da fase 2, fase 3 e início da 4.</w:t>
      </w:r>
    </w:p>
    <w:p>
      <w:pPr>
        <w:pStyle w:val="ListBullet"/>
        <w:ind w:left="0"/>
      </w:pPr>
      <w:r>
        <w:t>Sprints 5–6: conclusão da fase 4, fases 5 e 6.</w:t>
      </w:r>
    </w:p>
    <w:p>
      <w:pPr>
        <w:pStyle w:val="ListBullet"/>
        <w:ind w:left="0"/>
      </w:pPr>
      <w:r>
        <w:t>Sprints 7–8: fases 7 e 8.</w:t>
      </w:r>
    </w:p>
    <w:p>
      <w:pPr>
        <w:pStyle w:val="ListBullet"/>
        <w:ind w:left="0"/>
      </w:pPr>
      <w:r>
        <w:t>Sprints 9–10: fase 9.</w:t>
      </w:r>
    </w:p>
    <w:p>
      <w:pPr>
        <w:pStyle w:val="ListBullet"/>
        <w:ind w:left="0"/>
      </w:pPr>
      <w:r>
        <w:t>Sprints 11–12: fases 10 e 11.</w:t>
      </w:r>
    </w:p>
    <w:p>
      <w:pPr>
        <w:pStyle w:val="Heading2"/>
      </w:pPr>
      <w:r>
        <w:t>Aceite por demonstração</w:t>
      </w:r>
    </w:p>
    <w:p>
      <w:pPr>
        <w:pStyle w:val="ListBullet"/>
        <w:ind w:left="0"/>
      </w:pPr>
      <w:r>
        <w:t>Criar conversa por voz e recuperar por guia/título.</w:t>
      </w:r>
    </w:p>
    <w:p>
      <w:pPr>
        <w:pStyle w:val="ListBullet"/>
        <w:ind w:left="0"/>
      </w:pPr>
      <w:r>
        <w:t>Retomar trabalho longo sem histórico bruto completo.</w:t>
      </w:r>
    </w:p>
    <w:p>
      <w:pPr>
        <w:pStyle w:val="ListBullet"/>
        <w:ind w:left="0"/>
      </w:pPr>
      <w:r>
        <w:t>Responder pergunta institucional com base rastreável em documento-fonte.</w:t>
      </w:r>
    </w:p>
    <w:p>
      <w:pPr>
        <w:pStyle w:val="ListBullet"/>
        <w:ind w:left="0"/>
      </w:pPr>
      <w:r>
        <w:t>Executar duas conversas paralelas em Captação sem mistura de contexto.</w:t>
      </w:r>
    </w:p>
    <w:p>
      <w:pPr>
        <w:pStyle w:val="ListBullet"/>
        <w:ind w:left="0"/>
      </w:pPr>
      <w:r>
        <w:t>Gerar parecer com fundamento interno e base normativa oficial.</w:t>
      </w:r>
    </w:p>
    <w:p>
      <w:pPr>
        <w:pStyle w:val="ListBullet"/>
        <w:ind w:left="0"/>
      </w:pPr>
      <w:r>
        <w:t>Emitir relatório crítico comparando ação interna com concorrência.</w:t>
      </w:r>
    </w:p>
    <w:p>
      <w:pPr>
        <w:pStyle w:val="Heading1"/>
      </w:pPr>
      <w:r>
        <w:t>Milestones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2381"/>
            <w:shd w:fill="DDEB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</w:rPr>
              <w:t>Marco</w:t>
            </w:r>
          </w:p>
        </w:tc>
        <w:tc>
          <w:tcPr>
            <w:tcW w:type="dxa" w:w="1814"/>
            <w:shd w:fill="DDEB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</w:rPr>
              <w:t>Escopo</w:t>
            </w:r>
          </w:p>
        </w:tc>
        <w:tc>
          <w:tcPr>
            <w:tcW w:type="dxa" w:w="4706"/>
            <w:shd w:fill="DDEB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</w:rPr>
              <w:t>Resultado esperado</w:t>
            </w:r>
          </w:p>
        </w:tc>
      </w:tr>
      <w:t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t>M1 — App local operável</w:t>
            </w:r>
          </w:p>
        </w:tc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t>Fases 0–1</w:t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t>Aplicativo instala, abre e organiza conversas por guia e título.</w:t>
            </w:r>
          </w:p>
        </w:tc>
      </w:tr>
      <w:t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t>M2 — Voz operacional</w:t>
            </w:r>
          </w:p>
        </w:tc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t>Fase 2</w:t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t>Giuseppe consegue iniciar e continuar conversas primariamente por voz.</w:t>
            </w:r>
          </w:p>
        </w:tc>
      </w:tr>
      <w:t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t>M3 — Verdade institucional</w:t>
            </w:r>
          </w:p>
        </w:tc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t>Fase 3</w:t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t>Perguntas institucionais passam a responder com fatos internos versionados.</w:t>
            </w:r>
          </w:p>
        </w:tc>
      </w:tr>
      <w:t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t>M4 — Continuidade de contexto</w:t>
            </w:r>
          </w:p>
        </w:tc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t>Fase 4</w:t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t>Memória micro/macro e snapshots entram em produção.</w:t>
            </w:r>
          </w:p>
        </w:tc>
      </w:tr>
      <w:t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t>M5 — Aderência ao estilo</w:t>
            </w:r>
          </w:p>
        </w:tc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t>Fase 5</w:t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t>Saídas mostram adaptação progressiva ao perfil executivo.</w:t>
            </w:r>
          </w:p>
        </w:tc>
      </w:tr>
      <w:t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t>M6 — Paralelismo controlado</w:t>
            </w:r>
          </w:p>
        </w:tc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t>Fase 6</w:t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t>Múltiplos workflows concorrentes por conversa passam a coexistir.</w:t>
            </w:r>
          </w:p>
        </w:tc>
      </w:tr>
      <w:t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t>M7 — Documentos prontos para uso</w:t>
            </w:r>
          </w:p>
        </w:tc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t>Fase 7</w:t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t>Documentos institucionais podem ser gerados, exportados e impressos.</w:t>
            </w:r>
          </w:p>
        </w:tc>
      </w:tr>
      <w:t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t>M8 — Inteligência externa</w:t>
            </w:r>
          </w:p>
        </w:tc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t>Fase 8</w:t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t>Monitoramento oficial e competitivo alimenta alertas e comparações.</w:t>
            </w:r>
          </w:p>
        </w:tc>
      </w:tr>
      <w:t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t>M9 — Jurídico-regulatório confiável</w:t>
            </w:r>
          </w:p>
        </w:tc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t>Fase 9</w:t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t>Perguntas jurídicas críticas passam a responder com base, conflito e confiança.</w:t>
            </w:r>
          </w:p>
        </w:tc>
      </w:tr>
      <w:t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t>M10 — Diagnóstico estratégico</w:t>
            </w:r>
          </w:p>
        </w:tc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t>Fase 10</w:t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t>Sistema propõe melhorias e inovação apoiado em evidências.</w:t>
            </w:r>
          </w:p>
        </w:tc>
      </w:tr>
      <w:t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t>M11 — Piloto estabilizado</w:t>
            </w:r>
          </w:p>
        </w:tc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t>Fase 11</w:t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t>Produto pronto para uso diário pelo Giuseppe.</w:t>
            </w:r>
          </w:p>
        </w:tc>
      </w:tr>
    </w:tbl>
    <w:p/>
    <w:p>
      <w:pPr>
        <w:pStyle w:val="Heading1"/>
      </w:pPr>
      <w:r>
        <w:t>Gathering Results</w:t>
      </w:r>
    </w:p>
    <w:p>
      <w:r>
        <w:t>O sucesso do sistema deve ser medido por uso real, qualidade percebida e redução de retrabalho, e não apenas por taxas técnicas de acerto do modelo.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4873"/>
        <w:gridCol w:w="4873"/>
      </w:tblGrid>
      <w:tr>
        <w:trPr>
          <w:tblHeader w:val="true"/>
        </w:trPr>
        <w:tc>
          <w:tcPr>
            <w:tcW w:type="dxa" w:w="2494"/>
            <w:shd w:fill="DDEB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</w:rPr>
              <w:t>Dimensão</w:t>
            </w:r>
          </w:p>
        </w:tc>
        <w:tc>
          <w:tcPr>
            <w:tcW w:type="dxa" w:w="6293"/>
            <w:shd w:fill="DDEB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</w:rPr>
              <w:t>Como avaliar</w:t>
            </w:r>
          </w:p>
        </w:tc>
      </w:tr>
      <w:tr>
        <w:tc>
          <w:tcPr>
            <w:tcW w:type="dxa" w:w="24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t>Produtividade</w:t>
            </w:r>
          </w:p>
        </w:tc>
        <w:tc>
          <w:tcPr>
            <w:tcW w:type="dxa" w:w="62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t>Tempo médio para chegar a uma saída útil; número de trabalhos paralelos sustentados por dia; redução de retrabalho manual.</w:t>
            </w:r>
          </w:p>
        </w:tc>
      </w:tr>
      <w:tr>
        <w:tc>
          <w:tcPr>
            <w:tcW w:type="dxa" w:w="24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t>Aderência documental</w:t>
            </w:r>
          </w:p>
        </w:tc>
        <w:tc>
          <w:tcPr>
            <w:tcW w:type="dxa" w:w="62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t>Percentual de documentos aceitos sem reescrita pesada; número de correções formais por saída.</w:t>
            </w:r>
          </w:p>
        </w:tc>
      </w:tr>
      <w:tr>
        <w:tc>
          <w:tcPr>
            <w:tcW w:type="dxa" w:w="24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t>Continuidade de contexto</w:t>
            </w:r>
          </w:p>
        </w:tc>
        <w:tc>
          <w:tcPr>
            <w:tcW w:type="dxa" w:w="62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t>Capacidade de retomar conversas longas com snapshots; frequência de perda de contexto percebida pelo usuário.</w:t>
            </w:r>
          </w:p>
        </w:tc>
      </w:tr>
      <w:tr>
        <w:tc>
          <w:tcPr>
            <w:tcW w:type="dxa" w:w="24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t>Confiabilidade institucional</w:t>
            </w:r>
          </w:p>
        </w:tc>
        <w:tc>
          <w:tcPr>
            <w:tcW w:type="dxa" w:w="62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t>Percentual de respostas rastreáveis a fatos internos; idade média das informações usadas; taxa de conflitos identificados.</w:t>
            </w:r>
          </w:p>
        </w:tc>
      </w:tr>
      <w:tr>
        <w:tc>
          <w:tcPr>
            <w:tcW w:type="dxa" w:w="24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t>Confiabilidade jurídica</w:t>
            </w:r>
          </w:p>
        </w:tc>
        <w:tc>
          <w:tcPr>
            <w:tcW w:type="dxa" w:w="62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t>Percentual de respostas com fundamento interno + fundamento oficial + indicação de conflito/confiança.</w:t>
            </w:r>
          </w:p>
        </w:tc>
      </w:tr>
      <w:tr>
        <w:tc>
          <w:tcPr>
            <w:tcW w:type="dxa" w:w="24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t>Inteligência competitiva</w:t>
            </w:r>
          </w:p>
        </w:tc>
        <w:tc>
          <w:tcPr>
            <w:tcW w:type="dxa" w:w="62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t>Número de alertas relevantes, comparações acionáveis e planos derivados de sinais externos.</w:t>
            </w:r>
          </w:p>
        </w:tc>
      </w:tr>
      <w:tr>
        <w:tc>
          <w:tcPr>
            <w:tcW w:type="dxa" w:w="24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t>Experiência de voz</w:t>
            </w:r>
          </w:p>
        </w:tc>
        <w:tc>
          <w:tcPr>
            <w:tcW w:type="dxa" w:w="62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t>Taxa de interpretação correta da intenção, necessidade de confirmação curta e satisfação percebida.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BDD7EE"/>
          <w:left w:val="single" w:sz="8" w:space="0" w:color="BDD7EE"/>
          <w:bottom w:val="single" w:sz="8" w:space="0" w:color="BDD7EE"/>
          <w:right w:val="single" w:sz="8" w:space="0" w:color="BDD7EE"/>
          <w:insideH w:val="single" w:sz="8" w:space="0" w:color="BDD7EE"/>
          <w:insideV w:val="single" w:sz="8" w:space="0" w:color="BDD7EE"/>
        </w:tblBorders>
      </w:tblPr>
      <w:tblGrid>
        <w:gridCol w:w="9354"/>
      </w:tblGrid>
      <w:tr>
        <w:tc>
          <w:tcPr>
            <w:tcW w:type="dxa" w:w="9746"/>
            <w:shd w:fill="F3F7FB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1F4E78"/>
              </w:rPr>
              <w:t>Critério final de valor</w:t>
            </w:r>
            <w:r>
              <w:br/>
              <w:t>O MVP será considerado bem-sucedido quando o Giuseppe conseguir pensar, planejar, produzir documentos, acompanhar contexto e revisar temas regulatórios/competitivos de forma significativamente mais rápida, sem perder aderência à realidade da IES.</w:t>
            </w:r>
          </w:p>
        </w:tc>
      </w:tr>
    </w:tbl>
    <w:p/>
    <w:p>
      <w:pPr>
        <w:pStyle w:val="Heading1"/>
      </w:pPr>
      <w:r>
        <w:t>Need Professional Help in Developing Your Architecture?</w:t>
      </w:r>
    </w:p>
    <w:p>
      <w:r>
        <w:rPr>
          <w:b w:val="0"/>
        </w:rPr>
        <w:t xml:space="preserve">Please contact me at </w:t>
      </w:r>
      <w:r>
        <w:rPr>
          <w:b/>
          <w:color w:val="1F4E78"/>
        </w:rPr>
        <w:t>sammuti.com</w:t>
      </w:r>
      <w:r>
        <w:t xml:space="preserve"> :)</w:t>
      </w:r>
    </w:p>
    <w:sectPr w:rsidR="00FC693F" w:rsidRPr="0006063C" w:rsidSect="00034616">
      <w:footerReference w:type="default" r:id="rId9"/>
      <w:pgSz w:w="12240" w:h="15840"/>
      <w:pgMar w:top="1247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Página </w:t>
    </w: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" w:hAnsi="Aptos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ptos" w:hAnsi="Aptos"/>
      <w:b/>
      <w:bCs/>
      <w:color w:val="38572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F4E7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b w:val="0"/>
      <w:i/>
      <w:iCs/>
      <w:color w:val="5B6B7A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