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64"/>
        </w:rPr>
        <w:t>SCALEWAY</w:t>
      </w:r>
    </w:p>
    <w:p>
      <w:pPr>
        <w:jc w:val="center"/>
      </w:pPr>
      <w:r>
        <w:rPr>
          <w:color w:val="4472C4"/>
          <w:sz w:val="32"/>
        </w:rPr>
        <w:t>Analisi Cloud B2B — Offerta, Mercato e Partner</w:t>
      </w:r>
    </w:p>
    <w:p>
      <w:pPr>
        <w:spacing w:before="0" w:after="0"/>
      </w:pPr>
    </w:p>
    <w:p>
      <w:pPr>
        <w:jc w:val="center"/>
      </w:pPr>
      <w:r>
        <w:rPr>
          <w:i/>
          <w:color w:val="888888"/>
          <w:sz w:val="22"/>
        </w:rPr>
        <w:t>Aggiornato al 19 marzo 2026</w:t>
      </w:r>
    </w:p>
    <w:p>
      <w:r>
        <w:br w:type="page"/>
      </w:r>
    </w:p>
    <w:p>
      <w:pPr>
        <w:pStyle w:val="Heading1"/>
      </w:pPr>
      <w:r>
        <w:rPr>
          <w:color w:val="1F497D"/>
        </w:rPr>
        <w:t>1. Identita e Posizionamento</w:t>
      </w:r>
    </w:p>
    <w:p>
      <w:pPr/>
      <w:r>
        <w:t>Scaleway e la piattaforma europea di public cloud e intelligenza artificiale del Gruppo iliad, fondato da Xavier Niel. Nata nel 1999 come Online SAS con focus sull'hosting internet, e oggi diventata uno degli hyperscaler europei piu importanti, con una presenza in costante espansione.</w:t>
      </w:r>
    </w:p>
    <w:p>
      <w:pPr>
        <w:spacing w:before="0" w:after="0"/>
      </w:pPr>
    </w:p>
    <w:p>
      <w:pPr>
        <w:pStyle w:val="Heading2"/>
      </w:pPr>
      <w:r>
        <w:t>Dati chiave</w:t>
      </w:r>
    </w:p>
    <w:p>
      <w:pPr>
        <w:pStyle w:val="ListBullet"/>
      </w:pPr>
      <w:r>
        <w:t>Secondo cloud provider in Francia per quota di mercato (dopo OVHcloud)</w:t>
      </w:r>
    </w:p>
    <w:p>
      <w:pPr>
        <w:pStyle w:val="ListBullet"/>
      </w:pPr>
      <w:r>
        <w:t>Oltre 120.000 server distribuiti su 9 data center</w:t>
      </w:r>
    </w:p>
    <w:p>
      <w:pPr>
        <w:pStyle w:val="ListBullet"/>
      </w:pPr>
      <w:r>
        <w:t>Clienti in piu di 160 paesi nel mondo</w:t>
      </w:r>
    </w:p>
    <w:p>
      <w:pPr>
        <w:pStyle w:val="ListBullet"/>
      </w:pPr>
      <w:r>
        <w:t>100% europeo: team, R&amp;D, proprietà dell'infrastruttura e giurisdizione</w:t>
      </w:r>
    </w:p>
    <w:p>
      <w:pPr>
        <w:pStyle w:val="ListBullet"/>
      </w:pPr>
      <w:r>
        <w:t>90% dei fornitori di infrastruttura e' costituito da vendor europei</w:t>
      </w:r>
    </w:p>
    <w:p>
      <w:pPr>
        <w:pStyle w:val="ListBullet"/>
      </w:pPr>
      <w:r>
        <w:t>Investimento annunciato dal Gruppo iliad: 3 miliardi di euro in cloud e AI</w:t>
      </w:r>
    </w:p>
    <w:p>
      <w:pPr>
        <w:spacing w:before="0" w:after="0"/>
      </w:pPr>
    </w:p>
    <w:p>
      <w:pPr>
        <w:pStyle w:val="Heading2"/>
      </w:pPr>
      <w:r>
        <w:t>Cloud Region attive e in arrivo</w:t>
      </w:r>
    </w:p>
    <w:tbl>
      <w:tblPr>
        <w:tblStyle w:val="TableGrid"/>
        <w:tblW w:type="auto" w:w="0"/>
        <w:tblLook w:firstColumn="1" w:firstRow="1" w:lastColumn="0" w:lastRow="0" w:noHBand="0" w:noVBand="1" w:val="04A0"/>
      </w:tblPr>
      <w:tblGrid>
        <w:gridCol w:w="3022"/>
        <w:gridCol w:w="3022"/>
        <w:gridCol w:w="3022"/>
      </w:tblGrid>
      <w:tr>
        <w:tc>
          <w:tcPr>
            <w:tcW w:type="dxa" w:w="2551"/>
            <w:shd w:val="clear" w:color="auto" w:fill="4472C4"/>
          </w:tcPr>
          <w:p>
            <w:pPr>
              <w:jc w:val="center"/>
            </w:pPr>
            <w:r>
              <w:rPr>
                <w:b/>
                <w:color w:val="FFFFFF"/>
              </w:rPr>
              <w:t>Region</w:t>
            </w:r>
          </w:p>
        </w:tc>
        <w:tc>
          <w:tcPr>
            <w:tcW w:type="dxa" w:w="2551"/>
            <w:shd w:val="clear" w:color="auto" w:fill="4472C4"/>
          </w:tcPr>
          <w:p>
            <w:pPr>
              <w:jc w:val="center"/>
            </w:pPr>
            <w:r>
              <w:rPr>
                <w:b/>
                <w:color w:val="FFFFFF"/>
              </w:rPr>
              <w:t>Stato</w:t>
            </w:r>
          </w:p>
        </w:tc>
        <w:tc>
          <w:tcPr>
            <w:tcW w:type="dxa" w:w="3969"/>
            <w:shd w:val="clear" w:color="auto" w:fill="4472C4"/>
          </w:tcPr>
          <w:p>
            <w:pPr>
              <w:jc w:val="center"/>
            </w:pPr>
            <w:r>
              <w:rPr>
                <w:b/>
                <w:color w:val="FFFFFF"/>
              </w:rPr>
              <w:t>Note</w:t>
            </w:r>
          </w:p>
        </w:tc>
      </w:tr>
      <w:tr>
        <w:tc>
          <w:tcPr>
            <w:tcW w:type="dxa" w:w="2551"/>
          </w:tcPr>
          <w:p>
            <w:r>
              <w:rPr>
                <w:sz w:val="20"/>
              </w:rPr>
              <w:t>Parigi (PAR)</w:t>
            </w:r>
          </w:p>
        </w:tc>
        <w:tc>
          <w:tcPr>
            <w:tcW w:type="dxa" w:w="2551"/>
          </w:tcPr>
          <w:p>
            <w:r>
              <w:rPr>
                <w:sz w:val="20"/>
              </w:rPr>
              <w:t>Attiva</w:t>
            </w:r>
          </w:p>
        </w:tc>
        <w:tc>
          <w:tcPr>
            <w:tcW w:type="dxa" w:w="3969"/>
          </w:tcPr>
          <w:p>
            <w:r>
              <w:rPr>
                <w:sz w:val="20"/>
              </w:rPr>
              <w:t>Sede storica, massima maturita'</w:t>
            </w:r>
          </w:p>
        </w:tc>
      </w:tr>
      <w:tr>
        <w:tc>
          <w:tcPr>
            <w:tcW w:type="dxa" w:w="2551"/>
          </w:tcPr>
          <w:p>
            <w:r>
              <w:rPr>
                <w:sz w:val="20"/>
              </w:rPr>
              <w:t>Amsterdam (AMS)</w:t>
            </w:r>
          </w:p>
        </w:tc>
        <w:tc>
          <w:tcPr>
            <w:tcW w:type="dxa" w:w="2551"/>
          </w:tcPr>
          <w:p>
            <w:r>
              <w:rPr>
                <w:sz w:val="20"/>
              </w:rPr>
              <w:t>Attiva</w:t>
            </w:r>
          </w:p>
        </w:tc>
        <w:tc>
          <w:tcPr>
            <w:tcW w:type="dxa" w:w="3969"/>
          </w:tcPr>
          <w:p>
            <w:r>
              <w:rPr>
                <w:sz w:val="20"/>
              </w:rPr>
              <w:t>Paesi Bassi — hub europeo</w:t>
            </w:r>
          </w:p>
        </w:tc>
      </w:tr>
      <w:tr>
        <w:tc>
          <w:tcPr>
            <w:tcW w:type="dxa" w:w="2551"/>
          </w:tcPr>
          <w:p>
            <w:r>
              <w:rPr>
                <w:sz w:val="20"/>
              </w:rPr>
              <w:t>Varsavia (WAW)</w:t>
            </w:r>
          </w:p>
        </w:tc>
        <w:tc>
          <w:tcPr>
            <w:tcW w:type="dxa" w:w="2551"/>
          </w:tcPr>
          <w:p>
            <w:r>
              <w:rPr>
                <w:sz w:val="20"/>
              </w:rPr>
              <w:t>Attiva</w:t>
            </w:r>
          </w:p>
        </w:tc>
        <w:tc>
          <w:tcPr>
            <w:tcW w:type="dxa" w:w="3969"/>
          </w:tcPr>
          <w:p>
            <w:r>
              <w:rPr>
                <w:sz w:val="20"/>
              </w:rPr>
              <w:t>Polonia — espansione est Europa</w:t>
            </w:r>
          </w:p>
        </w:tc>
      </w:tr>
      <w:tr>
        <w:tc>
          <w:tcPr>
            <w:tcW w:type="dxa" w:w="2551"/>
          </w:tcPr>
          <w:p>
            <w:r>
              <w:rPr>
                <w:sz w:val="20"/>
              </w:rPr>
              <w:t>Milano (MXP)</w:t>
            </w:r>
          </w:p>
        </w:tc>
        <w:tc>
          <w:tcPr>
            <w:tcW w:type="dxa" w:w="2551"/>
          </w:tcPr>
          <w:p>
            <w:r>
              <w:rPr>
                <w:sz w:val="20"/>
              </w:rPr>
              <w:t>Lanciata 19/03/2026</w:t>
            </w:r>
          </w:p>
        </w:tc>
        <w:tc>
          <w:tcPr>
            <w:tcW w:type="dxa" w:w="3969"/>
          </w:tcPr>
          <w:p>
            <w:r>
              <w:rPr>
                <w:sz w:val="20"/>
              </w:rPr>
              <w:t>3 AZ: Settimo Milanese (attiva), Basiglio e Milano (in arrivo)</w:t>
            </w:r>
          </w:p>
        </w:tc>
      </w:tr>
      <w:tr>
        <w:tc>
          <w:tcPr>
            <w:tcW w:type="dxa" w:w="2551"/>
          </w:tcPr>
          <w:p>
            <w:r>
              <w:rPr>
                <w:sz w:val="20"/>
              </w:rPr>
              <w:t>Stoccolma (STO)</w:t>
            </w:r>
          </w:p>
        </w:tc>
        <w:tc>
          <w:tcPr>
            <w:tcW w:type="dxa" w:w="2551"/>
          </w:tcPr>
          <w:p>
            <w:r>
              <w:rPr>
                <w:sz w:val="20"/>
              </w:rPr>
              <w:t>In arrivo</w:t>
            </w:r>
          </w:p>
        </w:tc>
        <w:tc>
          <w:tcPr>
            <w:tcW w:type="dxa" w:w="3969"/>
          </w:tcPr>
          <w:p>
            <w:r>
              <w:rPr>
                <w:sz w:val="20"/>
              </w:rPr>
              <w:t>Svezia — espansione nordica</w:t>
            </w:r>
          </w:p>
        </w:tc>
      </w:tr>
      <w:tr>
        <w:tc>
          <w:tcPr>
            <w:tcW w:type="dxa" w:w="2551"/>
          </w:tcPr>
          <w:p>
            <w:r>
              <w:rPr>
                <w:sz w:val="20"/>
              </w:rPr>
              <w:t>Francoforte (FRA)</w:t>
            </w:r>
          </w:p>
        </w:tc>
        <w:tc>
          <w:tcPr>
            <w:tcW w:type="dxa" w:w="2551"/>
          </w:tcPr>
          <w:p>
            <w:r>
              <w:rPr>
                <w:sz w:val="20"/>
              </w:rPr>
              <w:t>In arrivo</w:t>
            </w:r>
          </w:p>
        </w:tc>
        <w:tc>
          <w:tcPr>
            <w:tcW w:type="dxa" w:w="3969"/>
          </w:tcPr>
          <w:p>
            <w:r>
              <w:rPr>
                <w:sz w:val="20"/>
              </w:rPr>
              <w:t>Germania — hub DACH</w:t>
            </w:r>
          </w:p>
        </w:tc>
      </w:tr>
    </w:tbl>
    <w:p>
      <w:pPr>
        <w:spacing w:before="0" w:after="0"/>
      </w:pPr>
    </w:p>
    <w:p>
      <w:r>
        <w:br w:type="page"/>
      </w:r>
    </w:p>
    <w:p>
      <w:pPr>
        <w:pStyle w:val="Heading1"/>
      </w:pPr>
      <w:r>
        <w:rPr>
          <w:color w:val="1F497D"/>
        </w:rPr>
        <w:t>2. Offerta Tecnica</w:t>
      </w:r>
    </w:p>
    <w:p>
      <w:pPr/>
      <w:r>
        <w:t>Scaleway offre una piattaforma cloud completa organizzata in cinque macro-aree: Bare Metal, Compute, AI, Storage, e Data &amp; Tools.</w:t>
      </w:r>
    </w:p>
    <w:p>
      <w:pPr>
        <w:spacing w:before="0" w:after="0"/>
      </w:pPr>
    </w:p>
    <w:p>
      <w:pPr>
        <w:pStyle w:val="Heading2"/>
      </w:pPr>
      <w:r>
        <w:t>2.1 Bare Metal</w:t>
      </w:r>
    </w:p>
    <w:tbl>
      <w:tblPr>
        <w:tblStyle w:val="TableGrid"/>
        <w:tblW w:type="auto" w:w="0"/>
        <w:tblLook w:firstColumn="1" w:firstRow="1" w:lastColumn="0" w:lastRow="0" w:noHBand="0" w:noVBand="1" w:val="04A0"/>
      </w:tblPr>
      <w:tblGrid>
        <w:gridCol w:w="4533"/>
        <w:gridCol w:w="4533"/>
      </w:tblGrid>
      <w:tr>
        <w:tc>
          <w:tcPr>
            <w:tcW w:type="dxa" w:w="3969"/>
            <w:shd w:val="clear" w:color="auto" w:fill="4472C4"/>
          </w:tcPr>
          <w:p>
            <w:pPr>
              <w:jc w:val="center"/>
            </w:pPr>
            <w:r>
              <w:rPr>
                <w:b/>
                <w:color w:val="FFFFFF"/>
              </w:rPr>
              <w:t>Prodotto</w:t>
            </w:r>
          </w:p>
        </w:tc>
        <w:tc>
          <w:tcPr>
            <w:tcW w:type="dxa" w:w="5102"/>
            <w:shd w:val="clear" w:color="auto" w:fill="4472C4"/>
          </w:tcPr>
          <w:p>
            <w:pPr>
              <w:jc w:val="center"/>
            </w:pPr>
            <w:r>
              <w:rPr>
                <w:b/>
                <w:color w:val="FFFFFF"/>
              </w:rPr>
              <w:t>Descrizione</w:t>
            </w:r>
          </w:p>
        </w:tc>
      </w:tr>
      <w:tr>
        <w:tc>
          <w:tcPr>
            <w:tcW w:type="dxa" w:w="3969"/>
          </w:tcPr>
          <w:p>
            <w:r>
              <w:rPr>
                <w:sz w:val="20"/>
              </w:rPr>
              <w:t>Dedibox (Start/Pro/Core/Store/GPU)</w:t>
            </w:r>
          </w:p>
        </w:tc>
        <w:tc>
          <w:tcPr>
            <w:tcW w:type="dxa" w:w="5102"/>
          </w:tcPr>
          <w:p>
            <w:r>
              <w:rPr>
                <w:sz w:val="20"/>
              </w:rPr>
              <w:t>Server dedicati di nuova generazione, range differenziati per uso</w:t>
            </w:r>
          </w:p>
        </w:tc>
      </w:tr>
      <w:tr>
        <w:tc>
          <w:tcPr>
            <w:tcW w:type="dxa" w:w="3969"/>
          </w:tcPr>
          <w:p>
            <w:r>
              <w:rPr>
                <w:sz w:val="20"/>
              </w:rPr>
              <w:t>Dedibox VPS</w:t>
            </w:r>
          </w:p>
        </w:tc>
        <w:tc>
          <w:tcPr>
            <w:tcW w:type="dxa" w:w="5102"/>
          </w:tcPr>
          <w:p>
            <w:r>
              <w:rPr>
                <w:sz w:val="20"/>
              </w:rPr>
              <w:t>Virtual Private Server economici per POC e presenza internazionale</w:t>
            </w:r>
          </w:p>
        </w:tc>
      </w:tr>
      <w:tr>
        <w:tc>
          <w:tcPr>
            <w:tcW w:type="dxa" w:w="3969"/>
          </w:tcPr>
          <w:p>
            <w:r>
              <w:rPr>
                <w:sz w:val="20"/>
              </w:rPr>
              <w:t>Elastic Metal (Aluminium/Beryllium/Iridium/Lithium/Titanium)</w:t>
            </w:r>
          </w:p>
        </w:tc>
        <w:tc>
          <w:tcPr>
            <w:tcW w:type="dxa" w:w="5102"/>
          </w:tcPr>
          <w:p>
            <w:r>
              <w:rPr>
                <w:sz w:val="20"/>
              </w:rPr>
              <w:t>Bare Metal cloud con fatturazione flessibile, prestazioni dedicate</w:t>
            </w:r>
          </w:p>
        </w:tc>
      </w:tr>
      <w:tr>
        <w:tc>
          <w:tcPr>
            <w:tcW w:type="dxa" w:w="3969"/>
          </w:tcPr>
          <w:p>
            <w:r>
              <w:rPr>
                <w:sz w:val="20"/>
              </w:rPr>
              <w:t>Dedirack</w:t>
            </w:r>
          </w:p>
        </w:tc>
        <w:tc>
          <w:tcPr>
            <w:tcW w:type="dxa" w:w="5102"/>
          </w:tcPr>
          <w:p>
            <w:r>
              <w:rPr>
                <w:sz w:val="20"/>
              </w:rPr>
              <w:t>Rack dedicato in data center Scaleway, per chi vuole ospitare la propria infrastruttura</w:t>
            </w:r>
          </w:p>
        </w:tc>
      </w:tr>
      <w:tr>
        <w:tc>
          <w:tcPr>
            <w:tcW w:type="dxa" w:w="3969"/>
          </w:tcPr>
          <w:p>
            <w:r>
              <w:rPr>
                <w:sz w:val="20"/>
              </w:rPr>
              <w:t>Apple Silicon (Mac mini M1/M2/M2 Pro/M4)</w:t>
            </w:r>
          </w:p>
        </w:tc>
        <w:tc>
          <w:tcPr>
            <w:tcW w:type="dxa" w:w="5102"/>
          </w:tcPr>
          <w:p>
            <w:r>
              <w:rPr>
                <w:sz w:val="20"/>
              </w:rPr>
              <w:t>Computing nativo macOS on-demand</w:t>
            </w:r>
          </w:p>
        </w:tc>
      </w:tr>
    </w:tbl>
    <w:p>
      <w:pPr>
        <w:spacing w:before="0" w:after="0"/>
      </w:pPr>
    </w:p>
    <w:p>
      <w:pPr>
        <w:pStyle w:val="Heading2"/>
      </w:pPr>
      <w:r>
        <w:t>2.2 Compute (Cloud)</w:t>
      </w:r>
    </w:p>
    <w:tbl>
      <w:tblPr>
        <w:tblStyle w:val="TableGrid"/>
        <w:tblW w:type="auto" w:w="0"/>
        <w:tblLook w:firstColumn="1" w:firstRow="1" w:lastColumn="0" w:lastRow="0" w:noHBand="0" w:noVBand="1" w:val="04A0"/>
      </w:tblPr>
      <w:tblGrid>
        <w:gridCol w:w="3022"/>
        <w:gridCol w:w="3022"/>
        <w:gridCol w:w="3022"/>
      </w:tblGrid>
      <w:tr>
        <w:tc>
          <w:tcPr>
            <w:tcW w:type="dxa" w:w="2551"/>
            <w:shd w:val="clear" w:color="auto" w:fill="4472C4"/>
          </w:tcPr>
          <w:p>
            <w:pPr>
              <w:jc w:val="center"/>
            </w:pPr>
            <w:r>
              <w:rPr>
                <w:b/>
                <w:color w:val="FFFFFF"/>
              </w:rPr>
              <w:t>Prodotto</w:t>
            </w:r>
          </w:p>
        </w:tc>
        <w:tc>
          <w:tcPr>
            <w:tcW w:type="dxa" w:w="3402"/>
            <w:shd w:val="clear" w:color="auto" w:fill="4472C4"/>
          </w:tcPr>
          <w:p>
            <w:pPr>
              <w:jc w:val="center"/>
            </w:pPr>
            <w:r>
              <w:rPr>
                <w:b/>
                <w:color w:val="FFFFFF"/>
              </w:rPr>
              <w:t>Varianti</w:t>
            </w:r>
          </w:p>
        </w:tc>
        <w:tc>
          <w:tcPr>
            <w:tcW w:type="dxa" w:w="3118"/>
            <w:shd w:val="clear" w:color="auto" w:fill="4472C4"/>
          </w:tcPr>
          <w:p>
            <w:pPr>
              <w:jc w:val="center"/>
            </w:pPr>
            <w:r>
              <w:rPr>
                <w:b/>
                <w:color w:val="FFFFFF"/>
              </w:rPr>
              <w:t>Uso tipico</w:t>
            </w:r>
          </w:p>
        </w:tc>
      </w:tr>
      <w:tr>
        <w:tc>
          <w:tcPr>
            <w:tcW w:type="dxa" w:w="2551"/>
          </w:tcPr>
          <w:p>
            <w:r>
              <w:rPr>
                <w:sz w:val="20"/>
              </w:rPr>
              <w:t>Virtual Instances</w:t>
            </w:r>
          </w:p>
        </w:tc>
        <w:tc>
          <w:tcPr>
            <w:tcW w:type="dxa" w:w="3402"/>
          </w:tcPr>
          <w:p>
            <w:r>
              <w:rPr>
                <w:sz w:val="20"/>
              </w:rPr>
              <w:t>Development / General Purpose / Compute Optimized / Memory Optimized</w:t>
            </w:r>
          </w:p>
        </w:tc>
        <w:tc>
          <w:tcPr>
            <w:tcW w:type="dxa" w:w="3118"/>
          </w:tcPr>
          <w:p>
            <w:r>
              <w:rPr>
                <w:sz w:val="20"/>
              </w:rPr>
              <w:t>Carichi di lavoro standard e specializzati</w:t>
            </w:r>
          </w:p>
        </w:tc>
      </w:tr>
      <w:tr>
        <w:tc>
          <w:tcPr>
            <w:tcW w:type="dxa" w:w="2551"/>
          </w:tcPr>
          <w:p>
            <w:r>
              <w:rPr>
                <w:sz w:val="20"/>
              </w:rPr>
              <w:t>GPU Instances</w:t>
            </w:r>
          </w:p>
        </w:tc>
        <w:tc>
          <w:tcPr>
            <w:tcW w:type="dxa" w:w="3402"/>
          </w:tcPr>
          <w:p>
            <w:r>
              <w:rPr>
                <w:sz w:val="20"/>
              </w:rPr>
              <w:t>L4, L40S, H100 PCIe, RENDER</w:t>
            </w:r>
          </w:p>
        </w:tc>
        <w:tc>
          <w:tcPr>
            <w:tcW w:type="dxa" w:w="3118"/>
          </w:tcPr>
          <w:p>
            <w:r>
              <w:rPr>
                <w:sz w:val="20"/>
              </w:rPr>
              <w:t>AI training, rendering, HPC</w:t>
            </w:r>
          </w:p>
        </w:tc>
      </w:tr>
      <w:tr>
        <w:tc>
          <w:tcPr>
            <w:tcW w:type="dxa" w:w="2551"/>
          </w:tcPr>
          <w:p>
            <w:r>
              <w:rPr>
                <w:sz w:val="20"/>
              </w:rPr>
              <w:t>Serverless Functions</w:t>
            </w:r>
          </w:p>
        </w:tc>
        <w:tc>
          <w:tcPr>
            <w:tcW w:type="dxa" w:w="3402"/>
          </w:tcPr>
          <w:p>
            <w:r>
              <w:rPr>
                <w:sz w:val="20"/>
              </w:rPr>
              <w:t>Pay-per-invocation</w:t>
            </w:r>
          </w:p>
        </w:tc>
        <w:tc>
          <w:tcPr>
            <w:tcW w:type="dxa" w:w="3118"/>
          </w:tcPr>
          <w:p>
            <w:r>
              <w:rPr>
                <w:sz w:val="20"/>
              </w:rPr>
              <w:t>Microservizi event-driven</w:t>
            </w:r>
          </w:p>
        </w:tc>
      </w:tr>
      <w:tr>
        <w:tc>
          <w:tcPr>
            <w:tcW w:type="dxa" w:w="2551"/>
          </w:tcPr>
          <w:p>
            <w:r>
              <w:rPr>
                <w:sz w:val="20"/>
              </w:rPr>
              <w:t>Serverless Containers</w:t>
            </w:r>
          </w:p>
        </w:tc>
        <w:tc>
          <w:tcPr>
            <w:tcW w:type="dxa" w:w="3402"/>
          </w:tcPr>
          <w:p>
            <w:r>
              <w:rPr>
                <w:sz w:val="20"/>
              </w:rPr>
              <w:t>Container-as-a-Function</w:t>
            </w:r>
          </w:p>
        </w:tc>
        <w:tc>
          <w:tcPr>
            <w:tcW w:type="dxa" w:w="3118"/>
          </w:tcPr>
          <w:p>
            <w:r>
              <w:rPr>
                <w:sz w:val="20"/>
              </w:rPr>
              <w:t>Applicazioni containerizzate senza gestione server</w:t>
            </w:r>
          </w:p>
        </w:tc>
      </w:tr>
      <w:tr>
        <w:tc>
          <w:tcPr>
            <w:tcW w:type="dxa" w:w="2551"/>
          </w:tcPr>
          <w:p>
            <w:r>
              <w:rPr>
                <w:sz w:val="20"/>
              </w:rPr>
              <w:t>Serverless Jobs</w:t>
            </w:r>
          </w:p>
        </w:tc>
        <w:tc>
          <w:tcPr>
            <w:tcW w:type="dxa" w:w="3402"/>
          </w:tcPr>
          <w:p>
            <w:r>
              <w:rPr>
                <w:sz w:val="20"/>
              </w:rPr>
              <w:t>Batch computing</w:t>
            </w:r>
          </w:p>
        </w:tc>
        <w:tc>
          <w:tcPr>
            <w:tcW w:type="dxa" w:w="3118"/>
          </w:tcPr>
          <w:p>
            <w:r>
              <w:rPr>
                <w:sz w:val="20"/>
              </w:rPr>
              <w:t>Task asincroni e schedulati</w:t>
            </w:r>
          </w:p>
        </w:tc>
      </w:tr>
      <w:tr>
        <w:tc>
          <w:tcPr>
            <w:tcW w:type="dxa" w:w="2551"/>
          </w:tcPr>
          <w:p>
            <w:r>
              <w:rPr>
                <w:sz w:val="20"/>
              </w:rPr>
              <w:t>Kubernetes Kapsule</w:t>
            </w:r>
          </w:p>
        </w:tc>
        <w:tc>
          <w:tcPr>
            <w:tcW w:type="dxa" w:w="3402"/>
          </w:tcPr>
          <w:p>
            <w:r>
              <w:rPr>
                <w:sz w:val="20"/>
              </w:rPr>
              <w:t>Managed K8s nativo Scaleway</w:t>
            </w:r>
          </w:p>
        </w:tc>
        <w:tc>
          <w:tcPr>
            <w:tcW w:type="dxa" w:w="3118"/>
          </w:tcPr>
          <w:p>
            <w:r>
              <w:rPr>
                <w:sz w:val="20"/>
              </w:rPr>
              <w:t>Orchestrazione container cloud-native</w:t>
            </w:r>
          </w:p>
        </w:tc>
      </w:tr>
      <w:tr>
        <w:tc>
          <w:tcPr>
            <w:tcW w:type="dxa" w:w="2551"/>
          </w:tcPr>
          <w:p>
            <w:r>
              <w:rPr>
                <w:sz w:val="20"/>
              </w:rPr>
              <w:t>Kubernetes Kosmos</w:t>
            </w:r>
          </w:p>
        </w:tc>
        <w:tc>
          <w:tcPr>
            <w:tcW w:type="dxa" w:w="3402"/>
          </w:tcPr>
          <w:p>
            <w:r>
              <w:rPr>
                <w:sz w:val="20"/>
              </w:rPr>
              <w:t>Multi-cloud K8s</w:t>
            </w:r>
          </w:p>
        </w:tc>
        <w:tc>
          <w:tcPr>
            <w:tcW w:type="dxa" w:w="3118"/>
          </w:tcPr>
          <w:p>
            <w:r>
              <w:rPr>
                <w:sz w:val="20"/>
              </w:rPr>
              <w:t>Cluster ibridi e multi-provider</w:t>
            </w:r>
          </w:p>
        </w:tc>
      </w:tr>
      <w:tr>
        <w:tc>
          <w:tcPr>
            <w:tcW w:type="dxa" w:w="2551"/>
          </w:tcPr>
          <w:p>
            <w:r>
              <w:rPr>
                <w:sz w:val="20"/>
              </w:rPr>
              <w:t>Container Registry</w:t>
            </w:r>
          </w:p>
        </w:tc>
        <w:tc>
          <w:tcPr>
            <w:tcW w:type="dxa" w:w="3402"/>
          </w:tcPr>
          <w:p>
            <w:r>
              <w:rPr>
                <w:sz w:val="20"/>
              </w:rPr>
              <w:t>Registry privato</w:t>
            </w:r>
          </w:p>
        </w:tc>
        <w:tc>
          <w:tcPr>
            <w:tcW w:type="dxa" w:w="3118"/>
          </w:tcPr>
          <w:p>
            <w:r>
              <w:rPr>
                <w:sz w:val="20"/>
              </w:rPr>
              <w:t>Gestione immagini container</w:t>
            </w:r>
          </w:p>
        </w:tc>
      </w:tr>
    </w:tbl>
    <w:p>
      <w:pPr>
        <w:spacing w:before="0" w:after="0"/>
      </w:pPr>
    </w:p>
    <w:p>
      <w:pPr>
        <w:pStyle w:val="Heading2"/>
      </w:pPr>
      <w:r>
        <w:t>2.3 AI e GPU</w:t>
      </w:r>
    </w:p>
    <w:p>
      <w:pPr/>
      <w:r>
        <w:t>Scaleway possiede la piu grande potenza di calcolo AI di proprieta' europea. L'offerta copre tutta la catena del valore dell'intelligenza artificiale:</w:t>
      </w:r>
    </w:p>
    <w:p>
      <w:pPr>
        <w:pStyle w:val="ListBullet"/>
      </w:pPr>
      <w:r>
        <w:t>GPU H100 PCIe: la GPU di riferimento per training di modelli LLM e AI enterprise</w:t>
      </w:r>
    </w:p>
    <w:p>
      <w:pPr>
        <w:pStyle w:val="ListBullet"/>
      </w:pPr>
      <w:r>
        <w:t>L40S GPU: bilanciamento tra training e inference, ottima per applicazioni multimedia</w:t>
      </w:r>
    </w:p>
    <w:p>
      <w:pPr>
        <w:pStyle w:val="ListBullet"/>
      </w:pPr>
      <w:r>
        <w:t>L4 GPU: entry-level GPU per inferenza e sviluppo</w:t>
      </w:r>
    </w:p>
    <w:p>
      <w:pPr>
        <w:pStyle w:val="ListBullet"/>
      </w:pPr>
      <w:r>
        <w:t>Generative APIs (Model-as-a-Service): accesso a modelli generativi (LLM) senza gestire infrastruttura, fatturazione a token</w:t>
      </w:r>
    </w:p>
    <w:p>
      <w:pPr>
        <w:pStyle w:val="ListBullet"/>
      </w:pPr>
      <w:r>
        <w:t>Managed Inference: deploy di modelli custom su infrastruttura dedicata</w:t>
      </w:r>
    </w:p>
    <w:p>
      <w:pPr>
        <w:pStyle w:val="ListBullet"/>
      </w:pPr>
      <w:r>
        <w:t>Partnership con Meta e Hugging Face per l'ecosistema AI open-source</w:t>
      </w:r>
    </w:p>
    <w:p>
      <w:pPr>
        <w:spacing w:before="0" w:after="0"/>
      </w:pPr>
    </w:p>
    <w:p>
      <w:pPr>
        <w:pStyle w:val="Heading2"/>
      </w:pPr>
      <w:r>
        <w:t>2.4 Storage</w:t>
      </w:r>
    </w:p>
    <w:tbl>
      <w:tblPr>
        <w:tblStyle w:val="TableGrid"/>
        <w:tblW w:type="auto" w:w="0"/>
        <w:tblLook w:firstColumn="1" w:firstRow="1" w:lastColumn="0" w:lastRow="0" w:noHBand="0" w:noVBand="1" w:val="04A0"/>
      </w:tblPr>
      <w:tblGrid>
        <w:gridCol w:w="3022"/>
        <w:gridCol w:w="3022"/>
        <w:gridCol w:w="3022"/>
      </w:tblGrid>
      <w:tr>
        <w:tc>
          <w:tcPr>
            <w:tcW w:type="dxa" w:w="2551"/>
            <w:shd w:val="clear" w:color="auto" w:fill="4472C4"/>
          </w:tcPr>
          <w:p>
            <w:pPr>
              <w:jc w:val="center"/>
            </w:pPr>
            <w:r>
              <w:rPr>
                <w:b/>
                <w:color w:val="FFFFFF"/>
              </w:rPr>
              <w:t>Prodotto</w:t>
            </w:r>
          </w:p>
        </w:tc>
        <w:tc>
          <w:tcPr>
            <w:tcW w:type="dxa" w:w="2268"/>
            <w:shd w:val="clear" w:color="auto" w:fill="4472C4"/>
          </w:tcPr>
          <w:p>
            <w:pPr>
              <w:jc w:val="center"/>
            </w:pPr>
            <w:r>
              <w:rPr>
                <w:b/>
                <w:color w:val="FFFFFF"/>
              </w:rPr>
              <w:t>Tipo</w:t>
            </w:r>
          </w:p>
        </w:tc>
        <w:tc>
          <w:tcPr>
            <w:tcW w:type="dxa" w:w="4252"/>
            <w:shd w:val="clear" w:color="auto" w:fill="4472C4"/>
          </w:tcPr>
          <w:p>
            <w:pPr>
              <w:jc w:val="center"/>
            </w:pPr>
            <w:r>
              <w:rPr>
                <w:b/>
                <w:color w:val="FFFFFF"/>
              </w:rPr>
              <w:t>Caratteristiche</w:t>
            </w:r>
          </w:p>
        </w:tc>
      </w:tr>
      <w:tr>
        <w:tc>
          <w:tcPr>
            <w:tcW w:type="dxa" w:w="2551"/>
          </w:tcPr>
          <w:p>
            <w:r>
              <w:rPr>
                <w:sz w:val="20"/>
              </w:rPr>
              <w:t>Object Storage</w:t>
            </w:r>
          </w:p>
        </w:tc>
        <w:tc>
          <w:tcPr>
            <w:tcW w:type="dxa" w:w="2268"/>
          </w:tcPr>
          <w:p>
            <w:r>
              <w:rPr>
                <w:sz w:val="20"/>
              </w:rPr>
              <w:t>S3-compatible</w:t>
            </w:r>
          </w:p>
        </w:tc>
        <w:tc>
          <w:tcPr>
            <w:tcW w:type="dxa" w:w="4252"/>
          </w:tcPr>
          <w:p>
            <w:r>
              <w:rPr>
                <w:sz w:val="20"/>
              </w:rPr>
              <w:t>Compatibile AWS S3, per dati non strutturati</w:t>
            </w:r>
          </w:p>
        </w:tc>
      </w:tr>
      <w:tr>
        <w:tc>
          <w:tcPr>
            <w:tcW w:type="dxa" w:w="2551"/>
          </w:tcPr>
          <w:p>
            <w:r>
              <w:rPr>
                <w:sz w:val="20"/>
              </w:rPr>
              <w:t>Block Storage</w:t>
            </w:r>
          </w:p>
        </w:tc>
        <w:tc>
          <w:tcPr>
            <w:tcW w:type="dxa" w:w="2268"/>
          </w:tcPr>
          <w:p>
            <w:r>
              <w:rPr>
                <w:sz w:val="20"/>
              </w:rPr>
              <w:t>SSD persistente</w:t>
            </w:r>
          </w:p>
        </w:tc>
        <w:tc>
          <w:tcPr>
            <w:tcW w:type="dxa" w:w="4252"/>
          </w:tcPr>
          <w:p>
            <w:r>
              <w:rPr>
                <w:sz w:val="20"/>
              </w:rPr>
              <w:t>0,08 EUR/GB — storage a blocchi per VM</w:t>
            </w:r>
          </w:p>
        </w:tc>
      </w:tr>
      <w:tr>
        <w:tc>
          <w:tcPr>
            <w:tcW w:type="dxa" w:w="2551"/>
          </w:tcPr>
          <w:p>
            <w:r>
              <w:rPr>
                <w:sz w:val="20"/>
              </w:rPr>
              <w:t>Scaleway Glacier</w:t>
            </w:r>
          </w:p>
        </w:tc>
        <w:tc>
          <w:tcPr>
            <w:tcW w:type="dxa" w:w="2268"/>
          </w:tcPr>
          <w:p>
            <w:r>
              <w:rPr>
                <w:sz w:val="20"/>
              </w:rPr>
              <w:t>Cold storage</w:t>
            </w:r>
          </w:p>
        </w:tc>
        <w:tc>
          <w:tcPr>
            <w:tcW w:type="dxa" w:w="4252"/>
          </w:tcPr>
          <w:p>
            <w:r>
              <w:rPr>
                <w:sz w:val="20"/>
              </w:rPr>
              <w:t>Archivio a lungo termine, alternativa europea ad Amazon Glacier</w:t>
            </w:r>
          </w:p>
        </w:tc>
      </w:tr>
    </w:tbl>
    <w:p>
      <w:pPr>
        <w:spacing w:before="0" w:after="0"/>
      </w:pPr>
    </w:p>
    <w:p>
      <w:pPr>
        <w:pStyle w:val="Heading2"/>
      </w:pPr>
      <w:r>
        <w:t>2.5 Rete</w:t>
      </w:r>
    </w:p>
    <w:tbl>
      <w:tblPr>
        <w:tblStyle w:val="TableGrid"/>
        <w:tblW w:type="auto" w:w="0"/>
        <w:tblLook w:firstColumn="1" w:firstRow="1" w:lastColumn="0" w:lastRow="0" w:noHBand="0" w:noVBand="1" w:val="04A0"/>
      </w:tblPr>
      <w:tblGrid>
        <w:gridCol w:w="4533"/>
        <w:gridCol w:w="4533"/>
      </w:tblGrid>
      <w:tr>
        <w:tc>
          <w:tcPr>
            <w:tcW w:type="dxa" w:w="3118"/>
            <w:shd w:val="clear" w:color="auto" w:fill="4472C4"/>
          </w:tcPr>
          <w:p>
            <w:pPr>
              <w:jc w:val="center"/>
            </w:pPr>
            <w:r>
              <w:rPr>
                <w:b/>
                <w:color w:val="FFFFFF"/>
              </w:rPr>
              <w:t>Prodotto</w:t>
            </w:r>
          </w:p>
        </w:tc>
        <w:tc>
          <w:tcPr>
            <w:tcW w:type="dxa" w:w="5953"/>
            <w:shd w:val="clear" w:color="auto" w:fill="4472C4"/>
          </w:tcPr>
          <w:p>
            <w:pPr>
              <w:jc w:val="center"/>
            </w:pPr>
            <w:r>
              <w:rPr>
                <w:b/>
                <w:color w:val="FFFFFF"/>
              </w:rPr>
              <w:t>Funzione</w:t>
            </w:r>
          </w:p>
        </w:tc>
      </w:tr>
      <w:tr>
        <w:tc>
          <w:tcPr>
            <w:tcW w:type="dxa" w:w="3118"/>
          </w:tcPr>
          <w:p>
            <w:r>
              <w:rPr>
                <w:sz w:val="20"/>
              </w:rPr>
              <w:t>Virtual Private Cloud (VPC)</w:t>
            </w:r>
          </w:p>
        </w:tc>
        <w:tc>
          <w:tcPr>
            <w:tcW w:type="dxa" w:w="5953"/>
          </w:tcPr>
          <w:p>
            <w:r>
              <w:rPr>
                <w:sz w:val="20"/>
              </w:rPr>
              <w:t>Rete privata isolata per le proprie risorse cloud</w:t>
            </w:r>
          </w:p>
        </w:tc>
      </w:tr>
      <w:tr>
        <w:tc>
          <w:tcPr>
            <w:tcW w:type="dxa" w:w="3118"/>
          </w:tcPr>
          <w:p>
            <w:r>
              <w:rPr>
                <w:sz w:val="20"/>
              </w:rPr>
              <w:t>Scaleway InterLink</w:t>
            </w:r>
          </w:p>
        </w:tc>
        <w:tc>
          <w:tcPr>
            <w:tcW w:type="dxa" w:w="5953"/>
          </w:tcPr>
          <w:p>
            <w:r>
              <w:rPr>
                <w:sz w:val="20"/>
              </w:rPr>
              <w:t>Connettivita' privata dedicata (equivalente AWS Direct Connect)</w:t>
            </w:r>
          </w:p>
        </w:tc>
      </w:tr>
      <w:tr>
        <w:tc>
          <w:tcPr>
            <w:tcW w:type="dxa" w:w="3118"/>
          </w:tcPr>
          <w:p>
            <w:r>
              <w:rPr>
                <w:sz w:val="20"/>
              </w:rPr>
              <w:t>Public Gateway</w:t>
            </w:r>
          </w:p>
        </w:tc>
        <w:tc>
          <w:tcPr>
            <w:tcW w:type="dxa" w:w="5953"/>
          </w:tcPr>
          <w:p>
            <w:r>
              <w:rPr>
                <w:sz w:val="20"/>
              </w:rPr>
              <w:t>Gateway NAT per accesso internet da risorse private</w:t>
            </w:r>
          </w:p>
        </w:tc>
      </w:tr>
      <w:tr>
        <w:tc>
          <w:tcPr>
            <w:tcW w:type="dxa" w:w="3118"/>
          </w:tcPr>
          <w:p>
            <w:r>
              <w:rPr>
                <w:sz w:val="20"/>
              </w:rPr>
              <w:t>Load Balancer</w:t>
            </w:r>
          </w:p>
        </w:tc>
        <w:tc>
          <w:tcPr>
            <w:tcW w:type="dxa" w:w="5953"/>
          </w:tcPr>
          <w:p>
            <w:r>
              <w:rPr>
                <w:sz w:val="20"/>
              </w:rPr>
              <w:t>Bilanciamento del carico Layer 4/7, multi-AZ</w:t>
            </w:r>
          </w:p>
        </w:tc>
      </w:tr>
      <w:tr>
        <w:tc>
          <w:tcPr>
            <w:tcW w:type="dxa" w:w="3118"/>
          </w:tcPr>
          <w:p>
            <w:r>
              <w:rPr>
                <w:sz w:val="20"/>
              </w:rPr>
              <w:t>Edge Services</w:t>
            </w:r>
          </w:p>
        </w:tc>
        <w:tc>
          <w:tcPr>
            <w:tcW w:type="dxa" w:w="5953"/>
          </w:tcPr>
          <w:p>
            <w:r>
              <w:rPr>
                <w:sz w:val="20"/>
              </w:rPr>
              <w:t>CDN e sicurezza perimetrale edge</w:t>
            </w:r>
          </w:p>
        </w:tc>
      </w:tr>
      <w:tr>
        <w:tc>
          <w:tcPr>
            <w:tcW w:type="dxa" w:w="3118"/>
          </w:tcPr>
          <w:p>
            <w:r>
              <w:rPr>
                <w:sz w:val="20"/>
              </w:rPr>
              <w:t>Domains and DNS</w:t>
            </w:r>
          </w:p>
        </w:tc>
        <w:tc>
          <w:tcPr>
            <w:tcW w:type="dxa" w:w="5953"/>
          </w:tcPr>
          <w:p>
            <w:r>
              <w:rPr>
                <w:sz w:val="20"/>
              </w:rPr>
              <w:t>Gestione domini e DNS managed</w:t>
            </w:r>
          </w:p>
        </w:tc>
      </w:tr>
    </w:tbl>
    <w:p>
      <w:pPr>
        <w:spacing w:before="0" w:after="0"/>
      </w:pPr>
    </w:p>
    <w:p>
      <w:pPr>
        <w:pStyle w:val="Heading2"/>
      </w:pPr>
      <w:r>
        <w:t>2.6 Database e Data Managed</w:t>
      </w:r>
    </w:p>
    <w:tbl>
      <w:tblPr>
        <w:tblStyle w:val="TableGrid"/>
        <w:tblW w:type="auto" w:w="0"/>
        <w:tblLook w:firstColumn="1" w:firstRow="1" w:lastColumn="0" w:lastRow="0" w:noHBand="0" w:noVBand="1" w:val="04A0"/>
      </w:tblPr>
      <w:tblGrid>
        <w:gridCol w:w="4533"/>
        <w:gridCol w:w="4533"/>
      </w:tblGrid>
      <w:tr>
        <w:tc>
          <w:tcPr>
            <w:tcW w:type="dxa" w:w="3969"/>
            <w:shd w:val="clear" w:color="auto" w:fill="4472C4"/>
          </w:tcPr>
          <w:p>
            <w:pPr>
              <w:jc w:val="center"/>
            </w:pPr>
            <w:r>
              <w:rPr>
                <w:b/>
                <w:color w:val="FFFFFF"/>
              </w:rPr>
              <w:t>Prodotto</w:t>
            </w:r>
          </w:p>
        </w:tc>
        <w:tc>
          <w:tcPr>
            <w:tcW w:type="dxa" w:w="5102"/>
            <w:shd w:val="clear" w:color="auto" w:fill="4472C4"/>
          </w:tcPr>
          <w:p>
            <w:pPr>
              <w:jc w:val="center"/>
            </w:pPr>
            <w:r>
              <w:rPr>
                <w:b/>
                <w:color w:val="FFFFFF"/>
              </w:rPr>
              <w:t>Tecnologia</w:t>
            </w:r>
          </w:p>
        </w:tc>
      </w:tr>
      <w:tr>
        <w:tc>
          <w:tcPr>
            <w:tcW w:type="dxa" w:w="3969"/>
          </w:tcPr>
          <w:p>
            <w:r>
              <w:rPr>
                <w:sz w:val="20"/>
              </w:rPr>
              <w:t>Managed Database PostgreSQL &amp; MySQL</w:t>
            </w:r>
          </w:p>
        </w:tc>
        <w:tc>
          <w:tcPr>
            <w:tcW w:type="dxa" w:w="5102"/>
          </w:tcPr>
          <w:p>
            <w:r>
              <w:rPr>
                <w:sz w:val="20"/>
              </w:rPr>
              <w:t>Relazionale — backup automatici, HA, scaling</w:t>
            </w:r>
          </w:p>
        </w:tc>
      </w:tr>
      <w:tr>
        <w:tc>
          <w:tcPr>
            <w:tcW w:type="dxa" w:w="3969"/>
          </w:tcPr>
          <w:p>
            <w:r>
              <w:rPr>
                <w:sz w:val="20"/>
              </w:rPr>
              <w:t>Managed Database Redis</w:t>
            </w:r>
          </w:p>
        </w:tc>
        <w:tc>
          <w:tcPr>
            <w:tcW w:type="dxa" w:w="5102"/>
          </w:tcPr>
          <w:p>
            <w:r>
              <w:rPr>
                <w:sz w:val="20"/>
              </w:rPr>
              <w:t>In-memory — cache e sessioni</w:t>
            </w:r>
          </w:p>
        </w:tc>
      </w:tr>
      <w:tr>
        <w:tc>
          <w:tcPr>
            <w:tcW w:type="dxa" w:w="3969"/>
          </w:tcPr>
          <w:p>
            <w:r>
              <w:rPr>
                <w:sz w:val="20"/>
              </w:rPr>
              <w:t>Managed MongoDB</w:t>
            </w:r>
          </w:p>
        </w:tc>
        <w:tc>
          <w:tcPr>
            <w:tcW w:type="dxa" w:w="5102"/>
          </w:tcPr>
          <w:p>
            <w:r>
              <w:rPr>
                <w:sz w:val="20"/>
              </w:rPr>
              <w:t>NoSQL documentale</w:t>
            </w:r>
          </w:p>
        </w:tc>
      </w:tr>
      <w:tr>
        <w:tc>
          <w:tcPr>
            <w:tcW w:type="dxa" w:w="3969"/>
          </w:tcPr>
          <w:p>
            <w:r>
              <w:rPr>
                <w:sz w:val="20"/>
              </w:rPr>
              <w:t>Serverless SQL Database</w:t>
            </w:r>
          </w:p>
        </w:tc>
        <w:tc>
          <w:tcPr>
            <w:tcW w:type="dxa" w:w="5102"/>
          </w:tcPr>
          <w:p>
            <w:r>
              <w:rPr>
                <w:sz w:val="20"/>
              </w:rPr>
              <w:t>SQL senza server, pay-per-query</w:t>
            </w:r>
          </w:p>
        </w:tc>
      </w:tr>
      <w:tr>
        <w:tc>
          <w:tcPr>
            <w:tcW w:type="dxa" w:w="3969"/>
          </w:tcPr>
          <w:p>
            <w:r>
              <w:rPr>
                <w:sz w:val="20"/>
              </w:rPr>
              <w:t>Messaging and Queuing</w:t>
            </w:r>
          </w:p>
        </w:tc>
        <w:tc>
          <w:tcPr>
            <w:tcW w:type="dxa" w:w="5102"/>
          </w:tcPr>
          <w:p>
            <w:r>
              <w:rPr>
                <w:sz w:val="20"/>
              </w:rPr>
              <w:t>NATS/SQS-compatible — code messaggi async</w:t>
            </w:r>
          </w:p>
        </w:tc>
      </w:tr>
      <w:tr>
        <w:tc>
          <w:tcPr>
            <w:tcW w:type="dxa" w:w="3969"/>
          </w:tcPr>
          <w:p>
            <w:r>
              <w:rPr>
                <w:sz w:val="20"/>
              </w:rPr>
              <w:t>Clusters for Apache Kafka</w:t>
            </w:r>
          </w:p>
        </w:tc>
        <w:tc>
          <w:tcPr>
            <w:tcW w:type="dxa" w:w="5102"/>
          </w:tcPr>
          <w:p>
            <w:r>
              <w:rPr>
                <w:sz w:val="20"/>
              </w:rPr>
              <w:t>Streaming dati in tempo reale</w:t>
            </w:r>
          </w:p>
        </w:tc>
      </w:tr>
      <w:tr>
        <w:tc>
          <w:tcPr>
            <w:tcW w:type="dxa" w:w="3969"/>
          </w:tcPr>
          <w:p>
            <w:r>
              <w:rPr>
                <w:sz w:val="20"/>
              </w:rPr>
              <w:t>Data Lab for Apache Spark</w:t>
            </w:r>
          </w:p>
        </w:tc>
        <w:tc>
          <w:tcPr>
            <w:tcW w:type="dxa" w:w="5102"/>
          </w:tcPr>
          <w:p>
            <w:r>
              <w:rPr>
                <w:sz w:val="20"/>
              </w:rPr>
              <w:t>Analisi dati distribuita managed</w:t>
            </w:r>
          </w:p>
        </w:tc>
      </w:tr>
    </w:tbl>
    <w:p>
      <w:pPr>
        <w:spacing w:before="0" w:after="0"/>
      </w:pPr>
    </w:p>
    <w:p>
      <w:pPr>
        <w:pStyle w:val="Heading2"/>
      </w:pPr>
      <w:r>
        <w:t>2.7 Sicurezza e Identity</w:t>
      </w:r>
    </w:p>
    <w:p>
      <w:pPr>
        <w:pStyle w:val="ListBullet"/>
      </w:pPr>
      <w:r>
        <w:t>Secret Manager: archiviazione sicura di password, chiavi API e certificati</w:t>
      </w:r>
    </w:p>
    <w:p>
      <w:pPr>
        <w:pStyle w:val="ListBullet"/>
      </w:pPr>
      <w:r>
        <w:t>Key Manager: gestione chiavi crittografiche (KMS)</w:t>
      </w:r>
    </w:p>
    <w:p>
      <w:pPr>
        <w:pStyle w:val="ListBullet"/>
      </w:pPr>
      <w:r>
        <w:t>IAM: Identity and Access Management granulare</w:t>
      </w:r>
    </w:p>
    <w:p>
      <w:r>
        <w:br w:type="page"/>
      </w:r>
    </w:p>
    <w:p>
      <w:pPr>
        <w:pStyle w:val="Heading1"/>
      </w:pPr>
      <w:r>
        <w:rPr>
          <w:color w:val="1F497D"/>
        </w:rPr>
        <w:t>3. Certificazioni e Compliance</w:t>
      </w:r>
    </w:p>
    <w:p>
      <w:pPr/>
      <w:r>
        <w:t>Scaleway ha investito significativamente nel conseguimento di certificazioni che abilitano l'uso enterprise e, progressivamente, quello nella Pubblica Amministrazione.</w:t>
      </w:r>
    </w:p>
    <w:p>
      <w:pPr>
        <w:spacing w:before="0" w:after="0"/>
      </w:pPr>
    </w:p>
    <w:tbl>
      <w:tblPr>
        <w:tblStyle w:val="TableGrid"/>
        <w:tblW w:type="auto" w:w="0"/>
        <w:tblLook w:firstColumn="1" w:firstRow="1" w:lastColumn="0" w:lastRow="0" w:noHBand="0" w:noVBand="1" w:val="04A0"/>
      </w:tblPr>
      <w:tblGrid>
        <w:gridCol w:w="3022"/>
        <w:gridCol w:w="3022"/>
        <w:gridCol w:w="3022"/>
      </w:tblGrid>
      <w:tr>
        <w:tc>
          <w:tcPr>
            <w:tcW w:type="dxa" w:w="3118"/>
            <w:shd w:val="clear" w:color="auto" w:fill="4472C4"/>
          </w:tcPr>
          <w:p>
            <w:pPr>
              <w:jc w:val="center"/>
            </w:pPr>
            <w:r>
              <w:rPr>
                <w:b/>
                <w:color w:val="FFFFFF"/>
              </w:rPr>
              <w:t>Certificazione</w:t>
            </w:r>
          </w:p>
        </w:tc>
        <w:tc>
          <w:tcPr>
            <w:tcW w:type="dxa" w:w="2551"/>
            <w:shd w:val="clear" w:color="auto" w:fill="4472C4"/>
          </w:tcPr>
          <w:p>
            <w:pPr>
              <w:jc w:val="center"/>
            </w:pPr>
            <w:r>
              <w:rPr>
                <w:b/>
                <w:color w:val="FFFFFF"/>
              </w:rPr>
              <w:t>Stato</w:t>
            </w:r>
          </w:p>
        </w:tc>
        <w:tc>
          <w:tcPr>
            <w:tcW w:type="dxa" w:w="3402"/>
            <w:shd w:val="clear" w:color="auto" w:fill="4472C4"/>
          </w:tcPr>
          <w:p>
            <w:pPr>
              <w:jc w:val="center"/>
            </w:pPr>
            <w:r>
              <w:rPr>
                <w:b/>
                <w:color w:val="FFFFFF"/>
              </w:rPr>
              <w:t>Rilevanza</w:t>
            </w:r>
          </w:p>
        </w:tc>
      </w:tr>
      <w:tr>
        <w:tc>
          <w:tcPr>
            <w:tcW w:type="dxa" w:w="3118"/>
          </w:tcPr>
          <w:p>
            <w:r>
              <w:rPr>
                <w:sz w:val="20"/>
              </w:rPr>
              <w:t>ISO 27001</w:t>
            </w:r>
          </w:p>
        </w:tc>
        <w:tc>
          <w:tcPr>
            <w:tcW w:type="dxa" w:w="2551"/>
          </w:tcPr>
          <w:p>
            <w:r>
              <w:rPr>
                <w:sz w:val="20"/>
              </w:rPr>
              <w:t>Ottenuta</w:t>
            </w:r>
          </w:p>
        </w:tc>
        <w:tc>
          <w:tcPr>
            <w:tcW w:type="dxa" w:w="3402"/>
          </w:tcPr>
          <w:p>
            <w:r>
              <w:rPr>
                <w:sz w:val="20"/>
              </w:rPr>
              <w:t>Sicurezza delle informazioni — requisito base enterprise</w:t>
            </w:r>
          </w:p>
        </w:tc>
      </w:tr>
      <w:tr>
        <w:tc>
          <w:tcPr>
            <w:tcW w:type="dxa" w:w="3118"/>
          </w:tcPr>
          <w:p>
            <w:r>
              <w:rPr>
                <w:sz w:val="20"/>
              </w:rPr>
              <w:t>HDS (Hebergement Donnees Sante)</w:t>
            </w:r>
          </w:p>
        </w:tc>
        <w:tc>
          <w:tcPr>
            <w:tcW w:type="dxa" w:w="2551"/>
          </w:tcPr>
          <w:p>
            <w:r>
              <w:rPr>
                <w:sz w:val="20"/>
              </w:rPr>
              <w:t>Ottenuta</w:t>
            </w:r>
          </w:p>
        </w:tc>
        <w:tc>
          <w:tcPr>
            <w:tcW w:type="dxa" w:w="3402"/>
          </w:tcPr>
          <w:p>
            <w:r>
              <w:rPr>
                <w:sz w:val="20"/>
              </w:rPr>
              <w:t>Hosting dati sanitari — abilitante per healthcare in Francia</w:t>
            </w:r>
          </w:p>
        </w:tc>
      </w:tr>
      <w:tr>
        <w:tc>
          <w:tcPr>
            <w:tcW w:type="dxa" w:w="3118"/>
          </w:tcPr>
          <w:p>
            <w:r>
              <w:rPr>
                <w:sz w:val="20"/>
              </w:rPr>
              <w:t>GDPR Compliance</w:t>
            </w:r>
          </w:p>
        </w:tc>
        <w:tc>
          <w:tcPr>
            <w:tcW w:type="dxa" w:w="2551"/>
          </w:tcPr>
          <w:p>
            <w:r>
              <w:rPr>
                <w:sz w:val="20"/>
              </w:rPr>
              <w:t>Nativa</w:t>
            </w:r>
          </w:p>
        </w:tc>
        <w:tc>
          <w:tcPr>
            <w:tcW w:type="dxa" w:w="3402"/>
          </w:tcPr>
          <w:p>
            <w:r>
              <w:rPr>
                <w:sz w:val="20"/>
              </w:rPr>
              <w:t>Dati restano in Europa, protetti da CLOUD Act USA</w:t>
            </w:r>
          </w:p>
        </w:tc>
      </w:tr>
      <w:tr>
        <w:tc>
          <w:tcPr>
            <w:tcW w:type="dxa" w:w="3118"/>
          </w:tcPr>
          <w:p>
            <w:r>
              <w:rPr>
                <w:sz w:val="20"/>
              </w:rPr>
              <w:t>SecNumCloud (ANSSI France)</w:t>
            </w:r>
          </w:p>
        </w:tc>
        <w:tc>
          <w:tcPr>
            <w:tcW w:type="dxa" w:w="2551"/>
          </w:tcPr>
          <w:p>
            <w:r>
              <w:rPr>
                <w:sz w:val="20"/>
              </w:rPr>
              <w:t>In corso — target fine 2025/2026</w:t>
            </w:r>
          </w:p>
        </w:tc>
        <w:tc>
          <w:tcPr>
            <w:tcW w:type="dxa" w:w="3402"/>
          </w:tcPr>
          <w:p>
            <w:r>
              <w:rPr>
                <w:sz w:val="20"/>
              </w:rPr>
              <w:t>Massimo livello di sicurezza cloud per PA francese</w:t>
            </w:r>
          </w:p>
        </w:tc>
      </w:tr>
      <w:tr>
        <w:tc>
          <w:tcPr>
            <w:tcW w:type="dxa" w:w="3118"/>
          </w:tcPr>
          <w:p>
            <w:r>
              <w:rPr>
                <w:sz w:val="20"/>
              </w:rPr>
              <w:t>ACN Livello 1 (Italia)</w:t>
            </w:r>
          </w:p>
        </w:tc>
        <w:tc>
          <w:tcPr>
            <w:tcW w:type="dxa" w:w="2551"/>
          </w:tcPr>
          <w:p>
            <w:r>
              <w:rPr>
                <w:sz w:val="20"/>
              </w:rPr>
              <w:t>Annunciata — in acquisizione</w:t>
            </w:r>
          </w:p>
        </w:tc>
        <w:tc>
          <w:tcPr>
            <w:tcW w:type="dxa" w:w="3402"/>
          </w:tcPr>
          <w:p>
            <w:r>
              <w:rPr>
                <w:sz w:val="20"/>
              </w:rPr>
              <w:t>Requisito per progetti PA italiana</w:t>
            </w:r>
          </w:p>
        </w:tc>
      </w:tr>
    </w:tbl>
    <w:p>
      <w:pPr>
        <w:spacing w:before="0" w:after="0"/>
      </w:pPr>
    </w:p>
    <w:p>
      <w:pPr>
        <w:pStyle w:val="Heading2"/>
      </w:pPr>
      <w:r>
        <w:t>Sovranita' europea</w:t>
      </w:r>
    </w:p>
    <w:p>
      <w:pPr/>
      <w:r>
        <w:t>Scaleway opera interamente sotto giurisdizione UE, il che la rende immune dall'applicazione extraterritoriale del CLOUD Act statunitense. Questo e' un differenziatore chiave rispetto ad AWS, Azure e Google Cloud, che — anche quando i dati sono fisicamente in Europa — rimangono soggetti a richieste di accesso da parte delle autorita' USA.</w:t>
      </w:r>
    </w:p>
    <w:p>
      <w:pPr>
        <w:pStyle w:val="ListBullet"/>
      </w:pPr>
      <w:r>
        <w:t>100% del personale, inclusa la R&amp;D, ha sede in Europa</w:t>
      </w:r>
    </w:p>
    <w:p>
      <w:pPr>
        <w:pStyle w:val="ListBullet"/>
      </w:pPr>
      <w:r>
        <w:t>90% dei vendor di infrastruttura e' europeo</w:t>
      </w:r>
    </w:p>
    <w:p>
      <w:pPr>
        <w:pStyle w:val="ListBullet"/>
      </w:pPr>
      <w:r>
        <w:t>Nessuna societa' controllante non-europea</w:t>
      </w:r>
    </w:p>
    <w:p>
      <w:pPr>
        <w:pStyle w:val="ListBullet"/>
      </w:pPr>
      <w:r>
        <w:t>Aderente ai principi GAIA-X (iniziativa franco-tedesca per il cloud sovrano europeo)</w:t>
      </w:r>
    </w:p>
    <w:p>
      <w:r>
        <w:br w:type="page"/>
      </w:r>
    </w:p>
    <w:p>
      <w:pPr>
        <w:pStyle w:val="Heading1"/>
      </w:pPr>
      <w:r>
        <w:rPr>
          <w:color w:val="1F497D"/>
        </w:rPr>
        <w:t>4. Confronto Scaleway vs Fastweb per il B2B italiano</w:t>
      </w:r>
    </w:p>
    <w:p>
      <w:pPr/>
      <w:r>
        <w:t>Il confronto e' asimmetrico per timing: Fastweb (ora Fastweb+Vodafone dopo la fusione 2026) ha anni di vantaggio istituzionale, mentre Scaleway entra con un'offerta tecnica piu moderna e prezzi piu aggressivi.</w:t>
      </w:r>
    </w:p>
    <w:p>
      <w:pPr>
        <w:spacing w:before="0" w:after="0"/>
      </w:pPr>
    </w:p>
    <w:p>
      <w:pPr>
        <w:pStyle w:val="Heading2"/>
      </w:pPr>
      <w:r>
        <w:t>4.1 Identita' e posizionamento</w:t>
      </w:r>
    </w:p>
    <w:tbl>
      <w:tblPr>
        <w:tblStyle w:val="TableGrid"/>
        <w:tblW w:type="auto" w:w="0"/>
        <w:tblLook w:firstColumn="1" w:firstRow="1" w:lastColumn="0" w:lastRow="0" w:noHBand="0" w:noVBand="1" w:val="04A0"/>
      </w:tblPr>
      <w:tblGrid>
        <w:gridCol w:w="3022"/>
        <w:gridCol w:w="3022"/>
        <w:gridCol w:w="3022"/>
      </w:tblGrid>
      <w:tr>
        <w:tc>
          <w:tcPr>
            <w:tcW w:type="dxa" w:w="2268"/>
            <w:shd w:val="clear" w:color="auto" w:fill="4472C4"/>
          </w:tcPr>
          <w:p>
            <w:pPr>
              <w:jc w:val="center"/>
            </w:pPr>
            <w:r>
              <w:rPr>
                <w:b/>
                <w:color w:val="FFFFFF"/>
              </w:rPr>
              <w:t>Aspetto</w:t>
            </w:r>
          </w:p>
        </w:tc>
        <w:tc>
          <w:tcPr>
            <w:tcW w:type="dxa" w:w="3402"/>
            <w:shd w:val="clear" w:color="auto" w:fill="4472C4"/>
          </w:tcPr>
          <w:p>
            <w:pPr>
              <w:jc w:val="center"/>
            </w:pPr>
            <w:r>
              <w:rPr>
                <w:b/>
                <w:color w:val="FFFFFF"/>
              </w:rPr>
              <w:t>Scaleway</w:t>
            </w:r>
          </w:p>
        </w:tc>
        <w:tc>
          <w:tcPr>
            <w:tcW w:type="dxa" w:w="3402"/>
            <w:shd w:val="clear" w:color="auto" w:fill="4472C4"/>
          </w:tcPr>
          <w:p>
            <w:pPr>
              <w:jc w:val="center"/>
            </w:pPr>
            <w:r>
              <w:rPr>
                <w:b/>
                <w:color w:val="FFFFFF"/>
              </w:rPr>
              <w:t>Fastweb (+Vodafone)</w:t>
            </w:r>
          </w:p>
        </w:tc>
      </w:tr>
      <w:tr>
        <w:tc>
          <w:tcPr>
            <w:tcW w:type="dxa" w:w="2268"/>
          </w:tcPr>
          <w:p>
            <w:r>
              <w:rPr>
                <w:sz w:val="20"/>
              </w:rPr>
              <w:t>Gruppo</w:t>
            </w:r>
          </w:p>
        </w:tc>
        <w:tc>
          <w:tcPr>
            <w:tcW w:type="dxa" w:w="3402"/>
          </w:tcPr>
          <w:p>
            <w:r>
              <w:rPr>
                <w:sz w:val="20"/>
              </w:rPr>
              <w:t>iliad (Francia)</w:t>
            </w:r>
          </w:p>
        </w:tc>
        <w:tc>
          <w:tcPr>
            <w:tcW w:type="dxa" w:w="3402"/>
          </w:tcPr>
          <w:p>
            <w:r>
              <w:rPr>
                <w:sz w:val="20"/>
              </w:rPr>
              <w:t>Swisscom + Vodafone Italia — fusione 2026</w:t>
            </w:r>
          </w:p>
        </w:tc>
      </w:tr>
      <w:tr>
        <w:tc>
          <w:tcPr>
            <w:tcW w:type="dxa" w:w="2268"/>
          </w:tcPr>
          <w:p>
            <w:r>
              <w:rPr>
                <w:sz w:val="20"/>
              </w:rPr>
              <w:t>Natura</w:t>
            </w:r>
          </w:p>
        </w:tc>
        <w:tc>
          <w:tcPr>
            <w:tcW w:type="dxa" w:w="3402"/>
          </w:tcPr>
          <w:p>
            <w:r>
              <w:rPr>
                <w:sz w:val="20"/>
              </w:rPr>
              <w:t>Pure cloud player europeo</w:t>
            </w:r>
          </w:p>
        </w:tc>
        <w:tc>
          <w:tcPr>
            <w:tcW w:type="dxa" w:w="3402"/>
          </w:tcPr>
          <w:p>
            <w:r>
              <w:rPr>
                <w:sz w:val="20"/>
              </w:rPr>
              <w:t>Telco full-stack + cloud</w:t>
            </w:r>
          </w:p>
        </w:tc>
      </w:tr>
      <w:tr>
        <w:tc>
          <w:tcPr>
            <w:tcW w:type="dxa" w:w="2268"/>
          </w:tcPr>
          <w:p>
            <w:r>
              <w:rPr>
                <w:sz w:val="20"/>
              </w:rPr>
              <w:t>Presenza in Italia</w:t>
            </w:r>
          </w:p>
        </w:tc>
        <w:tc>
          <w:tcPr>
            <w:tcW w:type="dxa" w:w="3402"/>
          </w:tcPr>
          <w:p>
            <w:r>
              <w:rPr>
                <w:sz w:val="20"/>
              </w:rPr>
              <w:t>Dal 19/03/2026 — region Milano</w:t>
            </w:r>
          </w:p>
        </w:tc>
        <w:tc>
          <w:tcPr>
            <w:tcW w:type="dxa" w:w="3402"/>
          </w:tcPr>
          <w:p>
            <w:r>
              <w:rPr>
                <w:sz w:val="20"/>
              </w:rPr>
              <w:t>Da anni — DC Milano, Roma, Bergamo</w:t>
            </w:r>
          </w:p>
        </w:tc>
      </w:tr>
      <w:tr>
        <w:tc>
          <w:tcPr>
            <w:tcW w:type="dxa" w:w="2268"/>
          </w:tcPr>
          <w:p>
            <w:r>
              <w:rPr>
                <w:sz w:val="20"/>
              </w:rPr>
              <w:t>Modello</w:t>
            </w:r>
          </w:p>
        </w:tc>
        <w:tc>
          <w:tcPr>
            <w:tcW w:type="dxa" w:w="3402"/>
          </w:tcPr>
          <w:p>
            <w:r>
              <w:rPr>
                <w:sz w:val="20"/>
              </w:rPr>
              <w:t>Self-service, hyperscaler europeo</w:t>
            </w:r>
          </w:p>
        </w:tc>
        <w:tc>
          <w:tcPr>
            <w:tcW w:type="dxa" w:w="3402"/>
          </w:tcPr>
          <w:p>
            <w:r>
              <w:rPr>
                <w:sz w:val="20"/>
              </w:rPr>
              <w:t>Managed services + vendor integrations</w:t>
            </w:r>
          </w:p>
        </w:tc>
      </w:tr>
      <w:tr>
        <w:tc>
          <w:tcPr>
            <w:tcW w:type="dxa" w:w="2268"/>
          </w:tcPr>
          <w:p>
            <w:r>
              <w:rPr>
                <w:sz w:val="20"/>
              </w:rPr>
              <w:t>Target</w:t>
            </w:r>
          </w:p>
        </w:tc>
        <w:tc>
          <w:tcPr>
            <w:tcW w:type="dxa" w:w="3402"/>
          </w:tcPr>
          <w:p>
            <w:r>
              <w:rPr>
                <w:sz w:val="20"/>
              </w:rPr>
              <w:t>Startup &gt; Enterprise</w:t>
            </w:r>
          </w:p>
        </w:tc>
        <w:tc>
          <w:tcPr>
            <w:tcW w:type="dxa" w:w="3402"/>
          </w:tcPr>
          <w:p>
            <w:r>
              <w:rPr>
                <w:sz w:val="20"/>
              </w:rPr>
              <w:t>PMI &gt; Enterprise &gt; PA</w:t>
            </w:r>
          </w:p>
        </w:tc>
      </w:tr>
    </w:tbl>
    <w:p>
      <w:pPr>
        <w:spacing w:before="0" w:after="0"/>
      </w:pPr>
    </w:p>
    <w:p>
      <w:pPr>
        <w:pStyle w:val="Heading2"/>
      </w:pPr>
      <w:r>
        <w:t>4.2 Offerta tecnica</w:t>
      </w:r>
    </w:p>
    <w:tbl>
      <w:tblPr>
        <w:tblStyle w:val="TableGrid"/>
        <w:tblW w:type="auto" w:w="0"/>
        <w:tblLook w:firstColumn="1" w:firstRow="1" w:lastColumn="0" w:lastRow="0" w:noHBand="0" w:noVBand="1" w:val="04A0"/>
      </w:tblPr>
      <w:tblGrid>
        <w:gridCol w:w="3022"/>
        <w:gridCol w:w="3022"/>
        <w:gridCol w:w="3022"/>
      </w:tblGrid>
      <w:tr>
        <w:tc>
          <w:tcPr>
            <w:tcW w:type="dxa" w:w="1984"/>
            <w:shd w:val="clear" w:color="auto" w:fill="4472C4"/>
          </w:tcPr>
          <w:p>
            <w:pPr>
              <w:jc w:val="center"/>
            </w:pPr>
            <w:r>
              <w:rPr>
                <w:b/>
                <w:color w:val="FFFFFF"/>
              </w:rPr>
              <w:t>Area</w:t>
            </w:r>
          </w:p>
        </w:tc>
        <w:tc>
          <w:tcPr>
            <w:tcW w:type="dxa" w:w="3685"/>
            <w:shd w:val="clear" w:color="auto" w:fill="4472C4"/>
          </w:tcPr>
          <w:p>
            <w:pPr>
              <w:jc w:val="center"/>
            </w:pPr>
            <w:r>
              <w:rPr>
                <w:b/>
                <w:color w:val="FFFFFF"/>
              </w:rPr>
              <w:t>Scaleway</w:t>
            </w:r>
          </w:p>
        </w:tc>
        <w:tc>
          <w:tcPr>
            <w:tcW w:type="dxa" w:w="3402"/>
            <w:shd w:val="clear" w:color="auto" w:fill="4472C4"/>
          </w:tcPr>
          <w:p>
            <w:pPr>
              <w:jc w:val="center"/>
            </w:pPr>
            <w:r>
              <w:rPr>
                <w:b/>
                <w:color w:val="FFFFFF"/>
              </w:rPr>
              <w:t>Fastweb</w:t>
            </w:r>
          </w:p>
        </w:tc>
      </w:tr>
      <w:tr>
        <w:tc>
          <w:tcPr>
            <w:tcW w:type="dxa" w:w="1984"/>
          </w:tcPr>
          <w:p>
            <w:r>
              <w:rPr>
                <w:sz w:val="20"/>
              </w:rPr>
              <w:t>IaaS</w:t>
            </w:r>
          </w:p>
        </w:tc>
        <w:tc>
          <w:tcPr>
            <w:tcW w:type="dxa" w:w="3685"/>
          </w:tcPr>
          <w:p>
            <w:r>
              <w:rPr>
                <w:sz w:val="20"/>
              </w:rPr>
              <w:t>Virtual Instances, Bare Metal, Elastic Metal</w:t>
            </w:r>
          </w:p>
        </w:tc>
        <w:tc>
          <w:tcPr>
            <w:tcW w:type="dxa" w:w="3402"/>
          </w:tcPr>
          <w:p>
            <w:r>
              <w:rPr>
                <w:sz w:val="20"/>
              </w:rPr>
              <w:t>FastCloud vPDC (Virtual Private DC)</w:t>
            </w:r>
          </w:p>
        </w:tc>
      </w:tr>
      <w:tr>
        <w:tc>
          <w:tcPr>
            <w:tcW w:type="dxa" w:w="1984"/>
          </w:tcPr>
          <w:p>
            <w:r>
              <w:rPr>
                <w:sz w:val="20"/>
              </w:rPr>
              <w:t>PaaS Container</w:t>
            </w:r>
          </w:p>
        </w:tc>
        <w:tc>
          <w:tcPr>
            <w:tcW w:type="dxa" w:w="3685"/>
          </w:tcPr>
          <w:p>
            <w:r>
              <w:rPr>
                <w:sz w:val="20"/>
              </w:rPr>
              <w:t>Kubernetes Kapsule/Kosmos, Serverless</w:t>
            </w:r>
          </w:p>
        </w:tc>
        <w:tc>
          <w:tcPr>
            <w:tcW w:type="dxa" w:w="3402"/>
          </w:tcPr>
          <w:p>
            <w:r>
              <w:rPr>
                <w:sz w:val="20"/>
              </w:rPr>
              <w:t>FastCloud Container (K8s-based)</w:t>
            </w:r>
          </w:p>
        </w:tc>
      </w:tr>
      <w:tr>
        <w:tc>
          <w:tcPr>
            <w:tcW w:type="dxa" w:w="1984"/>
          </w:tcPr>
          <w:p>
            <w:r>
              <w:rPr>
                <w:sz w:val="20"/>
              </w:rPr>
              <w:t>Storage</w:t>
            </w:r>
          </w:p>
        </w:tc>
        <w:tc>
          <w:tcPr>
            <w:tcW w:type="dxa" w:w="3685"/>
          </w:tcPr>
          <w:p>
            <w:r>
              <w:rPr>
                <w:sz w:val="20"/>
              </w:rPr>
              <w:t>Object (S3), Block, Glacier</w:t>
            </w:r>
          </w:p>
        </w:tc>
        <w:tc>
          <w:tcPr>
            <w:tcW w:type="dxa" w:w="3402"/>
          </w:tcPr>
          <w:p>
            <w:r>
              <w:rPr>
                <w:sz w:val="20"/>
              </w:rPr>
              <w:t>FastCloud Business Storage (S3/Swift)</w:t>
            </w:r>
          </w:p>
        </w:tc>
      </w:tr>
      <w:tr>
        <w:tc>
          <w:tcPr>
            <w:tcW w:type="dxa" w:w="1984"/>
          </w:tcPr>
          <w:p>
            <w:r>
              <w:rPr>
                <w:sz w:val="20"/>
              </w:rPr>
              <w:t>Database</w:t>
            </w:r>
          </w:p>
        </w:tc>
        <w:tc>
          <w:tcPr>
            <w:tcW w:type="dxa" w:w="3685"/>
          </w:tcPr>
          <w:p>
            <w:r>
              <w:rPr>
                <w:sz w:val="20"/>
              </w:rPr>
              <w:t>PostgreSQL, MySQL, Redis, MongoDB, Kafka, Spark</w:t>
            </w:r>
          </w:p>
        </w:tc>
        <w:tc>
          <w:tcPr>
            <w:tcW w:type="dxa" w:w="3402"/>
          </w:tcPr>
          <w:p>
            <w:r>
              <w:rPr>
                <w:sz w:val="20"/>
              </w:rPr>
              <w:t>Limitato — principalmente tramite AWS</w:t>
            </w:r>
          </w:p>
        </w:tc>
      </w:tr>
      <w:tr>
        <w:tc>
          <w:tcPr>
            <w:tcW w:type="dxa" w:w="1984"/>
          </w:tcPr>
          <w:p>
            <w:r>
              <w:rPr>
                <w:sz w:val="20"/>
              </w:rPr>
              <w:t>GPU / AI</w:t>
            </w:r>
          </w:p>
        </w:tc>
        <w:tc>
          <w:tcPr>
            <w:tcW w:type="dxa" w:w="3685"/>
          </w:tcPr>
          <w:p>
            <w:r>
              <w:rPr>
                <w:sz w:val="20"/>
              </w:rPr>
              <w:t>L4, L40S, H100 — piu grande AI europeo</w:t>
            </w:r>
          </w:p>
        </w:tc>
        <w:tc>
          <w:tcPr>
            <w:tcW w:type="dxa" w:w="3402"/>
          </w:tcPr>
          <w:p>
            <w:r>
              <w:rPr>
                <w:sz w:val="20"/>
              </w:rPr>
              <w:t>Nessuna offerta GPU diretta</w:t>
            </w:r>
          </w:p>
        </w:tc>
      </w:tr>
      <w:tr>
        <w:tc>
          <w:tcPr>
            <w:tcW w:type="dxa" w:w="1984"/>
          </w:tcPr>
          <w:p>
            <w:r>
              <w:rPr>
                <w:sz w:val="20"/>
              </w:rPr>
              <w:t>Public Cloud</w:t>
            </w:r>
          </w:p>
        </w:tc>
        <w:tc>
          <w:tcPr>
            <w:tcW w:type="dxa" w:w="3685"/>
          </w:tcPr>
          <w:p>
            <w:r>
              <w:rPr>
                <w:sz w:val="20"/>
              </w:rPr>
              <w:t>Piattaforma propria</w:t>
            </w:r>
          </w:p>
        </w:tc>
        <w:tc>
          <w:tcPr>
            <w:tcW w:type="dxa" w:w="3402"/>
          </w:tcPr>
          <w:p>
            <w:r>
              <w:rPr>
                <w:sz w:val="20"/>
              </w:rPr>
              <w:t>Via partnership AWS (reseller/integrator)</w:t>
            </w:r>
          </w:p>
        </w:tc>
      </w:tr>
      <w:tr>
        <w:tc>
          <w:tcPr>
            <w:tcW w:type="dxa" w:w="1984"/>
          </w:tcPr>
          <w:p>
            <w:r>
              <w:rPr>
                <w:sz w:val="20"/>
              </w:rPr>
              <w:t>5G / Mobile</w:t>
            </w:r>
          </w:p>
        </w:tc>
        <w:tc>
          <w:tcPr>
            <w:tcW w:type="dxa" w:w="3685"/>
          </w:tcPr>
          <w:p>
            <w:r>
              <w:rPr>
                <w:sz w:val="20"/>
              </w:rPr>
              <w:t>Non presente</w:t>
            </w:r>
          </w:p>
        </w:tc>
        <w:tc>
          <w:tcPr>
            <w:tcW w:type="dxa" w:w="3402"/>
          </w:tcPr>
          <w:p>
            <w:r>
              <w:rPr>
                <w:sz w:val="20"/>
              </w:rPr>
              <w:t>Integrazione nativa post-fusione Vodafone</w:t>
            </w:r>
          </w:p>
        </w:tc>
      </w:tr>
      <w:tr>
        <w:tc>
          <w:tcPr>
            <w:tcW w:type="dxa" w:w="1984"/>
          </w:tcPr>
          <w:p>
            <w:r>
              <w:rPr>
                <w:sz w:val="20"/>
              </w:rPr>
              <w:t>Security</w:t>
            </w:r>
          </w:p>
        </w:tc>
        <w:tc>
          <w:tcPr>
            <w:tcW w:type="dxa" w:w="3685"/>
          </w:tcPr>
          <w:p>
            <w:r>
              <w:rPr>
                <w:sz w:val="20"/>
              </w:rPr>
              <w:t>Secret Manager, Key Manager, IAM</w:t>
            </w:r>
          </w:p>
        </w:tc>
        <w:tc>
          <w:tcPr>
            <w:tcW w:type="dxa" w:w="3402"/>
          </w:tcPr>
          <w:p>
            <w:r>
              <w:rPr>
                <w:sz w:val="20"/>
              </w:rPr>
              <w:t>SOC, EDR, SIEM, Zero Trust — portafoglio proprio</w:t>
            </w:r>
          </w:p>
        </w:tc>
      </w:tr>
    </w:tbl>
    <w:p>
      <w:pPr>
        <w:spacing w:before="0" w:after="0"/>
      </w:pPr>
    </w:p>
    <w:p>
      <w:pPr>
        <w:pStyle w:val="Heading2"/>
      </w:pPr>
      <w:r>
        <w:t>4.3 Accesso alla Pubblica Amministrazione</w:t>
      </w:r>
    </w:p>
    <w:tbl>
      <w:tblPr>
        <w:tblStyle w:val="TableGrid"/>
        <w:tblW w:type="auto" w:w="0"/>
        <w:tblLook w:firstColumn="1" w:firstRow="1" w:lastColumn="0" w:lastRow="0" w:noHBand="0" w:noVBand="1" w:val="04A0"/>
      </w:tblPr>
      <w:tblGrid>
        <w:gridCol w:w="3022"/>
        <w:gridCol w:w="3022"/>
        <w:gridCol w:w="3022"/>
      </w:tblGrid>
      <w:tr>
        <w:tc>
          <w:tcPr>
            <w:tcW w:type="dxa" w:w="2835"/>
            <w:shd w:val="clear" w:color="auto" w:fill="4472C4"/>
          </w:tcPr>
          <w:p>
            <w:pPr>
              <w:jc w:val="center"/>
            </w:pPr>
            <w:r>
              <w:rPr>
                <w:b/>
                <w:color w:val="FFFFFF"/>
              </w:rPr>
              <w:t>Criterio</w:t>
            </w:r>
          </w:p>
        </w:tc>
        <w:tc>
          <w:tcPr>
            <w:tcW w:type="dxa" w:w="3118"/>
            <w:shd w:val="clear" w:color="auto" w:fill="4472C4"/>
          </w:tcPr>
          <w:p>
            <w:pPr>
              <w:jc w:val="center"/>
            </w:pPr>
            <w:r>
              <w:rPr>
                <w:b/>
                <w:color w:val="FFFFFF"/>
              </w:rPr>
              <w:t>Scaleway</w:t>
            </w:r>
          </w:p>
        </w:tc>
        <w:tc>
          <w:tcPr>
            <w:tcW w:type="dxa" w:w="3118"/>
            <w:shd w:val="clear" w:color="auto" w:fill="4472C4"/>
          </w:tcPr>
          <w:p>
            <w:pPr>
              <w:jc w:val="center"/>
            </w:pPr>
            <w:r>
              <w:rPr>
                <w:b/>
                <w:color w:val="FFFFFF"/>
              </w:rPr>
              <w:t>Fastweb</w:t>
            </w:r>
          </w:p>
        </w:tc>
      </w:tr>
      <w:tr>
        <w:tc>
          <w:tcPr>
            <w:tcW w:type="dxa" w:w="2835"/>
          </w:tcPr>
          <w:p>
            <w:r>
              <w:rPr>
                <w:sz w:val="20"/>
              </w:rPr>
              <w:t>Qualifica ACN</w:t>
            </w:r>
          </w:p>
        </w:tc>
        <w:tc>
          <w:tcPr>
            <w:tcW w:type="dxa" w:w="3118"/>
          </w:tcPr>
          <w:p>
            <w:r>
              <w:rPr>
                <w:sz w:val="20"/>
              </w:rPr>
              <w:t>In acquisizione (Livello 1)</w:t>
            </w:r>
          </w:p>
        </w:tc>
        <w:tc>
          <w:tcPr>
            <w:tcW w:type="dxa" w:w="3118"/>
          </w:tcPr>
          <w:p>
            <w:r>
              <w:rPr>
                <w:sz w:val="20"/>
              </w:rPr>
              <w:t>Presente — multipli prodotti qualificati</w:t>
            </w:r>
          </w:p>
        </w:tc>
      </w:tr>
      <w:tr>
        <w:tc>
          <w:tcPr>
            <w:tcW w:type="dxa" w:w="2835"/>
          </w:tcPr>
          <w:p>
            <w:r>
              <w:rPr>
                <w:sz w:val="20"/>
              </w:rPr>
              <w:t>Card ACN attive</w:t>
            </w:r>
          </w:p>
        </w:tc>
        <w:tc>
          <w:tcPr>
            <w:tcW w:type="dxa" w:w="3118"/>
          </w:tcPr>
          <w:p>
            <w:r>
              <w:rPr>
                <w:sz w:val="20"/>
              </w:rPr>
              <w:t>Nessuna</w:t>
            </w:r>
          </w:p>
        </w:tc>
        <w:tc>
          <w:tcPr>
            <w:tcW w:type="dxa" w:w="3118"/>
          </w:tcPr>
          <w:p>
            <w:r>
              <w:rPr>
                <w:sz w:val="20"/>
              </w:rPr>
              <w:t>IN-92 (Infrastruttura L2), IA-2271 (vPDC), IA-94 (Storage), PA-2273 (Container)</w:t>
            </w:r>
          </w:p>
        </w:tc>
      </w:tr>
      <w:tr>
        <w:tc>
          <w:tcPr>
            <w:tcW w:type="dxa" w:w="2835"/>
          </w:tcPr>
          <w:p>
            <w:r>
              <w:rPr>
                <w:sz w:val="20"/>
              </w:rPr>
              <w:t>Framework Consip/MEPA</w:t>
            </w:r>
          </w:p>
        </w:tc>
        <w:tc>
          <w:tcPr>
            <w:tcW w:type="dxa" w:w="3118"/>
          </w:tcPr>
          <w:p>
            <w:r>
              <w:rPr>
                <w:sz w:val="20"/>
              </w:rPr>
              <w:t>Non applicabile oggi</w:t>
            </w:r>
          </w:p>
        </w:tc>
        <w:tc>
          <w:tcPr>
            <w:tcW w:type="dxa" w:w="3118"/>
          </w:tcPr>
          <w:p>
            <w:r>
              <w:rPr>
                <w:sz w:val="20"/>
              </w:rPr>
              <w:t>Attivo su piu convenzioni</w:t>
            </w:r>
          </w:p>
        </w:tc>
      </w:tr>
      <w:tr>
        <w:tc>
          <w:tcPr>
            <w:tcW w:type="dxa" w:w="2835"/>
          </w:tcPr>
          <w:p>
            <w:r>
              <w:rPr>
                <w:sz w:val="20"/>
              </w:rPr>
              <w:t>SPC Cloud (AgID)</w:t>
            </w:r>
          </w:p>
        </w:tc>
        <w:tc>
          <w:tcPr>
            <w:tcW w:type="dxa" w:w="3118"/>
          </w:tcPr>
          <w:p>
            <w:r>
              <w:rPr>
                <w:sz w:val="20"/>
              </w:rPr>
              <w:t>Non applicabile oggi</w:t>
            </w:r>
          </w:p>
        </w:tc>
        <w:tc>
          <w:tcPr>
            <w:tcW w:type="dxa" w:w="3118"/>
          </w:tcPr>
          <w:p>
            <w:r>
              <w:rPr>
                <w:sz w:val="20"/>
              </w:rPr>
              <w:t>Framework attivo</w:t>
            </w:r>
          </w:p>
        </w:tc>
      </w:tr>
      <w:tr>
        <w:tc>
          <w:tcPr>
            <w:tcW w:type="dxa" w:w="2835"/>
          </w:tcPr>
          <w:p>
            <w:r>
              <w:rPr>
                <w:sz w:val="20"/>
              </w:rPr>
              <w:t>Accesso immediato PA</w:t>
            </w:r>
          </w:p>
        </w:tc>
        <w:tc>
          <w:tcPr>
            <w:tcW w:type="dxa" w:w="3118"/>
          </w:tcPr>
          <w:p>
            <w:r>
              <w:rPr>
                <w:sz w:val="20"/>
              </w:rPr>
              <w:t>NO</w:t>
            </w:r>
          </w:p>
        </w:tc>
        <w:tc>
          <w:tcPr>
            <w:tcW w:type="dxa" w:w="3118"/>
          </w:tcPr>
          <w:p>
            <w:r>
              <w:rPr>
                <w:sz w:val="20"/>
              </w:rPr>
              <w:t>SI</w:t>
            </w:r>
          </w:p>
        </w:tc>
      </w:tr>
      <w:tr>
        <w:tc>
          <w:tcPr>
            <w:tcW w:type="dxa" w:w="2835"/>
          </w:tcPr>
          <w:p>
            <w:r>
              <w:rPr>
                <w:sz w:val="20"/>
              </w:rPr>
              <w:t>Timeline prevista per PA</w:t>
            </w:r>
          </w:p>
        </w:tc>
        <w:tc>
          <w:tcPr>
            <w:tcW w:type="dxa" w:w="3118"/>
          </w:tcPr>
          <w:p>
            <w:r>
              <w:rPr>
                <w:sz w:val="20"/>
              </w:rPr>
              <w:t>6-12 mesi (post-ACN)</w:t>
            </w:r>
          </w:p>
        </w:tc>
        <w:tc>
          <w:tcPr>
            <w:tcW w:type="dxa" w:w="3118"/>
          </w:tcPr>
          <w:p>
            <w:r>
              <w:rPr>
                <w:sz w:val="20"/>
              </w:rPr>
              <w:t>Immediata</w:t>
            </w:r>
          </w:p>
        </w:tc>
      </w:tr>
    </w:tbl>
    <w:p>
      <w:pPr>
        <w:spacing w:before="0" w:after="0"/>
      </w:pPr>
    </w:p>
    <w:p>
      <w:pPr>
        <w:pStyle w:val="Heading2"/>
      </w:pPr>
      <w:r>
        <w:t>4.4 Pricing e modello commerciale</w:t>
      </w:r>
    </w:p>
    <w:tbl>
      <w:tblPr>
        <w:tblStyle w:val="TableGrid"/>
        <w:tblW w:type="auto" w:w="0"/>
        <w:tblLook w:firstColumn="1" w:firstRow="1" w:lastColumn="0" w:lastRow="0" w:noHBand="0" w:noVBand="1" w:val="04A0"/>
      </w:tblPr>
      <w:tblGrid>
        <w:gridCol w:w="3022"/>
        <w:gridCol w:w="3022"/>
        <w:gridCol w:w="3022"/>
      </w:tblGrid>
      <w:tr>
        <w:tc>
          <w:tcPr>
            <w:tcW w:type="dxa" w:w="2268"/>
            <w:shd w:val="clear" w:color="auto" w:fill="4472C4"/>
          </w:tcPr>
          <w:p>
            <w:pPr>
              <w:jc w:val="center"/>
            </w:pPr>
            <w:r>
              <w:rPr>
                <w:b/>
                <w:color w:val="FFFFFF"/>
              </w:rPr>
              <w:t>Aspetto</w:t>
            </w:r>
          </w:p>
        </w:tc>
        <w:tc>
          <w:tcPr>
            <w:tcW w:type="dxa" w:w="3402"/>
            <w:shd w:val="clear" w:color="auto" w:fill="4472C4"/>
          </w:tcPr>
          <w:p>
            <w:pPr>
              <w:jc w:val="center"/>
            </w:pPr>
            <w:r>
              <w:rPr>
                <w:b/>
                <w:color w:val="FFFFFF"/>
              </w:rPr>
              <w:t>Scaleway</w:t>
            </w:r>
          </w:p>
        </w:tc>
        <w:tc>
          <w:tcPr>
            <w:tcW w:type="dxa" w:w="3402"/>
            <w:shd w:val="clear" w:color="auto" w:fill="4472C4"/>
          </w:tcPr>
          <w:p>
            <w:pPr>
              <w:jc w:val="center"/>
            </w:pPr>
            <w:r>
              <w:rPr>
                <w:b/>
                <w:color w:val="FFFFFF"/>
              </w:rPr>
              <w:t>Fastweb</w:t>
            </w:r>
          </w:p>
        </w:tc>
      </w:tr>
      <w:tr>
        <w:tc>
          <w:tcPr>
            <w:tcW w:type="dxa" w:w="2268"/>
          </w:tcPr>
          <w:p>
            <w:r>
              <w:rPr>
                <w:sz w:val="20"/>
              </w:rPr>
              <w:t>Modello pricing</w:t>
            </w:r>
          </w:p>
        </w:tc>
        <w:tc>
          <w:tcPr>
            <w:tcW w:type="dxa" w:w="3402"/>
          </w:tcPr>
          <w:p>
            <w:r>
              <w:rPr>
                <w:sz w:val="20"/>
              </w:rPr>
              <w:t>Pay-as-you-go, listino pubblico online</w:t>
            </w:r>
          </w:p>
        </w:tc>
        <w:tc>
          <w:tcPr>
            <w:tcW w:type="dxa" w:w="3402"/>
          </w:tcPr>
          <w:p>
            <w:r>
              <w:rPr>
                <w:sz w:val="20"/>
              </w:rPr>
              <w:t>Su preventivo / framework Consip</w:t>
            </w:r>
          </w:p>
        </w:tc>
      </w:tr>
      <w:tr>
        <w:tc>
          <w:tcPr>
            <w:tcW w:type="dxa" w:w="2268"/>
          </w:tcPr>
          <w:p>
            <w:r>
              <w:rPr>
                <w:sz w:val="20"/>
              </w:rPr>
              <w:t>Ingresso</w:t>
            </w:r>
          </w:p>
        </w:tc>
        <w:tc>
          <w:tcPr>
            <w:tcW w:type="dxa" w:w="3402"/>
          </w:tcPr>
          <w:p>
            <w:r>
              <w:rPr>
                <w:sz w:val="20"/>
              </w:rPr>
              <w:t>Self-service — carta di credito, attivazione immediata</w:t>
            </w:r>
          </w:p>
        </w:tc>
        <w:tc>
          <w:tcPr>
            <w:tcW w:type="dxa" w:w="3402"/>
          </w:tcPr>
          <w:p>
            <w:r>
              <w:rPr>
                <w:sz w:val="20"/>
              </w:rPr>
              <w:t>Contratto commerciale, account manager</w:t>
            </w:r>
          </w:p>
        </w:tc>
      </w:tr>
      <w:tr>
        <w:tc>
          <w:tcPr>
            <w:tcW w:type="dxa" w:w="2268"/>
          </w:tcPr>
          <w:p>
            <w:r>
              <w:rPr>
                <w:sz w:val="20"/>
              </w:rPr>
              <w:t>Livello prezzi</w:t>
            </w:r>
          </w:p>
        </w:tc>
        <w:tc>
          <w:tcPr>
            <w:tcW w:type="dxa" w:w="3402"/>
          </w:tcPr>
          <w:p>
            <w:r>
              <w:rPr>
                <w:sz w:val="20"/>
              </w:rPr>
              <w:t>Competitivo vs AWS/Azure — posizionamento 'challenger'</w:t>
            </w:r>
          </w:p>
        </w:tc>
        <w:tc>
          <w:tcPr>
            <w:tcW w:type="dxa" w:w="3402"/>
          </w:tcPr>
          <w:p>
            <w:r>
              <w:rPr>
                <w:sz w:val="20"/>
              </w:rPr>
              <w:t>Premium — giustificato da managed e SLA PA</w:t>
            </w:r>
          </w:p>
        </w:tc>
      </w:tr>
      <w:tr>
        <w:tc>
          <w:tcPr>
            <w:tcW w:type="dxa" w:w="2268"/>
          </w:tcPr>
          <w:p>
            <w:r>
              <w:rPr>
                <w:sz w:val="20"/>
              </w:rPr>
              <w:t>GPU/AI</w:t>
            </w:r>
          </w:p>
        </w:tc>
        <w:tc>
          <w:tcPr>
            <w:tcW w:type="dxa" w:w="3402"/>
          </w:tcPr>
          <w:p>
            <w:r>
              <w:rPr>
                <w:sz w:val="20"/>
              </w:rPr>
              <w:t>Tra i piu competitivi in Europa per H100</w:t>
            </w:r>
          </w:p>
        </w:tc>
        <w:tc>
          <w:tcPr>
            <w:tcW w:type="dxa" w:w="3402"/>
          </w:tcPr>
          <w:p>
            <w:r>
              <w:rPr>
                <w:sz w:val="20"/>
              </w:rPr>
              <w:t>Nessuna offerta GPU pubblica diretta</w:t>
            </w:r>
          </w:p>
        </w:tc>
      </w:tr>
      <w:tr>
        <w:tc>
          <w:tcPr>
            <w:tcW w:type="dxa" w:w="2268"/>
          </w:tcPr>
          <w:p>
            <w:r>
              <w:rPr>
                <w:sz w:val="20"/>
              </w:rPr>
              <w:t>Egress</w:t>
            </w:r>
          </w:p>
        </w:tc>
        <w:tc>
          <w:tcPr>
            <w:tcW w:type="dxa" w:w="3402"/>
          </w:tcPr>
          <w:p>
            <w:r>
              <w:rPr>
                <w:sz w:val="20"/>
              </w:rPr>
              <w:t>Incluso o molto basso (vantaggio vs hyperscaler USA)</w:t>
            </w:r>
          </w:p>
        </w:tc>
        <w:tc>
          <w:tcPr>
            <w:tcW w:type="dxa" w:w="3402"/>
          </w:tcPr>
          <w:p>
            <w:r>
              <w:rPr>
                <w:sz w:val="20"/>
              </w:rPr>
              <w:t>Non dettagliato pubblicamente</w:t>
            </w:r>
          </w:p>
        </w:tc>
      </w:tr>
      <w:tr>
        <w:tc>
          <w:tcPr>
            <w:tcW w:type="dxa" w:w="2268"/>
          </w:tcPr>
          <w:p>
            <w:r>
              <w:rPr>
                <w:sz w:val="20"/>
              </w:rPr>
              <w:t>SLA</w:t>
            </w:r>
          </w:p>
        </w:tc>
        <w:tc>
          <w:tcPr>
            <w:tcW w:type="dxa" w:w="3402"/>
          </w:tcPr>
          <w:p>
            <w:r>
              <w:rPr>
                <w:sz w:val="20"/>
              </w:rPr>
              <w:t>99,9% su servizi compute standard</w:t>
            </w:r>
          </w:p>
        </w:tc>
        <w:tc>
          <w:tcPr>
            <w:tcW w:type="dxa" w:w="3402"/>
          </w:tcPr>
          <w:p>
            <w:r>
              <w:rPr>
                <w:sz w:val="20"/>
              </w:rPr>
              <w:t>99,9%-99,99% su vPDC, con penali contrattuali</w:t>
            </w:r>
          </w:p>
        </w:tc>
      </w:tr>
    </w:tbl>
    <w:p>
      <w:pPr>
        <w:spacing w:before="0" w:after="0"/>
      </w:pPr>
    </w:p>
    <w:p>
      <w:pPr>
        <w:pStyle w:val="Heading2"/>
      </w:pPr>
      <w:r>
        <w:t>4.5 Matrice valutazione sintetica</w:t>
      </w:r>
    </w:p>
    <w:tbl>
      <w:tblPr>
        <w:tblStyle w:val="TableGrid"/>
        <w:tblW w:type="auto" w:w="0"/>
        <w:tblLook w:firstColumn="1" w:firstRow="1" w:lastColumn="0" w:lastRow="0" w:noHBand="0" w:noVBand="1" w:val="04A0"/>
      </w:tblPr>
      <w:tblGrid>
        <w:gridCol w:w="3022"/>
        <w:gridCol w:w="3022"/>
        <w:gridCol w:w="3022"/>
      </w:tblGrid>
      <w:tr>
        <w:tc>
          <w:tcPr>
            <w:tcW w:type="dxa" w:w="3402"/>
            <w:shd w:val="clear" w:color="auto" w:fill="4472C4"/>
          </w:tcPr>
          <w:p>
            <w:pPr>
              <w:jc w:val="center"/>
            </w:pPr>
            <w:r>
              <w:rPr>
                <w:b/>
                <w:color w:val="FFFFFF"/>
              </w:rPr>
              <w:t>Criterio</w:t>
            </w:r>
          </w:p>
        </w:tc>
        <w:tc>
          <w:tcPr>
            <w:tcW w:type="dxa" w:w="2551"/>
            <w:shd w:val="clear" w:color="auto" w:fill="4472C4"/>
          </w:tcPr>
          <w:p>
            <w:pPr>
              <w:jc w:val="center"/>
            </w:pPr>
            <w:r>
              <w:rPr>
                <w:b/>
                <w:color w:val="FFFFFF"/>
              </w:rPr>
              <w:t>Scaleway</w:t>
            </w:r>
          </w:p>
        </w:tc>
        <w:tc>
          <w:tcPr>
            <w:tcW w:type="dxa" w:w="3118"/>
            <w:shd w:val="clear" w:color="auto" w:fill="4472C4"/>
          </w:tcPr>
          <w:p>
            <w:pPr>
              <w:jc w:val="center"/>
            </w:pPr>
            <w:r>
              <w:rPr>
                <w:b/>
                <w:color w:val="FFFFFF"/>
              </w:rPr>
              <w:t>Fastweb</w:t>
            </w:r>
          </w:p>
        </w:tc>
      </w:tr>
      <w:tr>
        <w:tc>
          <w:tcPr>
            <w:tcW w:type="dxa" w:w="3402"/>
          </w:tcPr>
          <w:p>
            <w:r>
              <w:rPr>
                <w:sz w:val="20"/>
              </w:rPr>
              <w:t>Ampiezza offerta tecnica</w:t>
            </w:r>
          </w:p>
        </w:tc>
        <w:tc>
          <w:tcPr>
            <w:tcW w:type="dxa" w:w="2551"/>
          </w:tcPr>
          <w:p>
            <w:r>
              <w:rPr>
                <w:sz w:val="20"/>
              </w:rPr>
              <w:t>Molto alta</w:t>
            </w:r>
          </w:p>
        </w:tc>
        <w:tc>
          <w:tcPr>
            <w:tcW w:type="dxa" w:w="3118"/>
          </w:tcPr>
          <w:p>
            <w:r>
              <w:rPr>
                <w:sz w:val="20"/>
              </w:rPr>
              <w:t>Alta</w:t>
            </w:r>
          </w:p>
        </w:tc>
      </w:tr>
      <w:tr>
        <w:tc>
          <w:tcPr>
            <w:tcW w:type="dxa" w:w="3402"/>
          </w:tcPr>
          <w:p>
            <w:r>
              <w:rPr>
                <w:sz w:val="20"/>
              </w:rPr>
              <w:t>GPU e infrastruttura AI</w:t>
            </w:r>
          </w:p>
        </w:tc>
        <w:tc>
          <w:tcPr>
            <w:tcW w:type="dxa" w:w="2551"/>
          </w:tcPr>
          <w:p>
            <w:r>
              <w:rPr>
                <w:sz w:val="20"/>
              </w:rPr>
              <w:t>Eccellente</w:t>
            </w:r>
          </w:p>
        </w:tc>
        <w:tc>
          <w:tcPr>
            <w:tcW w:type="dxa" w:w="3118"/>
          </w:tcPr>
          <w:p>
            <w:r>
              <w:rPr>
                <w:sz w:val="20"/>
              </w:rPr>
              <w:t>Assente</w:t>
            </w:r>
          </w:p>
        </w:tc>
      </w:tr>
      <w:tr>
        <w:tc>
          <w:tcPr>
            <w:tcW w:type="dxa" w:w="3402"/>
          </w:tcPr>
          <w:p>
            <w:r>
              <w:rPr>
                <w:sz w:val="20"/>
              </w:rPr>
              <w:t>Prezzo competitivo</w:t>
            </w:r>
          </w:p>
        </w:tc>
        <w:tc>
          <w:tcPr>
            <w:tcW w:type="dxa" w:w="2551"/>
          </w:tcPr>
          <w:p>
            <w:r>
              <w:rPr>
                <w:sz w:val="20"/>
              </w:rPr>
              <w:t>Molto alto</w:t>
            </w:r>
          </w:p>
        </w:tc>
        <w:tc>
          <w:tcPr>
            <w:tcW w:type="dxa" w:w="3118"/>
          </w:tcPr>
          <w:p>
            <w:r>
              <w:rPr>
                <w:sz w:val="20"/>
              </w:rPr>
              <w:t>Medio</w:t>
            </w:r>
          </w:p>
        </w:tc>
      </w:tr>
      <w:tr>
        <w:tc>
          <w:tcPr>
            <w:tcW w:type="dxa" w:w="3402"/>
          </w:tcPr>
          <w:p>
            <w:r>
              <w:rPr>
                <w:sz w:val="20"/>
              </w:rPr>
              <w:t>Developer experience</w:t>
            </w:r>
          </w:p>
        </w:tc>
        <w:tc>
          <w:tcPr>
            <w:tcW w:type="dxa" w:w="2551"/>
          </w:tcPr>
          <w:p>
            <w:r>
              <w:rPr>
                <w:sz w:val="20"/>
              </w:rPr>
              <w:t>Eccellente</w:t>
            </w:r>
          </w:p>
        </w:tc>
        <w:tc>
          <w:tcPr>
            <w:tcW w:type="dxa" w:w="3118"/>
          </w:tcPr>
          <w:p>
            <w:r>
              <w:rPr>
                <w:sz w:val="20"/>
              </w:rPr>
              <w:t>Buona</w:t>
            </w:r>
          </w:p>
        </w:tc>
      </w:tr>
      <w:tr>
        <w:tc>
          <w:tcPr>
            <w:tcW w:type="dxa" w:w="3402"/>
          </w:tcPr>
          <w:p>
            <w:r>
              <w:rPr>
                <w:sz w:val="20"/>
              </w:rPr>
              <w:t>Accesso PA (oggi)</w:t>
            </w:r>
          </w:p>
        </w:tc>
        <w:tc>
          <w:tcPr>
            <w:tcW w:type="dxa" w:w="2551"/>
          </w:tcPr>
          <w:p>
            <w:r>
              <w:rPr>
                <w:sz w:val="20"/>
              </w:rPr>
              <w:t>Non disponibile</w:t>
            </w:r>
          </w:p>
        </w:tc>
        <w:tc>
          <w:tcPr>
            <w:tcW w:type="dxa" w:w="3118"/>
          </w:tcPr>
          <w:p>
            <w:r>
              <w:rPr>
                <w:sz w:val="20"/>
              </w:rPr>
              <w:t>Eccellente</w:t>
            </w:r>
          </w:p>
        </w:tc>
      </w:tr>
      <w:tr>
        <w:tc>
          <w:tcPr>
            <w:tcW w:type="dxa" w:w="3402"/>
          </w:tcPr>
          <w:p>
            <w:r>
              <w:rPr>
                <w:sz w:val="20"/>
              </w:rPr>
              <w:t>Certificazioni per PA</w:t>
            </w:r>
          </w:p>
        </w:tc>
        <w:tc>
          <w:tcPr>
            <w:tcW w:type="dxa" w:w="2551"/>
          </w:tcPr>
          <w:p>
            <w:r>
              <w:rPr>
                <w:sz w:val="20"/>
              </w:rPr>
              <w:t>In corso</w:t>
            </w:r>
          </w:p>
        </w:tc>
        <w:tc>
          <w:tcPr>
            <w:tcW w:type="dxa" w:w="3118"/>
          </w:tcPr>
          <w:p>
            <w:r>
              <w:rPr>
                <w:sz w:val="20"/>
              </w:rPr>
              <w:t>Complete</w:t>
            </w:r>
          </w:p>
        </w:tc>
      </w:tr>
      <w:tr>
        <w:tc>
          <w:tcPr>
            <w:tcW w:type="dxa" w:w="3402"/>
          </w:tcPr>
          <w:p>
            <w:r>
              <w:rPr>
                <w:sz w:val="20"/>
              </w:rPr>
              <w:t>Convergenza fisso+mobile+cloud</w:t>
            </w:r>
          </w:p>
        </w:tc>
        <w:tc>
          <w:tcPr>
            <w:tcW w:type="dxa" w:w="2551"/>
          </w:tcPr>
          <w:p>
            <w:r>
              <w:rPr>
                <w:sz w:val="20"/>
              </w:rPr>
              <w:t>Assente</w:t>
            </w:r>
          </w:p>
        </w:tc>
        <w:tc>
          <w:tcPr>
            <w:tcW w:type="dxa" w:w="3118"/>
          </w:tcPr>
          <w:p>
            <w:r>
              <w:rPr>
                <w:sz w:val="20"/>
              </w:rPr>
              <w:t>Eccellente</w:t>
            </w:r>
          </w:p>
        </w:tc>
      </w:tr>
      <w:tr>
        <w:tc>
          <w:tcPr>
            <w:tcW w:type="dxa" w:w="3402"/>
          </w:tcPr>
          <w:p>
            <w:r>
              <w:rPr>
                <w:sz w:val="20"/>
              </w:rPr>
              <w:t>Sovranita' europea</w:t>
            </w:r>
          </w:p>
        </w:tc>
        <w:tc>
          <w:tcPr>
            <w:tcW w:type="dxa" w:w="2551"/>
          </w:tcPr>
          <w:p>
            <w:r>
              <w:rPr>
                <w:sz w:val="20"/>
              </w:rPr>
              <w:t>Eccellente</w:t>
            </w:r>
          </w:p>
        </w:tc>
        <w:tc>
          <w:tcPr>
            <w:tcW w:type="dxa" w:w="3118"/>
          </w:tcPr>
          <w:p>
            <w:r>
              <w:rPr>
                <w:sz w:val="20"/>
              </w:rPr>
              <w:t>Alta</w:t>
            </w:r>
          </w:p>
        </w:tc>
      </w:tr>
      <w:tr>
        <w:tc>
          <w:tcPr>
            <w:tcW w:type="dxa" w:w="3402"/>
          </w:tcPr>
          <w:p>
            <w:r>
              <w:rPr>
                <w:sz w:val="20"/>
              </w:rPr>
              <w:t>Maturita' sul mercato IT</w:t>
            </w:r>
          </w:p>
        </w:tc>
        <w:tc>
          <w:tcPr>
            <w:tcW w:type="dxa" w:w="2551"/>
          </w:tcPr>
          <w:p>
            <w:r>
              <w:rPr>
                <w:sz w:val="20"/>
              </w:rPr>
              <w:t>Day 1 (marzo 2026)</w:t>
            </w:r>
          </w:p>
        </w:tc>
        <w:tc>
          <w:tcPr>
            <w:tcW w:type="dxa" w:w="3118"/>
          </w:tcPr>
          <w:p>
            <w:r>
              <w:rPr>
                <w:sz w:val="20"/>
              </w:rPr>
              <w:t>Consolidata (anni)</w:t>
            </w:r>
          </w:p>
        </w:tc>
      </w:tr>
      <w:tr>
        <w:tc>
          <w:tcPr>
            <w:tcW w:type="dxa" w:w="3402"/>
          </w:tcPr>
          <w:p>
            <w:r>
              <w:rPr>
                <w:sz w:val="20"/>
              </w:rPr>
              <w:t>Support enterprise managed</w:t>
            </w:r>
          </w:p>
        </w:tc>
        <w:tc>
          <w:tcPr>
            <w:tcW w:type="dxa" w:w="2551"/>
          </w:tcPr>
          <w:p>
            <w:r>
              <w:rPr>
                <w:sz w:val="20"/>
              </w:rPr>
              <w:t>Standard</w:t>
            </w:r>
          </w:p>
        </w:tc>
        <w:tc>
          <w:tcPr>
            <w:tcW w:type="dxa" w:w="3118"/>
          </w:tcPr>
          <w:p>
            <w:r>
              <w:rPr>
                <w:sz w:val="20"/>
              </w:rPr>
              <w:t>Eccellente</w:t>
            </w:r>
          </w:p>
        </w:tc>
      </w:tr>
    </w:tbl>
    <w:p>
      <w:r>
        <w:br w:type="page"/>
      </w:r>
    </w:p>
    <w:p>
      <w:pPr>
        <w:pStyle w:val="Heading1"/>
      </w:pPr>
      <w:r>
        <w:rPr>
          <w:color w:val="1F497D"/>
        </w:rPr>
        <w:t>5. Lancio in Italia — Marzo 2026</w:t>
      </w:r>
    </w:p>
    <w:p>
      <w:pPr/>
      <w:r>
        <w:t>Il 19 marzo 2026 Scaleway ha annunciato ufficialmente il lancio della Cloud Region di Milano, segnando il proprio ingresso nel mercato italiano. Si tratta di un momento strategico nell'ambito di una piu ampia espansione europea.</w:t>
      </w:r>
    </w:p>
    <w:p>
      <w:pPr>
        <w:spacing w:before="0" w:after="0"/>
      </w:pPr>
    </w:p>
    <w:p>
      <w:pPr>
        <w:pStyle w:val="Heading2"/>
      </w:pPr>
      <w:r>
        <w:t>Architettura della Region Milano</w:t>
      </w:r>
    </w:p>
    <w:p>
      <w:pPr>
        <w:pStyle w:val="ListBullet"/>
      </w:pPr>
      <w:r>
        <w:t>3 Availability Zone (AZ) — architettura standard Scaleway per alta disponibilita'</w:t>
      </w:r>
    </w:p>
    <w:p>
      <w:pPr>
        <w:pStyle w:val="ListBullet"/>
      </w:pPr>
      <w:r>
        <w:t>AZ1: data center a Settimo Milanese — gia' operativa</w:t>
      </w:r>
    </w:p>
    <w:p>
      <w:pPr>
        <w:pStyle w:val="ListBullet"/>
      </w:pPr>
      <w:r>
        <w:t>AZ2: data center a Basiglio — in arrivo nei prossimi mesi</w:t>
      </w:r>
    </w:p>
    <w:p>
      <w:pPr>
        <w:pStyle w:val="ListBullet"/>
      </w:pPr>
      <w:r>
        <w:t>AZ3: data center a Milano citta' — in arrivo nei prossimi mesi</w:t>
      </w:r>
    </w:p>
    <w:p>
      <w:pPr>
        <w:spacing w:before="0" w:after="0"/>
      </w:pPr>
    </w:p>
    <w:p>
      <w:pPr>
        <w:pStyle w:val="Heading2"/>
      </w:pPr>
      <w:r>
        <w:t>Iniziative a supporto del lancio</w:t>
      </w:r>
    </w:p>
    <w:p>
      <w:pPr>
        <w:pStyle w:val="ListBullet"/>
      </w:pPr>
      <w:r>
        <w:t>Apertura filiale a Milano per funzioni commerciali e tecniche locali</w:t>
      </w:r>
    </w:p>
    <w:p>
      <w:pPr>
        <w:pStyle w:val="ListBullet"/>
      </w:pPr>
      <w:r>
        <w:t>Definizione di partnership con realta' regionali (in corso)</w:t>
      </w:r>
    </w:p>
    <w:p>
      <w:pPr>
        <w:pStyle w:val="ListBullet"/>
      </w:pPr>
      <w:r>
        <w:t>Acquisizione certificazione ACN Livello 1 (in corso — requisito per PA)</w:t>
      </w:r>
    </w:p>
    <w:p>
      <w:pPr>
        <w:pStyle w:val="ListBullet"/>
      </w:pPr>
      <w:r>
        <w:t>Contesto: investimento Gruppo iliad da 3 miliardi di euro in cloud e AI</w:t>
      </w:r>
    </w:p>
    <w:p>
      <w:pPr>
        <w:spacing w:before="0" w:after="0"/>
      </w:pPr>
    </w:p>
    <w:p>
      <w:pPr>
        <w:pStyle w:val="Heading2"/>
      </w:pPr>
      <w:r>
        <w:t>Dichiarazione CEO</w:t>
      </w:r>
    </w:p>
    <w:p>
      <w:pPr>
        <w:ind w:left="567" w:right="567"/>
      </w:pPr>
      <w:r>
        <w:rPr>
          <w:i/>
          <w:sz w:val="22"/>
        </w:rPr>
        <w:t>"L'Europa non puo' affidarsi interamente agli hyperscaler stranieri per alimentare la propria economia digitale. Le aziende europee devono avere accesso a piattaforme cloud hyperscale costruite in Europa, gestite in conformita' con le normative UE e allineate alle priorita' europee."</w:t>
      </w:r>
    </w:p>
    <w:p>
      <w:pPr>
        <w:ind w:left="567"/>
      </w:pPr>
      <w:r>
        <w:rPr>
          <w:b/>
          <w:sz w:val="20"/>
        </w:rPr>
        <w:t>— Damien Lucas, CEO di Scaleway</w:t>
      </w:r>
    </w:p>
    <w:p>
      <w:r>
        <w:br w:type="page"/>
      </w:r>
    </w:p>
    <w:p>
      <w:pPr>
        <w:pStyle w:val="Heading1"/>
      </w:pPr>
      <w:r>
        <w:rPr>
          <w:color w:val="1F497D"/>
        </w:rPr>
        <w:t>6. Ecosistema Partner — Managed Services</w:t>
      </w:r>
    </w:p>
    <w:p>
      <w:pPr/>
      <w:r>
        <w:t>Il Partner Program di Scaleway e' stato lanciato nel 2019 e prevede sconti fino al 40% sulle spese della piattaforma (cumulabili), con supporto marketing, sales e tecnico. Ad oggi conta circa 22 partner certificati nel marketplace ufficiale, con forte concentrazione in Francia e, in misura minore, nel resto d'Europa.</w:t>
      </w:r>
    </w:p>
    <w:p>
      <w:pPr>
        <w:spacing w:before="0" w:after="0"/>
      </w:pPr>
    </w:p>
    <w:p>
      <w:pPr>
        <w:pStyle w:val="Heading2"/>
      </w:pPr>
      <w:r>
        <w:t>6.1 System Integrator di grandi dimensioni</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1701"/>
            <w:shd w:val="clear" w:color="auto" w:fill="4472C4"/>
          </w:tcPr>
          <w:p>
            <w:pPr>
              <w:jc w:val="center"/>
            </w:pPr>
            <w:r>
              <w:rPr>
                <w:b/>
                <w:color w:val="FFFFFF"/>
              </w:rPr>
              <w:t>Partner</w:t>
            </w:r>
          </w:p>
        </w:tc>
        <w:tc>
          <w:tcPr>
            <w:tcW w:type="dxa" w:w="1417"/>
            <w:shd w:val="clear" w:color="auto" w:fill="4472C4"/>
          </w:tcPr>
          <w:p>
            <w:pPr>
              <w:jc w:val="center"/>
            </w:pPr>
            <w:r>
              <w:rPr>
                <w:b/>
                <w:color w:val="FFFFFF"/>
              </w:rPr>
              <w:t>Sede</w:t>
            </w:r>
          </w:p>
        </w:tc>
        <w:tc>
          <w:tcPr>
            <w:tcW w:type="dxa" w:w="1417"/>
            <w:shd w:val="clear" w:color="auto" w:fill="4472C4"/>
          </w:tcPr>
          <w:p>
            <w:pPr>
              <w:jc w:val="center"/>
            </w:pPr>
            <w:r>
              <w:rPr>
                <w:b/>
                <w:color w:val="FFFFFF"/>
              </w:rPr>
              <w:t>Dimensione</w:t>
            </w:r>
          </w:p>
        </w:tc>
        <w:tc>
          <w:tcPr>
            <w:tcW w:type="dxa" w:w="2268"/>
            <w:shd w:val="clear" w:color="auto" w:fill="4472C4"/>
          </w:tcPr>
          <w:p>
            <w:pPr>
              <w:jc w:val="center"/>
            </w:pPr>
            <w:r>
              <w:rPr>
                <w:b/>
                <w:color w:val="FFFFFF"/>
              </w:rPr>
              <w:t>Verticali</w:t>
            </w:r>
          </w:p>
        </w:tc>
        <w:tc>
          <w:tcPr>
            <w:tcW w:type="dxa" w:w="2268"/>
            <w:shd w:val="clear" w:color="auto" w:fill="4472C4"/>
          </w:tcPr>
          <w:p>
            <w:pPr>
              <w:jc w:val="center"/>
            </w:pPr>
            <w:r>
              <w:rPr>
                <w:b/>
                <w:color w:val="FFFFFF"/>
              </w:rPr>
              <w:t>Expertise Scaleway</w:t>
            </w:r>
          </w:p>
        </w:tc>
      </w:tr>
      <w:tr>
        <w:tc>
          <w:tcPr>
            <w:tcW w:type="dxa" w:w="1701"/>
          </w:tcPr>
          <w:p>
            <w:r>
              <w:rPr>
                <w:sz w:val="20"/>
              </w:rPr>
              <w:t>Devoteam</w:t>
            </w:r>
          </w:p>
        </w:tc>
        <w:tc>
          <w:tcPr>
            <w:tcW w:type="dxa" w:w="1417"/>
          </w:tcPr>
          <w:p>
            <w:r>
              <w:rPr>
                <w:sz w:val="20"/>
              </w:rPr>
              <w:t>Francia (EMEA)</w:t>
            </w:r>
          </w:p>
        </w:tc>
        <w:tc>
          <w:tcPr>
            <w:tcW w:type="dxa" w:w="1417"/>
          </w:tcPr>
          <w:p>
            <w:r>
              <w:rPr>
                <w:sz w:val="20"/>
              </w:rPr>
              <w:t>11.000 specialisti</w:t>
            </w:r>
          </w:p>
        </w:tc>
        <w:tc>
          <w:tcPr>
            <w:tcW w:type="dxa" w:w="2268"/>
          </w:tcPr>
          <w:p>
            <w:r>
              <w:rPr>
                <w:sz w:val="20"/>
              </w:rPr>
              <w:t>PA, Finance, Healthcare, Manifattura</w:t>
            </w:r>
          </w:p>
        </w:tc>
        <w:tc>
          <w:tcPr>
            <w:tcW w:type="dxa" w:w="2268"/>
          </w:tcPr>
          <w:p>
            <w:r>
              <w:rPr>
                <w:sz w:val="20"/>
              </w:rPr>
              <w:t>Cloud, AI, Containers, Migration — sovereign cloud</w:t>
            </w:r>
          </w:p>
        </w:tc>
      </w:tr>
      <w:tr>
        <w:tc>
          <w:tcPr>
            <w:tcW w:type="dxa" w:w="1701"/>
          </w:tcPr>
          <w:p>
            <w:r>
              <w:rPr>
                <w:sz w:val="20"/>
              </w:rPr>
              <w:t>Kaliop</w:t>
            </w:r>
          </w:p>
        </w:tc>
        <w:tc>
          <w:tcPr>
            <w:tcW w:type="dxa" w:w="1417"/>
          </w:tcPr>
          <w:p>
            <w:r>
              <w:rPr>
                <w:sz w:val="20"/>
              </w:rPr>
              <w:t>Francia/Europa</w:t>
            </w:r>
          </w:p>
        </w:tc>
        <w:tc>
          <w:tcPr>
            <w:tcW w:type="dxa" w:w="1417"/>
          </w:tcPr>
          <w:p>
            <w:r>
              <w:rPr>
                <w:sz w:val="20"/>
              </w:rPr>
              <w:t>Media</w:t>
            </w:r>
          </w:p>
        </w:tc>
        <w:tc>
          <w:tcPr>
            <w:tcW w:type="dxa" w:w="2268"/>
          </w:tcPr>
          <w:p>
            <w:r>
              <w:rPr>
                <w:sz w:val="20"/>
              </w:rPr>
              <w:t>PA, Healthcare, Retail, Media</w:t>
            </w:r>
          </w:p>
        </w:tc>
        <w:tc>
          <w:tcPr>
            <w:tcW w:type="dxa" w:w="2268"/>
          </w:tcPr>
          <w:p>
            <w:r>
              <w:rPr>
                <w:sz w:val="20"/>
              </w:rPr>
              <w:t>Migration, DevOps, Kubernetes, AI</w:t>
            </w:r>
          </w:p>
        </w:tc>
      </w:tr>
      <w:tr>
        <w:tc>
          <w:tcPr>
            <w:tcW w:type="dxa" w:w="1701"/>
          </w:tcPr>
          <w:p>
            <w:r>
              <w:rPr>
                <w:sz w:val="20"/>
              </w:rPr>
              <w:t>SCC France</w:t>
            </w:r>
          </w:p>
        </w:tc>
        <w:tc>
          <w:tcPr>
            <w:tcW w:type="dxa" w:w="1417"/>
          </w:tcPr>
          <w:p>
            <w:r>
              <w:rPr>
                <w:sz w:val="20"/>
              </w:rPr>
              <w:t>Europa</w:t>
            </w:r>
          </w:p>
        </w:tc>
        <w:tc>
          <w:tcPr>
            <w:tcW w:type="dxa" w:w="1417"/>
          </w:tcPr>
          <w:p>
            <w:r>
              <w:rPr>
                <w:sz w:val="20"/>
              </w:rPr>
              <w:t>Grande</w:t>
            </w:r>
          </w:p>
        </w:tc>
        <w:tc>
          <w:tcPr>
            <w:tcW w:type="dxa" w:w="2268"/>
          </w:tcPr>
          <w:p>
            <w:r>
              <w:rPr>
                <w:sz w:val="20"/>
              </w:rPr>
              <w:t>PA, Healthcare, Finance, Manifattura</w:t>
            </w:r>
          </w:p>
        </w:tc>
        <w:tc>
          <w:tcPr>
            <w:tcW w:type="dxa" w:w="2268"/>
          </w:tcPr>
          <w:p>
            <w:r>
              <w:rPr>
                <w:sz w:val="20"/>
              </w:rPr>
              <w:t>Cloud, AI, Kubernetes, Containers, Cybersecurity</w:t>
            </w:r>
          </w:p>
        </w:tc>
      </w:tr>
      <w:tr>
        <w:tc>
          <w:tcPr>
            <w:tcW w:type="dxa" w:w="1701"/>
          </w:tcPr>
          <w:p>
            <w:r>
              <w:rPr>
                <w:sz w:val="20"/>
              </w:rPr>
              <w:t>OCTO Technology</w:t>
            </w:r>
          </w:p>
        </w:tc>
        <w:tc>
          <w:tcPr>
            <w:tcW w:type="dxa" w:w="1417"/>
          </w:tcPr>
          <w:p>
            <w:r>
              <w:rPr>
                <w:sz w:val="20"/>
              </w:rPr>
              <w:t>Francia</w:t>
            </w:r>
          </w:p>
        </w:tc>
        <w:tc>
          <w:tcPr>
            <w:tcW w:type="dxa" w:w="1417"/>
          </w:tcPr>
          <w:p>
            <w:r>
              <w:rPr>
                <w:sz w:val="20"/>
              </w:rPr>
              <w:t>Boutique premium</w:t>
            </w:r>
          </w:p>
        </w:tc>
        <w:tc>
          <w:tcPr>
            <w:tcW w:type="dxa" w:w="2268"/>
          </w:tcPr>
          <w:p>
            <w:r>
              <w:rPr>
                <w:sz w:val="20"/>
              </w:rPr>
              <w:t>Healthcare, PA, Finance</w:t>
            </w:r>
          </w:p>
        </w:tc>
        <w:tc>
          <w:tcPr>
            <w:tcW w:type="dxa" w:w="2268"/>
          </w:tcPr>
          <w:p>
            <w:r>
              <w:rPr>
                <w:sz w:val="20"/>
              </w:rPr>
              <w:t>Cloud, AI — architetture complesse</w:t>
            </w:r>
          </w:p>
        </w:tc>
      </w:tr>
      <w:tr>
        <w:tc>
          <w:tcPr>
            <w:tcW w:type="dxa" w:w="1701"/>
          </w:tcPr>
          <w:p>
            <w:r>
              <w:rPr>
                <w:sz w:val="20"/>
              </w:rPr>
              <w:t>Noesio</w:t>
            </w:r>
          </w:p>
        </w:tc>
        <w:tc>
          <w:tcPr>
            <w:tcW w:type="dxa" w:w="1417"/>
          </w:tcPr>
          <w:p>
            <w:r>
              <w:rPr>
                <w:sz w:val="20"/>
              </w:rPr>
              <w:t>Francia</w:t>
            </w:r>
          </w:p>
        </w:tc>
        <w:tc>
          <w:tcPr>
            <w:tcW w:type="dxa" w:w="1417"/>
          </w:tcPr>
          <w:p>
            <w:r>
              <w:rPr>
                <w:sz w:val="20"/>
              </w:rPr>
              <w:t>Media</w:t>
            </w:r>
          </w:p>
        </w:tc>
        <w:tc>
          <w:tcPr>
            <w:tcW w:type="dxa" w:w="2268"/>
          </w:tcPr>
          <w:p>
            <w:r>
              <w:rPr>
                <w:sz w:val="20"/>
              </w:rPr>
              <w:t>Manifattura, Finance, Logistics</w:t>
            </w:r>
          </w:p>
        </w:tc>
        <w:tc>
          <w:tcPr>
            <w:tcW w:type="dxa" w:w="2268"/>
          </w:tcPr>
          <w:p>
            <w:r>
              <w:rPr>
                <w:sz w:val="20"/>
              </w:rPr>
              <w:t>Digital transformation industriale, Migration</w:t>
            </w:r>
          </w:p>
        </w:tc>
      </w:tr>
      <w:tr>
        <w:tc>
          <w:tcPr>
            <w:tcW w:type="dxa" w:w="1701"/>
          </w:tcPr>
          <w:p>
            <w:r>
              <w:rPr>
                <w:sz w:val="20"/>
              </w:rPr>
              <w:t>Valeuriad</w:t>
            </w:r>
          </w:p>
        </w:tc>
        <w:tc>
          <w:tcPr>
            <w:tcW w:type="dxa" w:w="1417"/>
          </w:tcPr>
          <w:p>
            <w:r>
              <w:rPr>
                <w:sz w:val="20"/>
              </w:rPr>
              <w:t>Francia</w:t>
            </w:r>
          </w:p>
        </w:tc>
        <w:tc>
          <w:tcPr>
            <w:tcW w:type="dxa" w:w="1417"/>
          </w:tcPr>
          <w:p>
            <w:r>
              <w:rPr>
                <w:sz w:val="20"/>
              </w:rPr>
              <w:t>Media</w:t>
            </w:r>
          </w:p>
        </w:tc>
        <w:tc>
          <w:tcPr>
            <w:tcW w:type="dxa" w:w="2268"/>
          </w:tcPr>
          <w:p>
            <w:r>
              <w:rPr>
                <w:sz w:val="20"/>
              </w:rPr>
              <w:t>PA, Bank, Finance, Insurance</w:t>
            </w:r>
          </w:p>
        </w:tc>
        <w:tc>
          <w:tcPr>
            <w:tcW w:type="dxa" w:w="2268"/>
          </w:tcPr>
          <w:p>
            <w:r>
              <w:rPr>
                <w:sz w:val="20"/>
              </w:rPr>
              <w:t>DevOps, Kubernetes, AI, Data, CI/CD</w:t>
            </w:r>
          </w:p>
        </w:tc>
      </w:tr>
    </w:tbl>
    <w:p>
      <w:pPr>
        <w:spacing w:before="0" w:after="0"/>
      </w:pPr>
    </w:p>
    <w:p>
      <w:pPr>
        <w:pStyle w:val="Heading2"/>
      </w:pPr>
      <w:r>
        <w:t>6.2 Managed Service Provider (MSP)</w:t>
      </w:r>
    </w:p>
    <w:tbl>
      <w:tblPr>
        <w:tblStyle w:val="TableGrid"/>
        <w:tblW w:type="auto" w:w="0"/>
        <w:tblLook w:firstColumn="1" w:firstRow="1" w:lastColumn="0" w:lastRow="0" w:noHBand="0" w:noVBand="1" w:val="04A0"/>
      </w:tblPr>
      <w:tblGrid>
        <w:gridCol w:w="3022"/>
        <w:gridCol w:w="3022"/>
        <w:gridCol w:w="3022"/>
      </w:tblGrid>
      <w:tr>
        <w:tc>
          <w:tcPr>
            <w:tcW w:type="dxa" w:w="1701"/>
            <w:shd w:val="clear" w:color="auto" w:fill="4472C4"/>
          </w:tcPr>
          <w:p>
            <w:pPr>
              <w:jc w:val="center"/>
            </w:pPr>
            <w:r>
              <w:rPr>
                <w:b/>
                <w:color w:val="FFFFFF"/>
              </w:rPr>
              <w:t>Partner</w:t>
            </w:r>
          </w:p>
        </w:tc>
        <w:tc>
          <w:tcPr>
            <w:tcW w:type="dxa" w:w="1417"/>
            <w:shd w:val="clear" w:color="auto" w:fill="4472C4"/>
          </w:tcPr>
          <w:p>
            <w:pPr>
              <w:jc w:val="center"/>
            </w:pPr>
            <w:r>
              <w:rPr>
                <w:b/>
                <w:color w:val="FFFFFF"/>
              </w:rPr>
              <w:t>Sede</w:t>
            </w:r>
          </w:p>
        </w:tc>
        <w:tc>
          <w:tcPr>
            <w:tcW w:type="dxa" w:w="5953"/>
            <w:shd w:val="clear" w:color="auto" w:fill="4472C4"/>
          </w:tcPr>
          <w:p>
            <w:pPr>
              <w:jc w:val="center"/>
            </w:pPr>
            <w:r>
              <w:rPr>
                <w:b/>
                <w:color w:val="FFFFFF"/>
              </w:rPr>
              <w:t>Posizionamento</w:t>
            </w:r>
          </w:p>
        </w:tc>
      </w:tr>
      <w:tr>
        <w:tc>
          <w:tcPr>
            <w:tcW w:type="dxa" w:w="1701"/>
          </w:tcPr>
          <w:p>
            <w:r>
              <w:rPr>
                <w:sz w:val="20"/>
              </w:rPr>
              <w:t>Enix</w:t>
            </w:r>
          </w:p>
        </w:tc>
        <w:tc>
          <w:tcPr>
            <w:tcW w:type="dxa" w:w="1417"/>
          </w:tcPr>
          <w:p>
            <w:r>
              <w:rPr>
                <w:sz w:val="20"/>
              </w:rPr>
              <w:t>Francia</w:t>
            </w:r>
          </w:p>
        </w:tc>
        <w:tc>
          <w:tcPr>
            <w:tcW w:type="dxa" w:w="5953"/>
          </w:tcPr>
          <w:p>
            <w:r>
              <w:rPr>
                <w:sz w:val="20"/>
              </w:rPr>
              <w:t>MSP Cloud-Native di riferimento. Gestione 24/7 di piattaforme complesse. Coprono l'intero ciclo (audit &gt; design &gt; deploy &gt; RUN) su tutti i servizi Scaleway: Kubernetes, DB managed, CI/CD, Monitoring. Operano anche in ambienti hybrid e multi-cloud.</w:t>
            </w:r>
          </w:p>
        </w:tc>
      </w:tr>
      <w:tr>
        <w:tc>
          <w:tcPr>
            <w:tcW w:type="dxa" w:w="1701"/>
          </w:tcPr>
          <w:p>
            <w:r>
              <w:rPr>
                <w:sz w:val="20"/>
              </w:rPr>
              <w:t>AQR8</w:t>
            </w:r>
          </w:p>
        </w:tc>
        <w:tc>
          <w:tcPr>
            <w:tcW w:type="dxa" w:w="1417"/>
          </w:tcPr>
          <w:p>
            <w:r>
              <w:rPr>
                <w:sz w:val="20"/>
              </w:rPr>
              <w:t>Worldwide</w:t>
            </w:r>
          </w:p>
        </w:tc>
        <w:tc>
          <w:tcPr>
            <w:tcW w:type="dxa" w:w="5953"/>
          </w:tcPr>
          <w:p>
            <w:r>
              <w:rPr>
                <w:sz w:val="20"/>
              </w:rPr>
              <w:t>MSP specializzato su Cloud transformation, automazione, CI/CD e FinOps</w:t>
            </w:r>
          </w:p>
        </w:tc>
      </w:tr>
      <w:tr>
        <w:tc>
          <w:tcPr>
            <w:tcW w:type="dxa" w:w="1701"/>
          </w:tcPr>
          <w:p>
            <w:r>
              <w:rPr>
                <w:sz w:val="20"/>
              </w:rPr>
              <w:t>SimpleRezo</w:t>
            </w:r>
          </w:p>
        </w:tc>
        <w:tc>
          <w:tcPr>
            <w:tcW w:type="dxa" w:w="1417"/>
          </w:tcPr>
          <w:p>
            <w:r>
              <w:rPr>
                <w:sz w:val="20"/>
              </w:rPr>
              <w:t>Francia</w:t>
            </w:r>
          </w:p>
        </w:tc>
        <w:tc>
          <w:tcPr>
            <w:tcW w:type="dxa" w:w="5953"/>
          </w:tcPr>
          <w:p>
            <w:r>
              <w:rPr>
                <w:sz w:val="20"/>
              </w:rPr>
              <w:t>Hosting e outsourcing tradizionale, orientato alle PMI</w:t>
            </w:r>
          </w:p>
        </w:tc>
      </w:tr>
      <w:tr>
        <w:tc>
          <w:tcPr>
            <w:tcW w:type="dxa" w:w="1701"/>
          </w:tcPr>
          <w:p>
            <w:r>
              <w:rPr>
                <w:sz w:val="20"/>
              </w:rPr>
              <w:t>Free Pro</w:t>
            </w:r>
          </w:p>
        </w:tc>
        <w:tc>
          <w:tcPr>
            <w:tcW w:type="dxa" w:w="1417"/>
          </w:tcPr>
          <w:p>
            <w:r>
              <w:rPr>
                <w:sz w:val="20"/>
              </w:rPr>
              <w:t>Francia</w:t>
            </w:r>
          </w:p>
        </w:tc>
        <w:tc>
          <w:tcPr>
            <w:tcW w:type="dxa" w:w="5953"/>
          </w:tcPr>
          <w:p>
            <w:r>
              <w:rPr>
                <w:sz w:val="20"/>
              </w:rPr>
              <w:t>Braccio B2B del Gruppo iliad (stesso gruppo di Scaleway). Bundle cloud + rete + telco per PMI e Retail. Partner strategico interno al gruppo.</w:t>
            </w:r>
          </w:p>
        </w:tc>
      </w:tr>
    </w:tbl>
    <w:p>
      <w:pPr>
        <w:spacing w:before="0" w:after="0"/>
      </w:pPr>
    </w:p>
    <w:p>
      <w:pPr>
        <w:pStyle w:val="Heading2"/>
      </w:pPr>
      <w:r>
        <w:t>6.3 Consulenza Data &amp; AI</w:t>
      </w:r>
    </w:p>
    <w:tbl>
      <w:tblPr>
        <w:tblStyle w:val="TableGrid"/>
        <w:tblW w:type="auto" w:w="0"/>
        <w:tblLook w:firstColumn="1" w:firstRow="1" w:lastColumn="0" w:lastRow="0" w:noHBand="0" w:noVBand="1" w:val="04A0"/>
      </w:tblPr>
      <w:tblGrid>
        <w:gridCol w:w="3022"/>
        <w:gridCol w:w="3022"/>
        <w:gridCol w:w="3022"/>
      </w:tblGrid>
      <w:tr>
        <w:tc>
          <w:tcPr>
            <w:tcW w:type="dxa" w:w="1701"/>
            <w:shd w:val="clear" w:color="auto" w:fill="4472C4"/>
          </w:tcPr>
          <w:p>
            <w:pPr>
              <w:jc w:val="center"/>
            </w:pPr>
            <w:r>
              <w:rPr>
                <w:b/>
                <w:color w:val="FFFFFF"/>
              </w:rPr>
              <w:t>Partner</w:t>
            </w:r>
          </w:p>
        </w:tc>
        <w:tc>
          <w:tcPr>
            <w:tcW w:type="dxa" w:w="1417"/>
            <w:shd w:val="clear" w:color="auto" w:fill="4472C4"/>
          </w:tcPr>
          <w:p>
            <w:pPr>
              <w:jc w:val="center"/>
            </w:pPr>
            <w:r>
              <w:rPr>
                <w:b/>
                <w:color w:val="FFFFFF"/>
              </w:rPr>
              <w:t>Sede</w:t>
            </w:r>
          </w:p>
        </w:tc>
        <w:tc>
          <w:tcPr>
            <w:tcW w:type="dxa" w:w="5953"/>
            <w:shd w:val="clear" w:color="auto" w:fill="4472C4"/>
          </w:tcPr>
          <w:p>
            <w:pPr>
              <w:jc w:val="center"/>
            </w:pPr>
            <w:r>
              <w:rPr>
                <w:b/>
                <w:color w:val="FFFFFF"/>
              </w:rPr>
              <w:t>Focus</w:t>
            </w:r>
          </w:p>
        </w:tc>
      </w:tr>
      <w:tr>
        <w:tc>
          <w:tcPr>
            <w:tcW w:type="dxa" w:w="1701"/>
          </w:tcPr>
          <w:p>
            <w:r>
              <w:rPr>
                <w:sz w:val="20"/>
              </w:rPr>
              <w:t>Artefact</w:t>
            </w:r>
          </w:p>
        </w:tc>
        <w:tc>
          <w:tcPr>
            <w:tcW w:type="dxa" w:w="1417"/>
          </w:tcPr>
          <w:p>
            <w:r>
              <w:rPr>
                <w:sz w:val="20"/>
              </w:rPr>
              <w:t>Worldwide</w:t>
            </w:r>
          </w:p>
        </w:tc>
        <w:tc>
          <w:tcPr>
            <w:tcW w:type="dxa" w:w="5953"/>
          </w:tcPr>
          <w:p>
            <w:r>
              <w:rPr>
                <w:sz w:val="20"/>
              </w:rPr>
              <w:t>Data &amp; AI end-to-end. Finance, Healthcare, Retail, Media. Bridging Business &amp; Technology.</w:t>
            </w:r>
          </w:p>
        </w:tc>
      </w:tr>
      <w:tr>
        <w:tc>
          <w:tcPr>
            <w:tcW w:type="dxa" w:w="1701"/>
          </w:tcPr>
          <w:p>
            <w:r>
              <w:rPr>
                <w:sz w:val="20"/>
              </w:rPr>
              <w:t>Sia</w:t>
            </w:r>
          </w:p>
        </w:tc>
        <w:tc>
          <w:tcPr>
            <w:tcW w:type="dxa" w:w="1417"/>
          </w:tcPr>
          <w:p>
            <w:r>
              <w:rPr>
                <w:sz w:val="20"/>
              </w:rPr>
              <w:t>Francia</w:t>
            </w:r>
          </w:p>
        </w:tc>
        <w:tc>
          <w:tcPr>
            <w:tcW w:type="dxa" w:w="5953"/>
          </w:tcPr>
          <w:p>
            <w:r>
              <w:rPr>
                <w:sz w:val="20"/>
              </w:rPr>
              <w:t>Next-gen consultancy. Data, AI, Cloud. Focalizzato su Media, Healthcare, Logistics.</w:t>
            </w:r>
          </w:p>
        </w:tc>
      </w:tr>
      <w:tr>
        <w:tc>
          <w:tcPr>
            <w:tcW w:type="dxa" w:w="1701"/>
          </w:tcPr>
          <w:p>
            <w:r>
              <w:rPr>
                <w:sz w:val="20"/>
              </w:rPr>
              <w:t>WeScale</w:t>
            </w:r>
          </w:p>
        </w:tc>
        <w:tc>
          <w:tcPr>
            <w:tcW w:type="dxa" w:w="1417"/>
          </w:tcPr>
          <w:p>
            <w:r>
              <w:rPr>
                <w:sz w:val="20"/>
              </w:rPr>
              <w:t>Francia</w:t>
            </w:r>
          </w:p>
        </w:tc>
        <w:tc>
          <w:tcPr>
            <w:tcW w:type="dxa" w:w="5953"/>
          </w:tcPr>
          <w:p>
            <w:r>
              <w:rPr>
                <w:sz w:val="20"/>
              </w:rPr>
              <w:t>Cloud transformation + Data Platform + AI. Finance, PA, Retail.</w:t>
            </w:r>
          </w:p>
        </w:tc>
      </w:tr>
      <w:tr>
        <w:tc>
          <w:tcPr>
            <w:tcW w:type="dxa" w:w="1701"/>
          </w:tcPr>
          <w:p>
            <w:r>
              <w:rPr>
                <w:sz w:val="20"/>
              </w:rPr>
              <w:t>LittleBigCode</w:t>
            </w:r>
          </w:p>
        </w:tc>
        <w:tc>
          <w:tcPr>
            <w:tcW w:type="dxa" w:w="1417"/>
          </w:tcPr>
          <w:p>
            <w:r>
              <w:rPr>
                <w:sz w:val="20"/>
              </w:rPr>
              <w:t>Europa</w:t>
            </w:r>
          </w:p>
        </w:tc>
        <w:tc>
          <w:tcPr>
            <w:tcW w:type="dxa" w:w="5953"/>
          </w:tcPr>
          <w:p>
            <w:r>
              <w:rPr>
                <w:sz w:val="20"/>
              </w:rPr>
              <w:t>AI solutions in tempi brevi. Kubernetes, Docker, Terraform. Healthcare, Insurance, Media.</w:t>
            </w:r>
          </w:p>
        </w:tc>
      </w:tr>
    </w:tbl>
    <w:p>
      <w:pPr>
        <w:spacing w:before="0" w:after="0"/>
      </w:pPr>
    </w:p>
    <w:p>
      <w:pPr>
        <w:pStyle w:val="Heading2"/>
      </w:pPr>
      <w:r>
        <w:t>6.4 Partner specializzati e verticali</w:t>
      </w:r>
    </w:p>
    <w:tbl>
      <w:tblPr>
        <w:tblStyle w:val="TableGrid"/>
        <w:tblW w:type="auto" w:w="0"/>
        <w:tblLook w:firstColumn="1" w:firstRow="1" w:lastColumn="0" w:lastRow="0" w:noHBand="0" w:noVBand="1" w:val="04A0"/>
      </w:tblPr>
      <w:tblGrid>
        <w:gridCol w:w="3022"/>
        <w:gridCol w:w="3022"/>
        <w:gridCol w:w="3022"/>
      </w:tblGrid>
      <w:tr>
        <w:tc>
          <w:tcPr>
            <w:tcW w:type="dxa" w:w="1701"/>
            <w:shd w:val="clear" w:color="auto" w:fill="4472C4"/>
          </w:tcPr>
          <w:p>
            <w:pPr>
              <w:jc w:val="center"/>
            </w:pPr>
            <w:r>
              <w:rPr>
                <w:b/>
                <w:color w:val="FFFFFF"/>
              </w:rPr>
              <w:t>Partner</w:t>
            </w:r>
          </w:p>
        </w:tc>
        <w:tc>
          <w:tcPr>
            <w:tcW w:type="dxa" w:w="1417"/>
            <w:shd w:val="clear" w:color="auto" w:fill="4472C4"/>
          </w:tcPr>
          <w:p>
            <w:pPr>
              <w:jc w:val="center"/>
            </w:pPr>
            <w:r>
              <w:rPr>
                <w:b/>
                <w:color w:val="FFFFFF"/>
              </w:rPr>
              <w:t>Sede</w:t>
            </w:r>
          </w:p>
        </w:tc>
        <w:tc>
          <w:tcPr>
            <w:tcW w:type="dxa" w:w="5953"/>
            <w:shd w:val="clear" w:color="auto" w:fill="4472C4"/>
          </w:tcPr>
          <w:p>
            <w:pPr>
              <w:jc w:val="center"/>
            </w:pPr>
            <w:r>
              <w:rPr>
                <w:b/>
                <w:color w:val="FFFFFF"/>
              </w:rPr>
              <w:t>Niche</w:t>
            </w:r>
          </w:p>
        </w:tc>
      </w:tr>
      <w:tr>
        <w:tc>
          <w:tcPr>
            <w:tcW w:type="dxa" w:w="1701"/>
          </w:tcPr>
          <w:p>
            <w:r>
              <w:rPr>
                <w:sz w:val="20"/>
              </w:rPr>
              <w:t>Keltio</w:t>
            </w:r>
          </w:p>
        </w:tc>
        <w:tc>
          <w:tcPr>
            <w:tcW w:type="dxa" w:w="1417"/>
          </w:tcPr>
          <w:p>
            <w:r>
              <w:rPr>
                <w:sz w:val="20"/>
              </w:rPr>
              <w:t>Francia</w:t>
            </w:r>
          </w:p>
        </w:tc>
        <w:tc>
          <w:tcPr>
            <w:tcW w:type="dxa" w:w="5953"/>
          </w:tcPr>
          <w:p>
            <w:r>
              <w:rPr>
                <w:sz w:val="20"/>
              </w:rPr>
              <w:t>Migration + Managed Services + Kubernetes per startup</w:t>
            </w:r>
          </w:p>
        </w:tc>
      </w:tr>
      <w:tr>
        <w:tc>
          <w:tcPr>
            <w:tcW w:type="dxa" w:w="1701"/>
          </w:tcPr>
          <w:p>
            <w:r>
              <w:rPr>
                <w:sz w:val="20"/>
              </w:rPr>
              <w:t>Log'in Line</w:t>
            </w:r>
          </w:p>
        </w:tc>
        <w:tc>
          <w:tcPr>
            <w:tcW w:type="dxa" w:w="1417"/>
          </w:tcPr>
          <w:p>
            <w:r>
              <w:rPr>
                <w:sz w:val="20"/>
              </w:rPr>
              <w:t>Francia</w:t>
            </w:r>
          </w:p>
        </w:tc>
        <w:tc>
          <w:tcPr>
            <w:tcW w:type="dxa" w:w="5953"/>
          </w:tcPr>
          <w:p>
            <w:r>
              <w:rPr>
                <w:sz w:val="20"/>
              </w:rPr>
              <w:t>'Il team infra per startup che non ce l'hanno' — Kubernetes specialist</w:t>
            </w:r>
          </w:p>
        </w:tc>
      </w:tr>
      <w:tr>
        <w:tc>
          <w:tcPr>
            <w:tcW w:type="dxa" w:w="1701"/>
          </w:tcPr>
          <w:p>
            <w:r>
              <w:rPr>
                <w:sz w:val="20"/>
              </w:rPr>
              <w:t>SevenLab</w:t>
            </w:r>
          </w:p>
        </w:tc>
        <w:tc>
          <w:tcPr>
            <w:tcW w:type="dxa" w:w="1417"/>
          </w:tcPr>
          <w:p>
            <w:r>
              <w:rPr>
                <w:sz w:val="20"/>
              </w:rPr>
              <w:t>Europa</w:t>
            </w:r>
          </w:p>
        </w:tc>
        <w:tc>
          <w:tcPr>
            <w:tcW w:type="dxa" w:w="5953"/>
          </w:tcPr>
          <w:p>
            <w:r>
              <w:rPr>
                <w:sz w:val="20"/>
              </w:rPr>
              <w:t>AI solutions in settimane per PA, Healthcare, Agritech</w:t>
            </w:r>
          </w:p>
        </w:tc>
      </w:tr>
      <w:tr>
        <w:tc>
          <w:tcPr>
            <w:tcW w:type="dxa" w:w="1701"/>
          </w:tcPr>
          <w:p>
            <w:r>
              <w:rPr>
                <w:sz w:val="20"/>
              </w:rPr>
              <w:t>Inheaden</w:t>
            </w:r>
          </w:p>
        </w:tc>
        <w:tc>
          <w:tcPr>
            <w:tcW w:type="dxa" w:w="1417"/>
          </w:tcPr>
          <w:p>
            <w:r>
              <w:rPr>
                <w:sz w:val="20"/>
              </w:rPr>
              <w:t>Europa</w:t>
            </w:r>
          </w:p>
        </w:tc>
        <w:tc>
          <w:tcPr>
            <w:tcW w:type="dxa" w:w="5953"/>
          </w:tcPr>
          <w:p>
            <w:r>
              <w:rPr>
                <w:sz w:val="20"/>
              </w:rPr>
              <w:t>Kubernetes + AI + sviluppo software — PA, Manufacturing, E-commerce</w:t>
            </w:r>
          </w:p>
        </w:tc>
      </w:tr>
      <w:tr>
        <w:tc>
          <w:tcPr>
            <w:tcW w:type="dxa" w:w="1701"/>
          </w:tcPr>
          <w:p>
            <w:r>
              <w:rPr>
                <w:sz w:val="20"/>
              </w:rPr>
              <w:t>Play</w:t>
            </w:r>
          </w:p>
        </w:tc>
        <w:tc>
          <w:tcPr>
            <w:tcW w:type="dxa" w:w="1417"/>
          </w:tcPr>
          <w:p>
            <w:r>
              <w:rPr>
                <w:sz w:val="20"/>
              </w:rPr>
              <w:t>Europa</w:t>
            </w:r>
          </w:p>
        </w:tc>
        <w:tc>
          <w:tcPr>
            <w:tcW w:type="dxa" w:w="5953"/>
          </w:tcPr>
          <w:p>
            <w:r>
              <w:rPr>
                <w:sz w:val="20"/>
              </w:rPr>
              <w:t>Hybrid cloud + AI — con presenza in data center, cybersecurity, telco</w:t>
            </w:r>
          </w:p>
        </w:tc>
      </w:tr>
      <w:tr>
        <w:tc>
          <w:tcPr>
            <w:tcW w:type="dxa" w:w="1701"/>
          </w:tcPr>
          <w:p>
            <w:r>
              <w:rPr>
                <w:sz w:val="20"/>
              </w:rPr>
              <w:t>Open Gate S.p.a.</w:t>
            </w:r>
          </w:p>
        </w:tc>
        <w:tc>
          <w:tcPr>
            <w:tcW w:type="dxa" w:w="1417"/>
          </w:tcPr>
          <w:p>
            <w:r>
              <w:rPr>
                <w:sz w:val="20"/>
              </w:rPr>
              <w:t>Italia/Europa</w:t>
            </w:r>
          </w:p>
        </w:tc>
        <w:tc>
          <w:tcPr>
            <w:tcW w:type="dxa" w:w="5953"/>
          </w:tcPr>
          <w:p>
            <w:r>
              <w:rPr>
                <w:sz w:val="20"/>
              </w:rPr>
              <w:t>Unico partner italiano nel marketplace. AI &amp; Cloud + Application Development. Finance, Technology.</w:t>
            </w:r>
          </w:p>
        </w:tc>
      </w:tr>
    </w:tbl>
    <w:p>
      <w:pPr>
        <w:spacing w:before="0" w:after="0"/>
      </w:pPr>
    </w:p>
    <w:p>
      <w:pPr>
        <w:pStyle w:val="Heading2"/>
      </w:pPr>
      <w:r>
        <w:t>6.5 Distribuzione geografica del partner network</w:t>
      </w:r>
    </w:p>
    <w:tbl>
      <w:tblPr>
        <w:tblStyle w:val="TableGrid"/>
        <w:tblW w:type="auto" w:w="0"/>
        <w:tblLook w:firstColumn="1" w:firstRow="1" w:lastColumn="0" w:lastRow="0" w:noHBand="0" w:noVBand="1" w:val="04A0"/>
      </w:tblPr>
      <w:tblGrid>
        <w:gridCol w:w="3022"/>
        <w:gridCol w:w="3022"/>
        <w:gridCol w:w="3022"/>
      </w:tblGrid>
      <w:tr>
        <w:tc>
          <w:tcPr>
            <w:tcW w:type="dxa" w:w="2835"/>
            <w:shd w:val="clear" w:color="auto" w:fill="4472C4"/>
          </w:tcPr>
          <w:p>
            <w:pPr>
              <w:jc w:val="center"/>
            </w:pPr>
            <w:r>
              <w:rPr>
                <w:b/>
                <w:color w:val="FFFFFF"/>
              </w:rPr>
              <w:t>Area geografica</w:t>
            </w:r>
          </w:p>
        </w:tc>
        <w:tc>
          <w:tcPr>
            <w:tcW w:type="dxa" w:w="1701"/>
            <w:shd w:val="clear" w:color="auto" w:fill="4472C4"/>
          </w:tcPr>
          <w:p>
            <w:pPr>
              <w:jc w:val="center"/>
            </w:pPr>
            <w:r>
              <w:rPr>
                <w:b/>
                <w:color w:val="FFFFFF"/>
              </w:rPr>
              <w:t>% stimata</w:t>
            </w:r>
          </w:p>
        </w:tc>
        <w:tc>
          <w:tcPr>
            <w:tcW w:type="dxa" w:w="4535"/>
            <w:shd w:val="clear" w:color="auto" w:fill="4472C4"/>
          </w:tcPr>
          <w:p>
            <w:pPr>
              <w:jc w:val="center"/>
            </w:pPr>
            <w:r>
              <w:rPr>
                <w:b/>
                <w:color w:val="FFFFFF"/>
              </w:rPr>
              <w:t>Note</w:t>
            </w:r>
          </w:p>
        </w:tc>
      </w:tr>
      <w:tr>
        <w:tc>
          <w:tcPr>
            <w:tcW w:type="dxa" w:w="2835"/>
          </w:tcPr>
          <w:p>
            <w:r>
              <w:rPr>
                <w:sz w:val="20"/>
              </w:rPr>
              <w:t>Francia</w:t>
            </w:r>
          </w:p>
        </w:tc>
        <w:tc>
          <w:tcPr>
            <w:tcW w:type="dxa" w:w="1701"/>
          </w:tcPr>
          <w:p>
            <w:r>
              <w:rPr>
                <w:sz w:val="20"/>
              </w:rPr>
              <w:t>~60%</w:t>
            </w:r>
          </w:p>
        </w:tc>
        <w:tc>
          <w:tcPr>
            <w:tcW w:type="dxa" w:w="4535"/>
          </w:tcPr>
          <w:p>
            <w:r>
              <w:rPr>
                <w:sz w:val="20"/>
              </w:rPr>
              <w:t>Mercato di origine — ecosystem piu maturo</w:t>
            </w:r>
          </w:p>
        </w:tc>
      </w:tr>
      <w:tr>
        <w:tc>
          <w:tcPr>
            <w:tcW w:type="dxa" w:w="2835"/>
          </w:tcPr>
          <w:p>
            <w:r>
              <w:rPr>
                <w:sz w:val="20"/>
              </w:rPr>
              <w:t>Europa (multi)</w:t>
            </w:r>
          </w:p>
        </w:tc>
        <w:tc>
          <w:tcPr>
            <w:tcW w:type="dxa" w:w="1701"/>
          </w:tcPr>
          <w:p>
            <w:r>
              <w:rPr>
                <w:sz w:val="20"/>
              </w:rPr>
              <w:t>~35%</w:t>
            </w:r>
          </w:p>
        </w:tc>
        <w:tc>
          <w:tcPr>
            <w:tcW w:type="dxa" w:w="4535"/>
          </w:tcPr>
          <w:p>
            <w:r>
              <w:rPr>
                <w:sz w:val="20"/>
              </w:rPr>
              <w:t>Belgio, Olanda, Italia, Germania, Polonia</w:t>
            </w:r>
          </w:p>
        </w:tc>
      </w:tr>
      <w:tr>
        <w:tc>
          <w:tcPr>
            <w:tcW w:type="dxa" w:w="2835"/>
          </w:tcPr>
          <w:p>
            <w:r>
              <w:rPr>
                <w:sz w:val="20"/>
              </w:rPr>
              <w:t>Worldwide</w:t>
            </w:r>
          </w:p>
        </w:tc>
        <w:tc>
          <w:tcPr>
            <w:tcW w:type="dxa" w:w="1701"/>
          </w:tcPr>
          <w:p>
            <w:r>
              <w:rPr>
                <w:sz w:val="20"/>
              </w:rPr>
              <w:t>~5%</w:t>
            </w:r>
          </w:p>
        </w:tc>
        <w:tc>
          <w:tcPr>
            <w:tcW w:type="dxa" w:w="4535"/>
          </w:tcPr>
          <w:p>
            <w:r>
              <w:rPr>
                <w:sz w:val="20"/>
              </w:rPr>
              <w:t>Partner con presenza globale (Artefact, AQR8)</w:t>
            </w:r>
          </w:p>
        </w:tc>
      </w:tr>
    </w:tbl>
    <w:p>
      <w:r>
        <w:br w:type="page"/>
      </w:r>
    </w:p>
    <w:p>
      <w:pPr>
        <w:pStyle w:val="Heading1"/>
      </w:pPr>
      <w:r>
        <w:rPr>
          <w:color w:val="1F497D"/>
        </w:rPr>
        <w:t>7. Prezzi e Modello Economico</w:t>
      </w:r>
    </w:p>
    <w:p>
      <w:pPr/>
      <w:r>
        <w:t>Scaleway adotta un modello di pricing trasparente e pubblico, con listino consultabile online in tempo reale. Il posizionamento e' di 'challenger' europeo: prezzi significativamente piu bassi rispetto agli hyperscaler USA pur mantenendo qualita' enterprise.</w:t>
      </w:r>
    </w:p>
    <w:p>
      <w:pPr>
        <w:spacing w:before="0" w:after="0"/>
      </w:pPr>
    </w:p>
    <w:p>
      <w:pPr>
        <w:pStyle w:val="Heading2"/>
      </w:pPr>
      <w:r>
        <w:t>Esempi di pricing indicativo (2026)</w:t>
      </w:r>
    </w:p>
    <w:tbl>
      <w:tblPr>
        <w:tblStyle w:val="TableGrid"/>
        <w:tblW w:type="auto" w:w="0"/>
        <w:tblLook w:firstColumn="1" w:firstRow="1" w:lastColumn="0" w:lastRow="0" w:noHBand="0" w:noVBand="1" w:val="04A0"/>
      </w:tblPr>
      <w:tblGrid>
        <w:gridCol w:w="3022"/>
        <w:gridCol w:w="3022"/>
        <w:gridCol w:w="3022"/>
      </w:tblGrid>
      <w:tr>
        <w:tc>
          <w:tcPr>
            <w:tcW w:type="dxa" w:w="2268"/>
            <w:shd w:val="clear" w:color="auto" w:fill="4472C4"/>
          </w:tcPr>
          <w:p>
            <w:pPr>
              <w:jc w:val="center"/>
            </w:pPr>
            <w:r>
              <w:rPr>
                <w:b/>
                <w:color w:val="FFFFFF"/>
              </w:rPr>
              <w:t>Categoria</w:t>
            </w:r>
          </w:p>
        </w:tc>
        <w:tc>
          <w:tcPr>
            <w:tcW w:type="dxa" w:w="2835"/>
            <w:shd w:val="clear" w:color="auto" w:fill="4472C4"/>
          </w:tcPr>
          <w:p>
            <w:pPr>
              <w:jc w:val="center"/>
            </w:pPr>
            <w:r>
              <w:rPr>
                <w:b/>
                <w:color w:val="FFFFFF"/>
              </w:rPr>
              <w:t>Prodotto</w:t>
            </w:r>
          </w:p>
        </w:tc>
        <w:tc>
          <w:tcPr>
            <w:tcW w:type="dxa" w:w="3969"/>
            <w:shd w:val="clear" w:color="auto" w:fill="4472C4"/>
          </w:tcPr>
          <w:p>
            <w:pPr>
              <w:jc w:val="center"/>
            </w:pPr>
            <w:r>
              <w:rPr>
                <w:b/>
                <w:color w:val="FFFFFF"/>
              </w:rPr>
              <w:t>Prezzo indicativo</w:t>
            </w:r>
          </w:p>
        </w:tc>
      </w:tr>
      <w:tr>
        <w:tc>
          <w:tcPr>
            <w:tcW w:type="dxa" w:w="2268"/>
          </w:tcPr>
          <w:p>
            <w:r>
              <w:rPr>
                <w:sz w:val="20"/>
              </w:rPr>
              <w:t>Compute</w:t>
            </w:r>
          </w:p>
        </w:tc>
        <w:tc>
          <w:tcPr>
            <w:tcW w:type="dxa" w:w="2835"/>
          </w:tcPr>
          <w:p>
            <w:r>
              <w:rPr>
                <w:sz w:val="20"/>
              </w:rPr>
              <w:t>Virtual Instance DEV1-S (2 vCPU)</w:t>
            </w:r>
          </w:p>
        </w:tc>
        <w:tc>
          <w:tcPr>
            <w:tcW w:type="dxa" w:w="3969"/>
          </w:tcPr>
          <w:p>
            <w:r>
              <w:rPr>
                <w:sz w:val="20"/>
              </w:rPr>
              <w:t>da ~6,42 EUR/mese</w:t>
            </w:r>
          </w:p>
        </w:tc>
      </w:tr>
      <w:tr>
        <w:tc>
          <w:tcPr>
            <w:tcW w:type="dxa" w:w="2268"/>
          </w:tcPr>
          <w:p>
            <w:r>
              <w:rPr>
                <w:sz w:val="20"/>
              </w:rPr>
              <w:t>Web Hosting</w:t>
            </w:r>
          </w:p>
        </w:tc>
        <w:tc>
          <w:tcPr>
            <w:tcW w:type="dxa" w:w="2835"/>
          </w:tcPr>
          <w:p>
            <w:r>
              <w:rPr>
                <w:sz w:val="20"/>
              </w:rPr>
              <w:t>Essential</w:t>
            </w:r>
          </w:p>
        </w:tc>
        <w:tc>
          <w:tcPr>
            <w:tcW w:type="dxa" w:w="3969"/>
          </w:tcPr>
          <w:p>
            <w:r>
              <w:rPr>
                <w:sz w:val="20"/>
              </w:rPr>
              <w:t>da 9,99 EUR/mese</w:t>
            </w:r>
          </w:p>
        </w:tc>
      </w:tr>
      <w:tr>
        <w:tc>
          <w:tcPr>
            <w:tcW w:type="dxa" w:w="2268"/>
          </w:tcPr>
          <w:p>
            <w:r>
              <w:rPr>
                <w:sz w:val="20"/>
              </w:rPr>
              <w:t>Web Hosting</w:t>
            </w:r>
          </w:p>
        </w:tc>
        <w:tc>
          <w:tcPr>
            <w:tcW w:type="dxa" w:w="2835"/>
          </w:tcPr>
          <w:p>
            <w:r>
              <w:rPr>
                <w:sz w:val="20"/>
              </w:rPr>
              <w:t>Premium</w:t>
            </w:r>
          </w:p>
        </w:tc>
        <w:tc>
          <w:tcPr>
            <w:tcW w:type="dxa" w:w="3969"/>
          </w:tcPr>
          <w:p>
            <w:r>
              <w:rPr>
                <w:sz w:val="20"/>
              </w:rPr>
              <w:t>da 29,99 EUR/mese</w:t>
            </w:r>
          </w:p>
        </w:tc>
      </w:tr>
      <w:tr>
        <w:tc>
          <w:tcPr>
            <w:tcW w:type="dxa" w:w="2268"/>
          </w:tcPr>
          <w:p>
            <w:r>
              <w:rPr>
                <w:sz w:val="20"/>
              </w:rPr>
              <w:t>Dedicated Server</w:t>
            </w:r>
          </w:p>
        </w:tc>
        <w:tc>
          <w:tcPr>
            <w:tcW w:type="dxa" w:w="2835"/>
          </w:tcPr>
          <w:p>
            <w:r>
              <w:rPr>
                <w:sz w:val="20"/>
              </w:rPr>
              <w:t>Dedibox entry</w:t>
            </w:r>
          </w:p>
        </w:tc>
        <w:tc>
          <w:tcPr>
            <w:tcW w:type="dxa" w:w="3969"/>
          </w:tcPr>
          <w:p>
            <w:r>
              <w:rPr>
                <w:sz w:val="20"/>
              </w:rPr>
              <w:t>da 4,99 EUR/mese</w:t>
            </w:r>
          </w:p>
        </w:tc>
      </w:tr>
      <w:tr>
        <w:tc>
          <w:tcPr>
            <w:tcW w:type="dxa" w:w="2268"/>
          </w:tcPr>
          <w:p>
            <w:r>
              <w:rPr>
                <w:sz w:val="20"/>
              </w:rPr>
              <w:t>Storage</w:t>
            </w:r>
          </w:p>
        </w:tc>
        <w:tc>
          <w:tcPr>
            <w:tcW w:type="dxa" w:w="2835"/>
          </w:tcPr>
          <w:p>
            <w:r>
              <w:rPr>
                <w:sz w:val="20"/>
              </w:rPr>
              <w:t>Block Storage</w:t>
            </w:r>
          </w:p>
        </w:tc>
        <w:tc>
          <w:tcPr>
            <w:tcW w:type="dxa" w:w="3969"/>
          </w:tcPr>
          <w:p>
            <w:r>
              <w:rPr>
                <w:sz w:val="20"/>
              </w:rPr>
              <w:t>~0,08 EUR/GB</w:t>
            </w:r>
          </w:p>
        </w:tc>
      </w:tr>
      <w:tr>
        <w:tc>
          <w:tcPr>
            <w:tcW w:type="dxa" w:w="2268"/>
          </w:tcPr>
          <w:p>
            <w:r>
              <w:rPr>
                <w:sz w:val="20"/>
              </w:rPr>
              <w:t>Network</w:t>
            </w:r>
          </w:p>
        </w:tc>
        <w:tc>
          <w:tcPr>
            <w:tcW w:type="dxa" w:w="2835"/>
          </w:tcPr>
          <w:p>
            <w:r>
              <w:rPr>
                <w:sz w:val="20"/>
              </w:rPr>
              <w:t>Bandwidth</w:t>
            </w:r>
          </w:p>
        </w:tc>
        <w:tc>
          <w:tcPr>
            <w:tcW w:type="dxa" w:w="3969"/>
          </w:tcPr>
          <w:p>
            <w:r>
              <w:rPr>
                <w:sz w:val="20"/>
              </w:rPr>
              <w:t>0,004-0,01 EUR/GB</w:t>
            </w:r>
          </w:p>
        </w:tc>
      </w:tr>
      <w:tr>
        <w:tc>
          <w:tcPr>
            <w:tcW w:type="dxa" w:w="2268"/>
          </w:tcPr>
          <w:p>
            <w:r>
              <w:rPr>
                <w:sz w:val="20"/>
              </w:rPr>
              <w:t>GPU</w:t>
            </w:r>
          </w:p>
        </w:tc>
        <w:tc>
          <w:tcPr>
            <w:tcW w:type="dxa" w:w="2835"/>
          </w:tcPr>
          <w:p>
            <w:r>
              <w:rPr>
                <w:sz w:val="20"/>
              </w:rPr>
              <w:t>H100 PCIe Instance</w:t>
            </w:r>
          </w:p>
        </w:tc>
        <w:tc>
          <w:tcPr>
            <w:tcW w:type="dxa" w:w="3969"/>
          </w:tcPr>
          <w:p>
            <w:r>
              <w:rPr>
                <w:sz w:val="20"/>
              </w:rPr>
              <w:t>Pricing su richiesta / listino online</w:t>
            </w:r>
          </w:p>
        </w:tc>
      </w:tr>
    </w:tbl>
    <w:p>
      <w:pPr>
        <w:spacing w:before="0" w:after="0"/>
      </w:pPr>
    </w:p>
    <w:p>
      <w:pPr>
        <w:pStyle w:val="Heading2"/>
      </w:pPr>
      <w:r>
        <w:t>Vantaggi strutturali del pricing Scaleway</w:t>
      </w:r>
    </w:p>
    <w:p>
      <w:pPr>
        <w:pStyle w:val="ListBullet"/>
      </w:pPr>
      <w:r>
        <w:t>Egress gratuito o a costo molto basso — uno dei principali pain point con AWS/Azure e' il costo di uscita dei dati</w:t>
      </w:r>
    </w:p>
    <w:p>
      <w:pPr>
        <w:pStyle w:val="ListBullet"/>
      </w:pPr>
      <w:r>
        <w:t>Fatturazione oraria su quasi tutti i servizi — nessun impegno minimo</w:t>
      </w:r>
    </w:p>
    <w:p>
      <w:pPr>
        <w:pStyle w:val="ListBullet"/>
      </w:pPr>
      <w:r>
        <w:t>Nessun costo nascosto — la filosofia dichiarata e' 'you always know exactly what you'll pay'</w:t>
      </w:r>
    </w:p>
    <w:p>
      <w:pPr>
        <w:pStyle w:val="ListBullet"/>
      </w:pPr>
      <w:r>
        <w:t>Partner program: sconti fino al 40% per MSP e reseller</w:t>
      </w:r>
    </w:p>
    <w:p>
      <w:r>
        <w:br w:type="page"/>
      </w:r>
    </w:p>
    <w:p>
      <w:pPr>
        <w:pStyle w:val="Heading1"/>
      </w:pPr>
      <w:r>
        <w:rPr>
          <w:color w:val="1F497D"/>
        </w:rPr>
        <w:t>8. Outlook Strategico e Conclusioni</w:t>
      </w:r>
    </w:p>
    <w:p>
      <w:pPr>
        <w:pStyle w:val="Heading2"/>
      </w:pPr>
      <w:r>
        <w:t>Punti di forza</w:t>
      </w:r>
    </w:p>
    <w:p>
      <w:pPr>
        <w:pStyle w:val="ListBullet"/>
      </w:pPr>
      <w:r>
        <w:t>Offerta tecnica moderna e completa, specialmente su GPU/AI — la piu' grande capacita' AI di proprieta' europea</w:t>
      </w:r>
    </w:p>
    <w:p>
      <w:pPr>
        <w:pStyle w:val="ListBullet"/>
      </w:pPr>
      <w:r>
        <w:t>Prezzi competitivi con egress favorevole — vantaggio strutturale vs hyperscaler USA</w:t>
      </w:r>
    </w:p>
    <w:p>
      <w:pPr>
        <w:pStyle w:val="ListBullet"/>
      </w:pPr>
      <w:r>
        <w:t>Sovranita' europea garantita da giurisdizione UE e ownership 100% europea</w:t>
      </w:r>
    </w:p>
    <w:p>
      <w:pPr>
        <w:pStyle w:val="ListBullet"/>
      </w:pPr>
      <w:r>
        <w:t>Developer experience di primo livello — self-service, API-first, Terraform nativo</w:t>
      </w:r>
    </w:p>
    <w:p>
      <w:pPr>
        <w:pStyle w:val="ListBullet"/>
      </w:pPr>
      <w:r>
        <w:t>Crescita rapida: da provider francese a hyperscaler pan-europeo in pochi anni</w:t>
      </w:r>
    </w:p>
    <w:p>
      <w:pPr>
        <w:pStyle w:val="ListBullet"/>
      </w:pPr>
      <w:r>
        <w:t>Supporto del Gruppo iliad (3 mld EUR investimento) — solidita' finanziaria</w:t>
      </w:r>
    </w:p>
    <w:p>
      <w:pPr>
        <w:spacing w:before="0" w:after="0"/>
      </w:pPr>
    </w:p>
    <w:p>
      <w:pPr>
        <w:pStyle w:val="Heading2"/>
      </w:pPr>
      <w:r>
        <w:t>Punti di debolezza / rischi</w:t>
      </w:r>
    </w:p>
    <w:p>
      <w:pPr>
        <w:pStyle w:val="ListBullet"/>
      </w:pPr>
      <w:r>
        <w:t>Assenza di qualifica ACN — blocca l'accesso alla PA italiana nel breve termine</w:t>
      </w:r>
    </w:p>
    <w:p>
      <w:pPr>
        <w:pStyle w:val="ListBullet"/>
      </w:pPr>
      <w:r>
        <w:t>Partner network italiano ancora da costruire — un solo partner nel marketplace (Open Gate)</w:t>
      </w:r>
    </w:p>
    <w:p>
      <w:pPr>
        <w:pStyle w:val="ListBullet"/>
      </w:pPr>
      <w:r>
        <w:t>Nessuna offerta convergente fisso+mobile — gap rispetto a Fastweb+Vodafone</w:t>
      </w:r>
    </w:p>
    <w:p>
      <w:pPr>
        <w:pStyle w:val="ListBullet"/>
      </w:pPr>
      <w:r>
        <w:t>Maturita' operativa in Italia pari a zero a marzo 2026 — rischio execution sul lancio</w:t>
      </w:r>
    </w:p>
    <w:p>
      <w:pPr>
        <w:pStyle w:val="ListBullet"/>
      </w:pPr>
      <w:r>
        <w:t>Managed services limitati rispetto agli hyperscaler — richiede partner per clienti non tech-savvy</w:t>
      </w:r>
    </w:p>
    <w:p>
      <w:pPr>
        <w:spacing w:before="0" w:after="0"/>
      </w:pPr>
    </w:p>
    <w:p>
      <w:pPr>
        <w:pStyle w:val="Heading2"/>
      </w:pPr>
      <w:r>
        <w:t>Opportunita' di mercato in Italia</w:t>
      </w:r>
    </w:p>
    <w:p>
      <w:pPr>
        <w:pStyle w:val="ListBullet"/>
      </w:pPr>
      <w:r>
        <w:t>Early-mover advantage per MSP e SI che vogliono posizionarsi come partner Scaleway prima che il mercato si affolli</w:t>
      </w:r>
    </w:p>
    <w:p>
      <w:pPr>
        <w:pStyle w:val="ListBullet"/>
      </w:pPr>
      <w:r>
        <w:t>Domanda crescente di cloud sovrano europeo da parte di enterprise italiane (pressione normativa, NIS2, AI Act)</w:t>
      </w:r>
    </w:p>
    <w:p>
      <w:pPr>
        <w:pStyle w:val="ListBullet"/>
      </w:pPr>
      <w:r>
        <w:t>Segmento PA: finestra di opportunita' di 12-18 mesi per costruire competenze prima della qualifica ACN</w:t>
      </w:r>
    </w:p>
    <w:p>
      <w:pPr>
        <w:pStyle w:val="ListBullet"/>
      </w:pPr>
      <w:r>
        <w:t>AI/GPU: nessun competitor italiano offre oggi capacita' GPU paragonabili a prezzi competitivi</w:t>
      </w:r>
    </w:p>
    <w:p>
      <w:pPr>
        <w:pStyle w:val="ListBullet"/>
      </w:pPr>
      <w:r>
        <w:t>Convergenza con strategia iliad Italy: possibile sinergia bundle connettivita' + cloud</w:t>
      </w:r>
    </w:p>
    <w:p>
      <w:pPr>
        <w:spacing w:before="0" w:after="0"/>
      </w:pPr>
    </w:p>
    <w:p>
      <w:pPr>
        <w:pStyle w:val="Heading2"/>
      </w:pPr>
      <w:r>
        <w:t>Scenario competitivo a 18 mesi</w:t>
      </w:r>
    </w:p>
    <w:p>
      <w:pPr/>
      <w:r>
        <w:t>Se Scaleway ottiene la qualifica ACN e costruisce una rete di partner locali entro fine 2026/inizio 2027, il confronto con Fastweb diventa molto piu diretto — soprattutto per le PA che cercano alternative certificate agli hyperscaler americani. Il posizionamento 'cloud sovrano europeo' risuona fortemente nell'attuale clima politico (EU Digital Sovereignty, Cloud Act europeo, AI Act). Il rischio principale e' la velocita' di esecuzione: la qualifica ACN e il partner network richiedono tempo e investimento, e nel frattempo Fastweb consolida la propria posizione.</w:t>
      </w:r>
    </w:p>
    <w:sectPr w:rsidR="00FC693F" w:rsidRPr="0006063C" w:rsidSect="00034616">
      <w:headerReference w:type="default" r:id="rId9"/>
      <w:footerReference w:type="default" r:id="rId1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Analisi aggiornata al 19 marzo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Scaleway — Analisi Cloud 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