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Registratori di Cassa, POS e Fiscalizzazione Cloud</w:t>
      </w:r>
    </w:p>
    <w:p>
      <w:pPr>
        <w:jc w:val="center"/>
      </w:pPr>
      <w:r>
        <w:rPr>
          <w:i/>
          <w:color w:val="606060"/>
          <w:sz w:val="24"/>
        </w:rPr>
        <w:t>Business, normativa e rivoluzione 2026 — Briefing completo</w:t>
      </w:r>
    </w:p>
    <w:p>
      <w:pPr>
        <w:jc w:val="center"/>
      </w:pPr>
      <w:r>
        <w:rPr>
          <w:color w:val="909090"/>
          <w:sz w:val="20"/>
        </w:rPr>
        <w:t>30 marzo 2026</w:t>
      </w:r>
    </w:p>
    <w:p/>
    <w:p>
      <w:pPr>
        <w:pStyle w:val="Heading1"/>
      </w:pPr>
      <w:r>
        <w:t>1. Come funziona oggi (stato pre-riforma)</w:t>
      </w:r>
    </w:p>
    <w:p>
      <w:r>
        <w:t>Il Registratore Telematico (RT) e' il successore della vecchia stampante fiscale. Dal 2019-2021 e' obbligatorio per tutti i commercianti al dettaglio (bar, ristoranti, negozi, artigiani, ecc.) soggetti all'obbligo di certificazione dei corrispettivi.</w:t>
      </w:r>
    </w:p>
    <w:p>
      <w:pPr>
        <w:pStyle w:val="Heading2"/>
      </w:pPr>
      <w:r>
        <w:t>Come funziona il ciclo attuale</w:t>
      </w:r>
    </w:p>
    <w:p>
      <w:pPr>
        <w:pStyle w:val="ListNumber"/>
      </w:pPr>
      <w:r>
        <w:t>Il commerciante batte lo scontrino sull'RT</w:t>
      </w:r>
    </w:p>
    <w:p>
      <w:pPr>
        <w:pStyle w:val="ListNumber"/>
      </w:pPr>
      <w:r>
        <w:t>L'RT memorizza i dati fiscali in un modulo crittografato</w:t>
      </w:r>
    </w:p>
    <w:p>
      <w:pPr>
        <w:pStyle w:val="ListNumber"/>
      </w:pPr>
      <w:r>
        <w:t>Ogni sera trasmette automaticamente i corrispettivi giornalieri all'Agenzia delle Entrate via internet</w:t>
      </w:r>
    </w:p>
    <w:p>
      <w:pPr>
        <w:pStyle w:val="ListNumber"/>
      </w:pPr>
      <w:r>
        <w:t>Al cliente viene consegnato il Documento Commerciale (lo "scontrino" elettronico — ricevuta, non giustificativo fiscale)</w:t>
      </w:r>
    </w:p>
    <w:p>
      <w:r>
        <w:t>Il POS (terminale di pagamento) e' un dispositivo separato, gestito dall'acquirer (banca, Nexi, SumUp, ecc.). Fino al 2025 i due mondi — fiscale (RT) e pagamento (POS) — erano completamente scollegati: il commerciante incassava col POS e poi andava a mano a registrare il pagamento sull'RT.</w:t>
      </w:r>
    </w:p>
    <w:p>
      <w:pPr>
        <w:pStyle w:val="Heading1"/>
      </w:pPr>
      <w:r>
        <w:t>2. I player del mercato hardware RT</w:t>
      </w:r>
    </w:p>
    <w:tbl>
      <w:tblPr>
        <w:tblStyle w:val="TableGrid"/>
        <w:tblW w:type="auto" w:w="0"/>
        <w:tblLook w:firstColumn="1" w:firstRow="1" w:lastColumn="0" w:lastRow="0" w:noHBand="0" w:noVBand="1" w:val="04A0"/>
      </w:tblPr>
      <w:tblGrid>
        <w:gridCol w:w="4561"/>
        <w:gridCol w:w="4561"/>
      </w:tblGrid>
      <w:tr>
        <w:tc>
          <w:tcPr>
            <w:tcW w:type="dxa" w:w="2268"/>
          </w:tcPr>
          <w:p>
            <w:r>
              <w:rPr>
                <w:b/>
              </w:rPr>
              <w:t>Player</w:t>
            </w:r>
          </w:p>
        </w:tc>
        <w:tc>
          <w:tcPr>
            <w:tcW w:type="dxa" w:w="5669"/>
          </w:tcPr>
          <w:p>
            <w:r>
              <w:rPr>
                <w:b/>
              </w:rPr>
              <w:t>Note</w:t>
            </w:r>
          </w:p>
        </w:tc>
      </w:tr>
      <w:tr>
        <w:tc>
          <w:tcPr>
            <w:tcW w:type="dxa" w:w="2268"/>
          </w:tcPr>
          <w:p>
            <w:r>
              <w:t>Epson</w:t>
            </w:r>
          </w:p>
        </w:tc>
        <w:tc>
          <w:tcPr>
            <w:tcW w:type="dxa" w:w="5669"/>
          </w:tcPr>
          <w:p>
            <w:r>
              <w:t>Leader di mercato, ottima distribuzione nazionale</w:t>
            </w:r>
          </w:p>
        </w:tc>
      </w:tr>
      <w:tr>
        <w:tc>
          <w:tcPr>
            <w:tcW w:type="dxa" w:w="2268"/>
          </w:tcPr>
          <w:p>
            <w:r>
              <w:t>Custom</w:t>
            </w:r>
          </w:p>
        </w:tc>
        <w:tc>
          <w:tcPr>
            <w:tcW w:type="dxa" w:w="5669"/>
          </w:tcPr>
          <w:p>
            <w:r>
              <w:t>Azienda italiana (Frosinone), molto forte nel retail</w:t>
            </w:r>
          </w:p>
        </w:tc>
      </w:tr>
      <w:tr>
        <w:tc>
          <w:tcPr>
            <w:tcW w:type="dxa" w:w="2268"/>
          </w:tcPr>
          <w:p>
            <w:r>
              <w:t>RCH</w:t>
            </w:r>
          </w:p>
        </w:tc>
        <w:tc>
          <w:tcPr>
            <w:tcW w:type="dxa" w:w="5669"/>
          </w:tcPr>
          <w:p>
            <w:r>
              <w:t>Italiana (Treviso), forte nel settore horeca</w:t>
            </w:r>
          </w:p>
        </w:tc>
      </w:tr>
      <w:tr>
        <w:tc>
          <w:tcPr>
            <w:tcW w:type="dxa" w:w="2268"/>
          </w:tcPr>
          <w:p>
            <w:r>
              <w:t>Olivetti</w:t>
            </w:r>
          </w:p>
        </w:tc>
        <w:tc>
          <w:tcPr>
            <w:tcW w:type="dxa" w:w="5669"/>
          </w:tcPr>
          <w:p>
            <w:r>
              <w:t>Brand storico, oggi sotto TIM, con piattaforma Nettun@ Cloud</w:t>
            </w:r>
          </w:p>
        </w:tc>
      </w:tr>
      <w:tr>
        <w:tc>
          <w:tcPr>
            <w:tcW w:type="dxa" w:w="2268"/>
          </w:tcPr>
          <w:p>
            <w:r>
              <w:t>MCT</w:t>
            </w:r>
          </w:p>
        </w:tc>
        <w:tc>
          <w:tcPr>
            <w:tcW w:type="dxa" w:w="5669"/>
          </w:tcPr>
          <w:p>
            <w:r>
              <w:t>Player di nicchia, prodotti tecnici</w:t>
            </w:r>
          </w:p>
        </w:tc>
      </w:tr>
      <w:tr>
        <w:tc>
          <w:tcPr>
            <w:tcW w:type="dxa" w:w="2268"/>
          </w:tcPr>
          <w:p>
            <w:r>
              <w:t>FASY</w:t>
            </w:r>
          </w:p>
        </w:tc>
        <w:tc>
          <w:tcPr>
            <w:tcW w:type="dxa" w:w="5669"/>
          </w:tcPr>
          <w:p>
            <w:r>
              <w:t>Piccolo player italiano</w:t>
            </w:r>
          </w:p>
        </w:tc>
      </w:tr>
    </w:tbl>
    <w:p/>
    <w:p>
      <w:r>
        <w:t>Il prezzo di un RT va da circa 300 a 800+ euro per l'hardware, piu' canoni annui di assistenza e aggiornamenti firmware. In Italia sono attivi circa 600.000-700.000 RT. Il mercato e' alimentato da cicli di sostituzione (ogni 5-8 anni) e dalle nuove aperture.</w:t>
      </w:r>
    </w:p>
    <w:p>
      <w:pPr>
        <w:pStyle w:val="Heading1"/>
      </w:pPr>
      <w:r>
        <w:t>3. Le novita' dal 2026 — Due livelli distinti</w:t>
      </w:r>
    </w:p>
    <w:p>
      <w:pPr>
        <w:pStyle w:val="Heading2"/>
      </w:pPr>
      <w:r>
        <w:t>Livello 1 — Collegamento obbligatorio POS-RT (in vigore da marzo 2026)</w:t>
      </w:r>
    </w:p>
    <w:p>
      <w:r>
        <w:rPr>
          <w:b/>
        </w:rPr>
        <w:t xml:space="preserve">Base normativa: </w:t>
      </w:r>
      <w:r>
        <w:t>Legge di Bilancio 2025 + Provvedimento AdE n. 424470 del 31 ottobre 2025</w:t>
      </w:r>
    </w:p>
    <w:p>
      <w:r>
        <w:rPr>
          <w:b/>
        </w:rPr>
        <w:t xml:space="preserve">Operativo dal: </w:t>
      </w:r>
      <w:r>
        <w:t>5 marzo 2026 (slittato dal 1° gennaio)</w:t>
      </w:r>
    </w:p>
    <w:p>
      <w:pPr>
        <w:pStyle w:val="Heading3"/>
      </w:pPr>
      <w:r>
        <w:t>Cosa cambia</w:t>
      </w:r>
    </w:p>
    <w:p>
      <w:r>
        <w:t>Ogni POS deve essere formalmente abbinato al proprio RT nel portale "Fatture e Corrispettivi" dell'Agenzia delle Entrate. Quando il cliente paga col POS, l'informazione fluisce automaticamente all'RT che registra il pagamento come elettronico (vs. contante).</w:t>
      </w:r>
    </w:p>
    <w:p>
      <w:pPr>
        <w:pStyle w:val="ListBullet"/>
      </w:pPr>
      <w:r>
        <w:t>L'RT riceve un segnale automatico dal POS: niente piu' inserimento manuale della modalita' di pagamento</w:t>
      </w:r>
    </w:p>
    <w:p>
      <w:pPr>
        <w:pStyle w:val="ListBullet"/>
      </w:pPr>
      <w:r>
        <w:t>Il documento commerciale emesso riportera' correttamente la modalita' di pagamento (contante o elettronico)</w:t>
      </w:r>
    </w:p>
    <w:p>
      <w:pPr>
        <w:pStyle w:val="ListBullet"/>
      </w:pPr>
      <w:r>
        <w:t>L'AdE incrocia i dati POS (forniti da acquirer/banche) con i corrispettivi RT — controllo anti-evasione automatizzato</w:t>
      </w:r>
    </w:p>
    <w:p>
      <w:pPr>
        <w:pStyle w:val="Heading3"/>
      </w:pPr>
      <w:r>
        <w:t>Chi deve farlo</w:t>
      </w:r>
    </w:p>
    <w:p>
      <w:r>
        <w:t>Tutti i soggetti che usano RT o software-RT. Eccezione: chi emette esclusivamente fatture elettroniche (e quindi non usa RT per certificare corrispettivi) non e' obbligato al collegamento POS-RT, perche' manca lo strumento RT cui associare il POS.</w:t>
      </w:r>
    </w:p>
    <w:p>
      <w:pPr>
        <w:pStyle w:val="Heading3"/>
      </w:pPr>
      <w:r>
        <w:t>Impatto sul mercato</w:t>
      </w:r>
    </w:p>
    <w:p>
      <w:pPr>
        <w:pStyle w:val="ListBullet"/>
      </w:pPr>
      <w:r>
        <w:t>Gli acquirer (Nexi, SumUp, Satispay, PayPal, banche) devono adeguare i propri POS per comunicare con l'RT</w:t>
      </w:r>
    </w:p>
    <w:p>
      <w:pPr>
        <w:pStyle w:val="ListBullet"/>
      </w:pPr>
      <w:r>
        <w:t>Mercato di sostituzione POS per i terminali non compatibili</w:t>
      </w:r>
    </w:p>
    <w:p>
      <w:pPr>
        <w:pStyle w:val="ListBullet"/>
      </w:pPr>
      <w:r>
        <w:t>Cresce la pressione verso POS "smart" (Android-based) gia' integrabili</w:t>
      </w:r>
    </w:p>
    <w:p/>
    <w:p>
      <w:pPr>
        <w:pStyle w:val="Heading2"/>
      </w:pPr>
      <w:r>
        <w:t>Livello 2 — Il Software RT (Cloud Fiscalization) — La vera rivoluzione</w:t>
      </w:r>
    </w:p>
    <w:p>
      <w:r>
        <w:rPr>
          <w:b/>
        </w:rPr>
        <w:t xml:space="preserve">Base normativa: </w:t>
      </w:r>
      <w:r>
        <w:t>D.Lgs. 1/2024, art. 24 + Provvedimento AdE n. 111204 del 7 marzo 2025</w:t>
      </w:r>
    </w:p>
    <w:p>
      <w:r>
        <w:rPr>
          <w:b/>
        </w:rPr>
        <w:t xml:space="preserve">Disponibile dal: </w:t>
      </w:r>
      <w:r>
        <w:t>2026 (adozione volontaria, non sostituzione obbligatoria immediata)</w:t>
      </w:r>
    </w:p>
    <w:p>
      <w:r>
        <w:t>Il Software RT e' una soluzione software certificata dall'Agenzia delle Entrate che puo' sostituire completamente l'hardware RT (con la sua stampante). Nessun dispositivo dedicato obbligatorio. La logica e' la stessa della fatturazione elettronica: il dato fiscale viene generato, firmato digitalmente e trasmesso nel cloud, senza bisogno di hardware certificato.</w:t>
      </w:r>
    </w:p>
    <w:p>
      <w:pPr>
        <w:pStyle w:val="Heading3"/>
      </w:pPr>
      <w:r>
        <w:t>Architettura a due moduli</w:t>
      </w:r>
    </w:p>
    <w:tbl>
      <w:tblPr>
        <w:tblStyle w:val="TableGrid"/>
        <w:tblW w:type="auto" w:w="0"/>
        <w:tblLook w:firstColumn="1" w:firstRow="1" w:lastColumn="0" w:lastRow="0" w:noHBand="0" w:noVBand="1" w:val="04A0"/>
      </w:tblPr>
      <w:tblGrid>
        <w:gridCol w:w="4561"/>
        <w:gridCol w:w="4561"/>
      </w:tblGrid>
      <w:tr>
        <w:tc>
          <w:tcPr>
            <w:tcW w:type="dxa" w:w="3969"/>
          </w:tcPr>
          <w:p>
            <w:r>
              <w:rPr>
                <w:b/>
                <w:color w:val="175096"/>
              </w:rPr>
              <w:t>MF1 — Modulo Fiscale 1 (Punto di Emissione, PEM)</w:t>
            </w:r>
          </w:p>
        </w:tc>
        <w:tc>
          <w:tcPr>
            <w:tcW w:type="dxa" w:w="3969"/>
          </w:tcPr>
          <w:p>
            <w:r>
              <w:rPr>
                <w:b/>
                <w:color w:val="175096"/>
              </w:rPr>
              <w:t>MF2 — Modulo Fiscale 2 (Punto di Elaborazione, PEL)</w:t>
            </w:r>
          </w:p>
        </w:tc>
      </w:tr>
      <w:tr>
        <w:tc>
          <w:tcPr>
            <w:tcW w:type="dxa" w:w="3969"/>
          </w:tcPr>
          <w:p>
            <w:r>
              <w:t>Installato su: tablet, SmartPOS, PC, app smartphone, macchine virtuali</w:t>
            </w:r>
          </w:p>
        </w:tc>
        <w:tc>
          <w:tcPr>
            <w:tcW w:type="dxa" w:w="3969"/>
          </w:tcPr>
          <w:p>
            <w:r>
              <w:t>Installato su: server fisico o infrastruttura cloud (SaaS)</w:t>
            </w:r>
          </w:p>
        </w:tc>
      </w:tr>
      <w:tr>
        <w:tc>
          <w:tcPr>
            <w:tcW w:type="dxa" w:w="3969"/>
          </w:tcPr>
          <w:p>
            <w:r>
              <w:t>Registra la transazione fiscale in modo sicuro</w:t>
            </w:r>
          </w:p>
        </w:tc>
        <w:tc>
          <w:tcPr>
            <w:tcW w:type="dxa" w:w="3969"/>
          </w:tcPr>
          <w:p>
            <w:r>
              <w:t>Gestisce tutti i dispositivi PEM collegati</w:t>
            </w:r>
          </w:p>
        </w:tc>
      </w:tr>
      <w:tr>
        <w:tc>
          <w:tcPr>
            <w:tcW w:type="dxa" w:w="3969"/>
          </w:tcPr>
          <w:p>
            <w:r>
              <w:t>Genera il documento commerciale (ricevuta)</w:t>
            </w:r>
          </w:p>
        </w:tc>
        <w:tc>
          <w:tcPr>
            <w:tcW w:type="dxa" w:w="3969"/>
          </w:tcPr>
          <w:p>
            <w:r>
              <w:t>Prepara e invia l'XML dei corrispettivi all'Agenzia delle Entrate</w:t>
            </w:r>
          </w:p>
        </w:tc>
      </w:tr>
      <w:tr>
        <w:tc>
          <w:tcPr>
            <w:tcW w:type="dxa" w:w="3969"/>
          </w:tcPr>
          <w:p>
            <w:r>
              <w:t>Trasmette i dati al modulo MF2 via API sicure</w:t>
            </w:r>
          </w:p>
        </w:tc>
        <w:tc>
          <w:tcPr>
            <w:tcW w:type="dxa" w:w="3969"/>
          </w:tcPr>
          <w:p>
            <w:r>
              <w:t>Archivia digitalmente le transazioni per 10 anni</w:t>
            </w:r>
          </w:p>
        </w:tc>
      </w:tr>
      <w:tr>
        <w:tc>
          <w:tcPr>
            <w:tcW w:type="dxa" w:w="3969"/>
          </w:tcPr>
          <w:p>
            <w:r>
              <w:t>Consente accesso locale ai dati memorizzati</w:t>
            </w:r>
          </w:p>
        </w:tc>
        <w:tc>
          <w:tcPr>
            <w:tcW w:type="dxa" w:w="3969"/>
          </w:tcPr>
          <w:p>
            <w:r>
              <w:t>Accessibile in caso di ispezioni fiscali</w:t>
            </w:r>
          </w:p>
        </w:tc>
      </w:tr>
    </w:tbl>
    <w:p/>
    <w:p>
      <w:r>
        <w:t>Il documento commerciale viene emesso digitalmente (QR code, ricevuta via SMS/email, oppure stampato su qualsiasi stampante generica non fiscale). La soluzione puo' essere installata direttamente su POS evoluti (SmartPOS Android), unificando in un solo dispositivo le funzioni di pagamento e registrazione fiscale.</w:t>
      </w:r>
    </w:p>
    <w:p>
      <w:pPr>
        <w:pStyle w:val="Heading3"/>
      </w:pPr>
      <w:r>
        <w:t>I nuovi ruoli nel sistema</w:t>
      </w:r>
    </w:p>
    <w:tbl>
      <w:tblPr>
        <w:tblStyle w:val="TableGrid"/>
        <w:tblW w:type="auto" w:w="0"/>
        <w:tblLook w:firstColumn="1" w:firstRow="1" w:lastColumn="0" w:lastRow="0" w:noHBand="0" w:noVBand="1" w:val="04A0"/>
      </w:tblPr>
      <w:tblGrid>
        <w:gridCol w:w="4561"/>
        <w:gridCol w:w="4561"/>
      </w:tblGrid>
      <w:tr>
        <w:tc>
          <w:tcPr>
            <w:tcW w:type="dxa" w:w="1984"/>
          </w:tcPr>
          <w:p>
            <w:r>
              <w:rPr>
                <w:b/>
              </w:rPr>
              <w:t>Ruolo</w:t>
            </w:r>
          </w:p>
        </w:tc>
        <w:tc>
          <w:tcPr>
            <w:tcW w:type="dxa" w:w="5953"/>
          </w:tcPr>
          <w:p>
            <w:r>
              <w:rPr>
                <w:b/>
              </w:rPr>
              <w:t>Descrizione</w:t>
            </w:r>
          </w:p>
        </w:tc>
      </w:tr>
      <w:tr>
        <w:tc>
          <w:tcPr>
            <w:tcW w:type="dxa" w:w="1984"/>
          </w:tcPr>
          <w:p>
            <w:r>
              <w:t>Produttore</w:t>
            </w:r>
          </w:p>
        </w:tc>
        <w:tc>
          <w:tcPr>
            <w:tcW w:type="dxa" w:w="5953"/>
          </w:tcPr>
          <w:p>
            <w:r>
              <w:t>Sviluppa e certifica i moduli MF1+MF2 presso l'AdE. Responsabile della conformita' tecnica. Barriera d'ingresso tecnica ma accessibile per software house strutturate.</w:t>
            </w:r>
          </w:p>
        </w:tc>
      </w:tr>
      <w:tr>
        <w:tc>
          <w:tcPr>
            <w:tcW w:type="dxa" w:w="1984"/>
          </w:tcPr>
          <w:p>
            <w:r>
              <w:t>Provider</w:t>
            </w:r>
          </w:p>
        </w:tc>
        <w:tc>
          <w:tcPr>
            <w:tcW w:type="dxa" w:w="5953"/>
          </w:tcPr>
          <w:p>
            <w:r>
              <w:t>Distribuisce la soluzione ai commercianti, gestisce UI e supporto clienti. Puo' coincidere con il Produttore oppure essere un soggetto distinto (acquirer, ISV, gestionale).</w:t>
            </w:r>
          </w:p>
        </w:tc>
      </w:tr>
      <w:tr>
        <w:tc>
          <w:tcPr>
            <w:tcW w:type="dxa" w:w="1984"/>
          </w:tcPr>
          <w:p>
            <w:r>
              <w:t>Commerciante</w:t>
            </w:r>
          </w:p>
        </w:tc>
        <w:tc>
          <w:tcPr>
            <w:tcW w:type="dxa" w:w="5953"/>
          </w:tcPr>
          <w:p>
            <w:r>
              <w:t>Usa l'app o il software. Non deve piu' preoccuparsi dell'hardware RT. Sceglie un Provider certificato AdE.</w:t>
            </w:r>
          </w:p>
        </w:tc>
      </w:tr>
    </w:tbl>
    <w:p/>
    <w:p>
      <w:pPr>
        <w:pStyle w:val="Heading1"/>
      </w:pPr>
      <w:r>
        <w:t>4. Chi vince e chi perde</w:t>
      </w:r>
    </w:p>
    <w:tbl>
      <w:tblPr>
        <w:tblStyle w:val="TableGrid"/>
        <w:tblW w:type="auto" w:w="0"/>
        <w:tblLook w:firstColumn="1" w:firstRow="1" w:lastColumn="0" w:lastRow="0" w:noHBand="0" w:noVBand="1" w:val="04A0"/>
      </w:tblPr>
      <w:tblGrid>
        <w:gridCol w:w="3041"/>
        <w:gridCol w:w="3041"/>
        <w:gridCol w:w="3041"/>
      </w:tblGrid>
      <w:tr>
        <w:tc>
          <w:tcPr>
            <w:tcW w:type="dxa" w:w="2268"/>
          </w:tcPr>
          <w:p>
            <w:r>
              <w:rPr>
                <w:b/>
              </w:rPr>
              <w:t>Soggetto</w:t>
            </w:r>
          </w:p>
        </w:tc>
        <w:tc>
          <w:tcPr>
            <w:tcW w:type="dxa" w:w="1417"/>
          </w:tcPr>
          <w:p>
            <w:r>
              <w:rPr>
                <w:b/>
              </w:rPr>
              <w:t>Impatto</w:t>
            </w:r>
          </w:p>
        </w:tc>
        <w:tc>
          <w:tcPr>
            <w:tcW w:type="dxa" w:w="4252"/>
          </w:tcPr>
          <w:p>
            <w:r>
              <w:rPr>
                <w:b/>
              </w:rPr>
              <w:t>Note strategiche</w:t>
            </w:r>
          </w:p>
        </w:tc>
      </w:tr>
      <w:tr>
        <w:tc>
          <w:tcPr>
            <w:tcW w:type="dxa" w:w="2268"/>
          </w:tcPr>
          <w:p>
            <w:r>
              <w:t>Produttori hardware RT</w:t>
              <w:br/>
              <w:t>(Epson, Custom, RCH, Olivetti)</w:t>
            </w:r>
          </w:p>
        </w:tc>
        <w:tc>
          <w:tcPr>
            <w:tcW w:type="dxa" w:w="1417"/>
          </w:tcPr>
          <w:p>
            <w:r>
              <w:rPr>
                <w:color w:val="C00000"/>
              </w:rPr>
              <w:t>NEGATIVO</w:t>
            </w:r>
          </w:p>
        </w:tc>
        <w:tc>
          <w:tcPr>
            <w:tcW w:type="dxa" w:w="4252"/>
          </w:tcPr>
          <w:p>
            <w:r>
              <w:t>Minaccia esistenziale nel medio termine. Mercato di sostituzione HW si erode. Devono reinventarsi come provider software o produttori di SmartPOS.</w:t>
            </w:r>
          </w:p>
        </w:tc>
      </w:tr>
      <w:tr>
        <w:tc>
          <w:tcPr>
            <w:tcW w:type="dxa" w:w="2268"/>
          </w:tcPr>
          <w:p>
            <w:r>
              <w:t>Acquirer e PSP</w:t>
              <w:br/>
              <w:t>(Nexi, SumUp, Satispay)</w:t>
            </w:r>
          </w:p>
        </w:tc>
        <w:tc>
          <w:tcPr>
            <w:tcW w:type="dxa" w:w="1417"/>
          </w:tcPr>
          <w:p>
            <w:r>
              <w:rPr>
                <w:color w:val="377636"/>
              </w:rPr>
              <w:t>POSITIVO</w:t>
            </w:r>
          </w:p>
        </w:tc>
        <w:tc>
          <w:tcPr>
            <w:tcW w:type="dxa" w:w="4252"/>
          </w:tcPr>
          <w:p>
            <w:r>
              <w:t>Grande opportunita': possono diventare provider del Software RT integrato nel loro SmartPOS. Un solo dispositivo = POS + RT + gestionale.</w:t>
            </w:r>
          </w:p>
        </w:tc>
      </w:tr>
      <w:tr>
        <w:tc>
          <w:tcPr>
            <w:tcW w:type="dxa" w:w="2268"/>
          </w:tcPr>
          <w:p>
            <w:r>
              <w:t>Software house e gestionali</w:t>
              <w:br/>
              <w:t>(TeamSystem, Zucchetti, Danea)</w:t>
            </w:r>
          </w:p>
        </w:tc>
        <w:tc>
          <w:tcPr>
            <w:tcW w:type="dxa" w:w="1417"/>
          </w:tcPr>
          <w:p>
            <w:r>
              <w:rPr>
                <w:color w:val="377636"/>
              </w:rPr>
              <w:t>POSITIVO</w:t>
            </w:r>
          </w:p>
        </w:tc>
        <w:tc>
          <w:tcPr>
            <w:tcW w:type="dxa" w:w="4252"/>
          </w:tcPr>
          <w:p>
            <w:r>
              <w:t>Possono integrare MF1/MF2 direttamente nei loro prodotti. Lo scontrino diventa un modulo del gestionale.</w:t>
            </w:r>
          </w:p>
        </w:tc>
      </w:tr>
      <w:tr>
        <w:tc>
          <w:tcPr>
            <w:tcW w:type="dxa" w:w="2268"/>
          </w:tcPr>
          <w:p>
            <w:r>
              <w:t>Player cloud fintech</w:t>
              <w:br/>
              <w:t>(fiskaly, newcomers)</w:t>
            </w:r>
          </w:p>
        </w:tc>
        <w:tc>
          <w:tcPr>
            <w:tcW w:type="dxa" w:w="1417"/>
          </w:tcPr>
          <w:p>
            <w:r>
              <w:rPr>
                <w:color w:val="377636"/>
              </w:rPr>
              <w:t>POSITIVO</w:t>
            </w:r>
          </w:p>
        </w:tc>
        <w:tc>
          <w:tcPr>
            <w:tcW w:type="dxa" w:w="4252"/>
          </w:tcPr>
          <w:p>
            <w:r>
              <w:t>Nascono player specializzati in cloud fiscalization come servizio B2B (infrastructure-as-a-service per il fisco).</w:t>
            </w:r>
          </w:p>
        </w:tc>
      </w:tr>
      <w:tr>
        <w:tc>
          <w:tcPr>
            <w:tcW w:type="dxa" w:w="2268"/>
          </w:tcPr>
          <w:p>
            <w:r>
              <w:t>Commerciante</w:t>
            </w:r>
          </w:p>
        </w:tc>
        <w:tc>
          <w:tcPr>
            <w:tcW w:type="dxa" w:w="1417"/>
          </w:tcPr>
          <w:p>
            <w:r>
              <w:rPr>
                <w:color w:val="377636"/>
              </w:rPr>
              <w:t>NEUTRO/POSITIVO</w:t>
            </w:r>
          </w:p>
        </w:tc>
        <w:tc>
          <w:tcPr>
            <w:tcW w:type="dxa" w:w="4252"/>
          </w:tcPr>
          <w:p>
            <w:r>
              <w:t>Risparmio sull'hardware RT nel lungo periodo, ma necessita' di scegliere una soluzione software certificata e gestire la transizione.</w:t>
            </w:r>
          </w:p>
        </w:tc>
      </w:tr>
    </w:tbl>
    <w:p/>
    <w:p>
      <w:pPr>
        <w:pStyle w:val="Heading1"/>
      </w:pPr>
      <w:r>
        <w:t>5. Timeline normativa</w:t>
      </w:r>
    </w:p>
    <w:tbl>
      <w:tblPr>
        <w:tblStyle w:val="TableGrid"/>
        <w:tblW w:type="auto" w:w="0"/>
        <w:tblLook w:firstColumn="1" w:firstRow="1" w:lastColumn="0" w:lastRow="0" w:noHBand="0" w:noVBand="1" w:val="04A0"/>
      </w:tblPr>
      <w:tblGrid>
        <w:gridCol w:w="4561"/>
        <w:gridCol w:w="4561"/>
      </w:tblGrid>
      <w:tr>
        <w:tc>
          <w:tcPr>
            <w:tcW w:type="dxa" w:w="1984"/>
          </w:tcPr>
          <w:p>
            <w:r>
              <w:rPr>
                <w:b/>
              </w:rPr>
              <w:t>Data</w:t>
            </w:r>
          </w:p>
        </w:tc>
        <w:tc>
          <w:tcPr>
            <w:tcW w:type="dxa" w:w="5953"/>
          </w:tcPr>
          <w:p>
            <w:r>
              <w:rPr>
                <w:b/>
              </w:rPr>
              <w:t>Evento</w:t>
            </w:r>
          </w:p>
        </w:tc>
      </w:tr>
      <w:tr>
        <w:tc>
          <w:tcPr>
            <w:tcW w:type="dxa" w:w="1984"/>
          </w:tcPr>
          <w:p>
            <w:r>
              <w:t>2019-2021</w:t>
            </w:r>
          </w:p>
        </w:tc>
        <w:tc>
          <w:tcPr>
            <w:tcW w:type="dxa" w:w="5953"/>
          </w:tcPr>
          <w:p>
            <w:r>
              <w:t>Obbligo RT per tutte le categorie (rollout per soglie di fatturato)</w:t>
            </w:r>
          </w:p>
        </w:tc>
      </w:tr>
      <w:tr>
        <w:tc>
          <w:tcPr>
            <w:tcW w:type="dxa" w:w="1984"/>
          </w:tcPr>
          <w:p>
            <w:r>
              <w:t>8 gennaio 2024</w:t>
            </w:r>
          </w:p>
        </w:tc>
        <w:tc>
          <w:tcPr>
            <w:tcW w:type="dxa" w:w="5953"/>
          </w:tcPr>
          <w:p>
            <w:r>
              <w:t>D.Lgs 1/2024: introduce il concetto di Software RT (art. 24)</w:t>
            </w:r>
          </w:p>
        </w:tc>
      </w:tr>
      <w:tr>
        <w:tc>
          <w:tcPr>
            <w:tcW w:type="dxa" w:w="1984"/>
          </w:tcPr>
          <w:p>
            <w:r>
              <w:t>7 marzo 2025</w:t>
            </w:r>
          </w:p>
        </w:tc>
        <w:tc>
          <w:tcPr>
            <w:tcW w:type="dxa" w:w="5953"/>
          </w:tcPr>
          <w:p>
            <w:r>
              <w:t>AdE pubblica le specifiche tecniche (Prot. 111204/2025) per il Software RT</w:t>
            </w:r>
          </w:p>
        </w:tc>
      </w:tr>
      <w:tr>
        <w:tc>
          <w:tcPr>
            <w:tcW w:type="dxa" w:w="1984"/>
          </w:tcPr>
          <w:p>
            <w:r>
              <w:t>31 ottobre 2025</w:t>
            </w:r>
          </w:p>
        </w:tc>
        <w:tc>
          <w:tcPr>
            <w:tcW w:type="dxa" w:w="5953"/>
          </w:tcPr>
          <w:p>
            <w:r>
              <w:t>Provvedimento AdE n. 424470: regole tecniche abbinamento POS-RT</w:t>
            </w:r>
          </w:p>
        </w:tc>
      </w:tr>
      <w:tr>
        <w:tc>
          <w:tcPr>
            <w:tcW w:type="dxa" w:w="1984"/>
          </w:tcPr>
          <w:p>
            <w:r>
              <w:t>1 gennaio 2026</w:t>
            </w:r>
          </w:p>
        </w:tc>
        <w:tc>
          <w:tcPr>
            <w:tcW w:type="dxa" w:w="5953"/>
          </w:tcPr>
          <w:p>
            <w:r>
              <w:t>Obbligo collegamento POS-RT entra in vigore (operativo slittato al 5 marzo)</w:t>
            </w:r>
          </w:p>
        </w:tc>
      </w:tr>
      <w:tr>
        <w:tc>
          <w:tcPr>
            <w:tcW w:type="dxa" w:w="1984"/>
          </w:tcPr>
          <w:p>
            <w:r>
              <w:t>5 marzo 2026</w:t>
            </w:r>
          </w:p>
        </w:tc>
        <w:tc>
          <w:tcPr>
            <w:tcW w:type="dxa" w:w="5953"/>
          </w:tcPr>
          <w:p>
            <w:r>
              <w:t>Portale AdE "Fatture e Corrispettivi" operativo per abbinamento POS-RT</w:t>
            </w:r>
          </w:p>
        </w:tc>
      </w:tr>
      <w:tr>
        <w:tc>
          <w:tcPr>
            <w:tcW w:type="dxa" w:w="1984"/>
          </w:tcPr>
          <w:p>
            <w:r>
              <w:t>2026 in poi</w:t>
            </w:r>
          </w:p>
        </w:tc>
        <w:tc>
          <w:tcPr>
            <w:tcW w:type="dxa" w:w="5953"/>
          </w:tcPr>
          <w:p>
            <w:r>
              <w:t>Software RT disponibile sul mercato come alternativa volontaria all'hardware RT</w:t>
            </w:r>
          </w:p>
        </w:tc>
      </w:tr>
      <w:tr>
        <w:tc>
          <w:tcPr>
            <w:tcW w:type="dxa" w:w="1984"/>
          </w:tcPr>
          <w:p>
            <w:r>
              <w:t>Data da definire</w:t>
            </w:r>
          </w:p>
        </w:tc>
        <w:tc>
          <w:tcPr>
            <w:tcW w:type="dxa" w:w="5953"/>
          </w:tcPr>
          <w:p>
            <w:r>
              <w:t>Eventuale obbligo di migrazione a Software RT (non ancora normato)</w:t>
            </w:r>
          </w:p>
        </w:tc>
      </w:tr>
    </w:tbl>
    <w:p/>
    <w:p>
      <w:pPr>
        <w:pStyle w:val="Heading1"/>
      </w:pPr>
      <w:r>
        <w:t>6. La sintesi</w:t>
      </w:r>
    </w:p>
    <w:p>
      <w:r>
        <w:rPr>
          <w:i/>
          <w:sz w:val="24"/>
        </w:rPr>
        <w:t>Il paradigma si sposta dall'hardware fiscale certificato (l'RT con stampante) al dato fiscale certificato trasmesso nel cloud — esattamente come e' successo con la fatturazione elettronica nel 2019. L'hardware diventa commodity o scompare; il valore si sposta sul software e sulla relazione con il commerciante.</w:t>
      </w:r>
    </w:p>
    <w:p/>
    <w:p>
      <w:pPr>
        <w:pStyle w:val="Heading2"/>
      </w:pPr>
      <w:r>
        <w:t>Riferimenti normativi</w:t>
      </w:r>
    </w:p>
    <w:p>
      <w:pPr>
        <w:pStyle w:val="ListBullet"/>
      </w:pPr>
      <w:r>
        <w:t>D.Lgs. 8 gennaio 2024, n. 1 — Razionalizzazione e semplificazione degli adempimenti tributari (art. 24)</w:t>
      </w:r>
    </w:p>
    <w:p>
      <w:pPr>
        <w:pStyle w:val="ListBullet"/>
      </w:pPr>
      <w:r>
        <w:t>Provvedimento AdE n. 111204 del 7 marzo 2025 — Specifiche tecniche Software RT</w:t>
      </w:r>
    </w:p>
    <w:p>
      <w:pPr>
        <w:pStyle w:val="ListBullet"/>
      </w:pPr>
      <w:r>
        <w:t>Provvedimento AdE n. 424470 del 31 ottobre 2025 — Abbinamento POS-RT</w:t>
      </w:r>
    </w:p>
    <w:p>
      <w:pPr>
        <w:pStyle w:val="ListBullet"/>
      </w:pPr>
      <w:r>
        <w:t>Legge di Bilancio 2025 — Obbligo interconnessione POS-RT dal 1° gennaio 2026</w:t>
      </w:r>
    </w:p>
    <w:p>
      <w:pPr>
        <w:pStyle w:val="ListBullet"/>
      </w:pPr>
      <w:r>
        <w:t>D.Lgs. 5 agosto 2015, n. 127 — Corrispettivi telematici (norma madre)</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AAAAA"/>
        <w:sz w:val="18"/>
      </w:rPr>
      <w:t>Documento generato il 30 marzo 2026 — Uso interno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