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sz w:val="32"/>
        </w:rPr>
        <w:t>CONTRIBUTO ALLA CONSULTAZIONE PUBBLICA AGCM</w:t>
      </w:r>
    </w:p>
    <w:p>
      <w:pPr>
        <w:jc w:val="center"/>
      </w:pPr>
      <w:r>
        <w:rPr>
          <w:b/>
          <w:color w:val="2E74B5"/>
          <w:sz w:val="26"/>
        </w:rPr>
        <w:t>Indagine Conoscitiva IC59 - Quantum Computing</w:t>
      </w:r>
    </w:p>
    <w:p/>
    <w:p>
      <w:pPr>
        <w:jc w:val="center"/>
      </w:pPr>
      <w:r>
        <w:rPr>
          <w:i/>
          <w:color w:val="606060"/>
          <w:sz w:val="18"/>
        </w:rPr>
        <w:t>Contributo di [Nome Operatore Telco]  |  Aprile 2026  |  Invio a: IC59@agcm.it  |  Scadenza: 30 aprile 2026</w:t>
      </w:r>
    </w:p>
    <w:p/>
    <w:p>
      <w:pPr>
        <w:pStyle w:val="Heading1"/>
      </w:pPr>
      <w:r>
        <w:rPr>
          <w:color w:val="1F3964"/>
          <w:sz w:val="26"/>
        </w:rPr>
        <w:t>1. Premessa e posizionamento dell'operatore</w:t>
      </w:r>
    </w:p>
    <w:p>
      <w:r>
        <w:t>[Operatore] e' un operatore di telecomunicazioni presente sull'intero territorio nazionale, con infrastrutture di rete fissa e mobile, data center e servizi cloud e di sicurezza per imprese e Pubblica Amministrazione. In questa veste, accoglie con favore l'avvio dell'indagine conoscitiva IC59 e ritiene che la riflessione antitrust sul Quantum Computing (QC) sia tempestiva e strategicamente rilevante.</w:t>
      </w:r>
    </w:p>
    <w:p>
      <w:r>
        <w:t>Il settore delle telecomunicazioni ha gia' visto, nell'ultimo decennio, come la mancata attenzione regolatoria precoce al cloud computing abbia consentito a un ristretto numero di hyperscaler extra-europei di acquisire posizioni dominanti difficilmente contendibili. Il Quantum Computing rappresenta una discontinuita' tecnologica di portata analoga, ma con caratteristiche strutturali che rendono ancora piu' urgente un presidio competitivo in questa fase.</w:t>
      </w:r>
    </w:p>
    <w:p>
      <w:pPr>
        <w:pStyle w:val="Heading1"/>
      </w:pPr>
      <w:r>
        <w:rPr>
          <w:color w:val="1F3964"/>
          <w:sz w:val="26"/>
        </w:rPr>
        <w:t>2. Strutture di mercato: QaaS e il ruolo dei telco</w:t>
      </w:r>
    </w:p>
    <w:p>
      <w:r>
        <w:t>Il mercato del QC si articola oggi su tre livelli distinti ma sempre piu' interconnessi:</w:t>
      </w:r>
    </w:p>
    <w:p>
      <w:pPr>
        <w:pStyle w:val="ListBullet"/>
      </w:pPr>
      <w:r>
        <w:t>Hardware quantistico (qubit fisici): dominato da IBM, Google, IonQ, Quantinuum/Honeywell, Rigetti. Il tasso di integrazione verticale e' elevato: i produttori hardware offrono contestualmente piattaforme cloud di accesso.</w:t>
      </w:r>
    </w:p>
    <w:p>
      <w:pPr>
        <w:pStyle w:val="ListBullet"/>
      </w:pPr>
      <w:r>
        <w:t>Quantum-as-a-Service (QaaS): AWS Braket, IBM Quantum Platform, Microsoft Azure Quantum, Google Quantum AI forniscono accesso remoto ai sistemi quantistici, replicando il modello consolidato nel cloud classico.</w:t>
      </w:r>
    </w:p>
    <w:p>
      <w:pPr>
        <w:pStyle w:val="ListBullet"/>
      </w:pPr>
      <w:r>
        <w:t>Applicazioni verticali: ottimizzazione di rete, allocazione banda, bilanciamento del carico, Quantum Key Distribution (QKD) per comunicazioni ultra-sicure, machine learning quantistico.</w:t>
      </w:r>
    </w:p>
    <w:p>
      <w:r>
        <w:t>I telco si trovano in una posizione ambivalente: potenziali fornitori di strato di connettivita' quantistica (infrastrutture fisiche in fibra per QKD, accesso neutro a QaaS), ma a rischio di essere ridotti a semplici "pipe" passive se non presidiano le piattaforme di accesso.</w:t>
      </w:r>
    </w:p>
    <w:p>
      <w:r>
        <w:rPr>
          <w:b/>
          <w:color w:val="2E74B5"/>
        </w:rPr>
        <w:t xml:space="preserve">Osservazione 1: </w:t>
      </w:r>
      <w:r>
        <w:rPr>
          <w:sz w:val="21"/>
        </w:rPr>
        <w:t>L'AGCM dovrebbe mappare con attenzione se le piattaforme QaaS degli hyperscaler adottino pratiche di tying tra servizi cloud classici e accesso quantistico, che costituirebbero un'estensione della posizione dominante esistente nel cloud a un mercato adiacente nascente.</w:t>
      </w:r>
    </w:p>
    <w:p>
      <w:pPr>
        <w:pStyle w:val="Heading1"/>
      </w:pPr>
      <w:r>
        <w:rPr>
          <w:color w:val="1F3964"/>
          <w:sz w:val="26"/>
        </w:rPr>
        <w:t>3. Dinamiche concorrenziali: il rischio di tech-preemption</w:t>
      </w:r>
    </w:p>
    <w:p>
      <w:r>
        <w:t>Il QC si caratterizza per barriere all'ingresso eccezionalmente elevate: investimenti R&amp;D nell'ordine di miliardi di euro, know-how concentrato in pochi laboratori, hardware criogenico con supply chain fragile, forti effetti di apprendimento che amplificano il vantaggio del first-mover.</w:t>
      </w:r>
    </w:p>
    <w:p>
      <w:r>
        <w:t>A differenza del machine learning -- dove framework open-source (TensorFlow, PyTorch) hanno consentito una certa democratizzazione -- nel QC le architetture hardware sono profondamente proprietarie e non interoperabili: un workload IBM Qiskit non e' portabile nativamente su Google Cirq o AWS Braket senza riscrittura significativa.</w:t>
      </w:r>
    </w:p>
    <w:p>
      <w:r>
        <w:t>I telco italiani possiedono tuttavia un vantaggio strutturale unico: le infrastrutture fisiche in fibra ottica necessarie per le reti QKD. Questo asset non e' replicabile da operatori cloud-only e rappresenta il principale differenziatore competitivo da valorizzare.</w:t>
      </w:r>
    </w:p>
    <w:p>
      <w:r>
        <w:rPr>
          <w:b/>
          <w:color w:val="2E74B5"/>
        </w:rPr>
        <w:t xml:space="preserve">Osservazione 2: </w:t>
      </w:r>
      <w:r>
        <w:rPr>
          <w:sz w:val="21"/>
        </w:rPr>
        <w:t>L'AGCM dovrebbe valutare se i meccanismi di accesso alle piattaforme QaaS garantiscano condizioni eque e non discriminatorie per gli operatori telco, evitando che il controllo dello stack hardware-software-piattaforma si traduca in esclusione verticale.</w:t>
      </w:r>
    </w:p>
    <w:p>
      <w:pPr>
        <w:pStyle w:val="Heading1"/>
      </w:pPr>
      <w:r>
        <w:rPr>
          <w:color w:val="1F3964"/>
          <w:sz w:val="26"/>
        </w:rPr>
        <w:t>4. Diritti di proprieta' intellettuale: la barriera brevettuale</w:t>
      </w:r>
    </w:p>
    <w:p>
      <w:r>
        <w:t>La concentrazione brevettuale nel QC e' gia' oggi molto pronunciata. IBM detiene il maggior numero di brevetti attivi nel settore, seguita da Google, Microsoft e Honeywell. In Italia, la partecipazione e' limitata principalmente a centri di ricerca pubblici (INRIM, CNR, universita') e a pochi player privati, tra cui QTI - Quantum Telecommunications Italy, produttore di sistemi QKD.</w:t>
      </w:r>
    </w:p>
    <w:p>
      <w:r>
        <w:t>I "patent thickets" in formazione rischiano di imporre costi di licensing proibitivi o di escludere de facto player europei dall'accesso a tecnologie di base, replicando dinamiche gia' osservate in 5G e nei semiconduttori.</w:t>
      </w:r>
    </w:p>
    <w:p>
      <w:r>
        <w:rPr>
          <w:b/>
          <w:color w:val="2E74B5"/>
        </w:rPr>
        <w:t xml:space="preserve">Osservazione 3: </w:t>
      </w:r>
      <w:r>
        <w:rPr>
          <w:sz w:val="21"/>
        </w:rPr>
        <w:t>L'AGCM dovrebbe monitorare l'accumulo di portafogli brevettuali da parte di soggetti dominanti, con attenzione alle pratiche di evergreening brevettuale e alle licenze FRAND nel QC, raccordandosi con il livello europeo nell'ambito del Quantum Flagship e del Chips Act 2.</w:t>
      </w:r>
    </w:p>
    <w:p>
      <w:pPr>
        <w:pStyle w:val="Heading1"/>
      </w:pPr>
      <w:r>
        <w:rPr>
          <w:color w:val="1F3964"/>
          <w:sz w:val="26"/>
        </w:rPr>
        <w:t>5. Acquisizioni e consolidamento: il pericolo del "kill zone" quantistico</w:t>
      </w:r>
    </w:p>
    <w:p>
      <w:r>
        <w:t>Il pattern acquisitivo gia' osservato nell'AI -- con i grandi player che assorbono precocemente le startup piu' promettenti prima che diventino concorrenti credibili -- si sta replicando nel QC. Esempi recenti: integrazione di SandboxAQ da parte di Google, investimenti AWS in IonQ.</w:t>
      </w:r>
    </w:p>
    <w:p>
      <w:r>
        <w:t>In Italia, l'ecosistema delle startup quantistiche e' nascente ma significativo: QTI per la crittografia quantistica; aziende del programma NQSTI (National Quantum Science and Technology Institute); partecipanti al Tecnopolo di Bologna/IFAB, dove Fastweb-Vodafone e' presente accanto a IBM. Questi asset, se acquisiti da player extra-europei, porterebbero fuori dall'Italia conoscenze, brevetti e competenze strategiche.</w:t>
      </w:r>
    </w:p>
    <w:p>
      <w:r>
        <w:rPr>
          <w:b/>
          <w:color w:val="2E74B5"/>
        </w:rPr>
        <w:t xml:space="preserve">Osservazione 4: </w:t>
      </w:r>
      <w:r>
        <w:rPr>
          <w:sz w:val="21"/>
        </w:rPr>
        <w:t>L'AGCM dovrebbe coordinare con il MIMIT l'estensione della normativa Golden Power alle startup e ai laboratori quantistici italiani, attivando il meccanismo di notifica proattivamente in caso di operazioni di acquisizione da parte di soggetti extra-UE.</w:t>
      </w:r>
    </w:p>
    <w:p>
      <w:pPr>
        <w:pStyle w:val="Heading1"/>
      </w:pPr>
      <w:r>
        <w:rPr>
          <w:color w:val="1F3964"/>
          <w:sz w:val="26"/>
        </w:rPr>
        <w:t>6. Dipendenza strategica e sovranita' tecnologica</w:t>
      </w:r>
    </w:p>
    <w:p>
      <w:pPr>
        <w:pStyle w:val="Heading2"/>
      </w:pPr>
      <w:r>
        <w:rPr>
          <w:color w:val="2E74B5"/>
          <w:sz w:val="22"/>
        </w:rPr>
        <w:t>6.1  Lock-in tecnologico e standard</w:t>
      </w:r>
    </w:p>
    <w:p>
      <w:r>
        <w:t>L'assenza di standard aperti e interoperabili per le API QaaS costituisce oggi il principale fattore di lock-in. Il processo IEEE P7131 per la standardizzazione delle interfacce quantum non e' ancora maturo. In questo vuoto, ciascun vendor impone stack proprietari che rendono il cambio fornitore tecnicamente complesso e commercialmente costoso.</w:t>
      </w:r>
    </w:p>
    <w:p>
      <w:pPr>
        <w:pStyle w:val="Heading2"/>
      </w:pPr>
      <w:r>
        <w:rPr>
          <w:color w:val="2E74B5"/>
          <w:sz w:val="22"/>
        </w:rPr>
        <w:t>6.2  Crittografia post-quantistica (PQC) e urgenza operativa</w:t>
      </w:r>
    </w:p>
    <w:p>
      <w:r>
        <w:t>Il NIST ha completato nel 2024 la standardizzazione dei primi algoritmi PQC resistenti agli attacchi quantistici: ML-KEM (CRYSTALS-Kyber), ML-DSA (CRYSTALS-Dilithium), SLH-DSA (SPHINCS+). La minaccia "harvest now, decrypt later" -- intercettazione oggi di traffico cifrato, decrittazione futura con computer quantistici -- e' gia' operativa. I telco, che trasportano dati sensibili di imprese e PA, hanno l'obbligo etico e normativo (NIS2, DORA) di aggiornare le proprie catene crittografiche.</w:t>
      </w:r>
    </w:p>
    <w:p>
      <w:pPr>
        <w:pStyle w:val="Heading2"/>
      </w:pPr>
      <w:r>
        <w:rPr>
          <w:color w:val="2E74B5"/>
          <w:sz w:val="22"/>
        </w:rPr>
        <w:t>6.3  EuroQCI e il contributo infrastrutturale dei telco</w:t>
      </w:r>
    </w:p>
    <w:p>
      <w:r>
        <w:t>L'Italia partecipa al progetto europeo EuroQCI attraverso QUID (Quantum Italy Deployment), coordinato da INRIM con il mandato del MUR e finanziato dal Digital Europe Programme. Il progetto prevede la realizzazione della Dorsale Quantum Italiana e di reti Quantum Metropolitane. TIM ha gia' realizzato nel febbraio 2026 il primo collegamento QKD operativo tra due data center a Milano su una tratta di 40 km, in collaborazione con Cisco, Telsy e QTI. Questa sperimentazione dimostra che i telco nazionali sono pronti a svolgere un ruolo da protagonisti nell'infrastruttura quantistica sovrana europea -- ma necessitano di un quadro regolatorio che li sostenga.</w:t>
      </w:r>
    </w:p>
    <w:p>
      <w:r>
        <w:rPr>
          <w:b/>
          <w:color w:val="2E74B5"/>
        </w:rPr>
        <w:t xml:space="preserve">Osservazione 5: </w:t>
      </w:r>
      <w:r>
        <w:rPr>
          <w:sz w:val="21"/>
        </w:rPr>
        <w:t>L'AGCM dovrebbe raccomandare la promozione di standard aperti per le API QaaS (in raccordo con ETSI e il Quantum Flagship europeo) e valutare obblighi di accesso non discriminatorio ai sistemi QaaS dominanti per gli operatori infrastrutturali europei, analogamente al Digital Markets Act.</w:t>
      </w:r>
    </w:p>
    <w:p>
      <w:pPr>
        <w:pStyle w:val="Heading1"/>
      </w:pPr>
      <w:r>
        <w:rPr>
          <w:color w:val="1F3964"/>
          <w:sz w:val="26"/>
        </w:rPr>
        <w:t>7. Raccomandazioni sintetiche all'AGCM</w:t>
      </w:r>
    </w:p>
    <w:tbl>
      <w:tblPr>
        <w:tblStyle w:val="TableGrid"/>
        <w:tblW w:type="auto" w:w="0"/>
        <w:tblLook w:firstColumn="1" w:firstRow="1" w:lastColumn="0" w:lastRow="0" w:noHBand="0" w:noVBand="1" w:val="04A0"/>
      </w:tblPr>
      <w:tblGrid>
        <w:gridCol w:w="3041"/>
        <w:gridCol w:w="3041"/>
        <w:gridCol w:w="3041"/>
      </w:tblGrid>
      <w:tr>
        <w:tc>
          <w:tcPr>
            <w:tcW w:type="dxa" w:w="680"/>
            <w:shd w:fill="1F3964" w:color="auto" w:val="clear"/>
          </w:tcPr>
          <w:p>
            <w:r>
              <w:rPr>
                <w:b/>
                <w:color w:val="FFFFFF"/>
              </w:rPr>
              <w:t>N.</w:t>
            </w:r>
          </w:p>
        </w:tc>
        <w:tc>
          <w:tcPr>
            <w:tcW w:type="dxa" w:w="2551"/>
            <w:shd w:fill="1F3964" w:color="auto" w:val="clear"/>
          </w:tcPr>
          <w:p>
            <w:r>
              <w:rPr>
                <w:b/>
                <w:color w:val="FFFFFF"/>
              </w:rPr>
              <w:t>Area</w:t>
            </w:r>
          </w:p>
        </w:tc>
        <w:tc>
          <w:tcPr>
            <w:tcW w:type="dxa" w:w="5669"/>
            <w:shd w:fill="1F3964" w:color="auto" w:val="clear"/>
          </w:tcPr>
          <w:p>
            <w:r>
              <w:rPr>
                <w:b/>
                <w:color w:val="FFFFFF"/>
              </w:rPr>
              <w:t>Raccomandazione</w:t>
            </w:r>
          </w:p>
        </w:tc>
      </w:tr>
      <w:tr>
        <w:tc>
          <w:tcPr>
            <w:tcW w:type="dxa" w:w="680"/>
          </w:tcPr>
          <w:p>
            <w:r>
              <w:t>R1</w:t>
            </w:r>
          </w:p>
        </w:tc>
        <w:tc>
          <w:tcPr>
            <w:tcW w:type="dxa" w:w="2551"/>
          </w:tcPr>
          <w:p>
            <w:r>
              <w:t>Strutture di mercato</w:t>
            </w:r>
          </w:p>
        </w:tc>
        <w:tc>
          <w:tcPr>
            <w:tcW w:type="dxa" w:w="5669"/>
          </w:tcPr>
          <w:p>
            <w:r>
              <w:t>Mappare le pratiche di tying tra cloud classico e QaaS</w:t>
            </w:r>
          </w:p>
        </w:tc>
      </w:tr>
      <w:tr>
        <w:tc>
          <w:tcPr>
            <w:tcW w:type="dxa" w:w="680"/>
          </w:tcPr>
          <w:p>
            <w:r>
              <w:t>R2</w:t>
            </w:r>
          </w:p>
        </w:tc>
        <w:tc>
          <w:tcPr>
            <w:tcW w:type="dxa" w:w="2551"/>
          </w:tcPr>
          <w:p>
            <w:r>
              <w:t>Concorrenza</w:t>
            </w:r>
          </w:p>
        </w:tc>
        <w:tc>
          <w:tcPr>
            <w:tcW w:type="dxa" w:w="5669"/>
          </w:tcPr>
          <w:p>
            <w:r>
              <w:t>Monitorare condizioni di accesso ai QaaS per operatori terzi</w:t>
            </w:r>
          </w:p>
        </w:tc>
      </w:tr>
      <w:tr>
        <w:tc>
          <w:tcPr>
            <w:tcW w:type="dxa" w:w="680"/>
          </w:tcPr>
          <w:p>
            <w:r>
              <w:t>R3</w:t>
            </w:r>
          </w:p>
        </w:tc>
        <w:tc>
          <w:tcPr>
            <w:tcW w:type="dxa" w:w="2551"/>
          </w:tcPr>
          <w:p>
            <w:r>
              <w:t>Brevetti</w:t>
            </w:r>
          </w:p>
        </w:tc>
        <w:tc>
          <w:tcPr>
            <w:tcW w:type="dxa" w:w="5669"/>
          </w:tcPr>
          <w:p>
            <w:r>
              <w:t>Analizzare concentrazione brevettuale e adeguatezza FRAND</w:t>
            </w:r>
          </w:p>
        </w:tc>
      </w:tr>
      <w:tr>
        <w:tc>
          <w:tcPr>
            <w:tcW w:type="dxa" w:w="680"/>
          </w:tcPr>
          <w:p>
            <w:r>
              <w:t>R4</w:t>
            </w:r>
          </w:p>
        </w:tc>
        <w:tc>
          <w:tcPr>
            <w:tcW w:type="dxa" w:w="2551"/>
          </w:tcPr>
          <w:p>
            <w:r>
              <w:t>Acquisizioni</w:t>
            </w:r>
          </w:p>
        </w:tc>
        <w:tc>
          <w:tcPr>
            <w:tcW w:type="dxa" w:w="5669"/>
          </w:tcPr>
          <w:p>
            <w:r>
              <w:t>Estendere Golden Power alle startup quantistiche (coordinamento MIMIT)</w:t>
            </w:r>
          </w:p>
        </w:tc>
      </w:tr>
      <w:tr>
        <w:tc>
          <w:tcPr>
            <w:tcW w:type="dxa" w:w="680"/>
          </w:tcPr>
          <w:p>
            <w:r>
              <w:t>R5</w:t>
            </w:r>
          </w:p>
        </w:tc>
        <w:tc>
          <w:tcPr>
            <w:tcW w:type="dxa" w:w="2551"/>
          </w:tcPr>
          <w:p>
            <w:r>
              <w:t>Sovranita'</w:t>
            </w:r>
          </w:p>
        </w:tc>
        <w:tc>
          <w:tcPr>
            <w:tcW w:type="dxa" w:w="5669"/>
          </w:tcPr>
          <w:p>
            <w:r>
              <w:t>Promuovere standard aperti per API QaaS e obblighi DMA-style</w:t>
            </w:r>
          </w:p>
        </w:tc>
      </w:tr>
      <w:tr>
        <w:tc>
          <w:tcPr>
            <w:tcW w:type="dxa" w:w="680"/>
          </w:tcPr>
          <w:p>
            <w:r>
              <w:t>R6</w:t>
            </w:r>
          </w:p>
        </w:tc>
        <w:tc>
          <w:tcPr>
            <w:tcW w:type="dxa" w:w="2551"/>
          </w:tcPr>
          <w:p>
            <w:r>
              <w:t>PQC</w:t>
            </w:r>
          </w:p>
        </w:tc>
        <w:tc>
          <w:tcPr>
            <w:tcW w:type="dxa" w:w="5669"/>
          </w:tcPr>
          <w:p>
            <w:r>
              <w:t>Sostenere piano nazionale di migrazione crittografica nei settori critici</w:t>
            </w:r>
          </w:p>
        </w:tc>
      </w:tr>
    </w:tbl>
    <w:p/>
    <w:p>
      <w:pPr>
        <w:jc w:val="center"/>
      </w:pPr>
      <w:r>
        <w:rPr>
          <w:i/>
          <w:color w:val="808080"/>
          <w:sz w:val="18"/>
        </w:rPr>
        <w:t>Per informazioni: [Nome referente] - [email] - [telefono]   |   Invio a: IC59@agcm.it   |   Scadenza: 30 aprile 2026</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AGCM IC59 - Quantum Computing | Contributo Telco | Aprile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